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As filed with the Securities and Exchange Commission on May12, 2014</w:t>
      </w:r>
    </w:p>
    <w:p>
      <w:pPr>
        <w:spacing w:after="0" w:line="26" w:lineRule="exact"/>
        <w:rPr>
          <w:sz w:val="24"/>
          <w:szCs w:val="24"/>
          <w:color w:val="auto"/>
        </w:rPr>
      </w:pPr>
    </w:p>
    <w:p>
      <w:pPr>
        <w:ind w:left="8620"/>
        <w:spacing w:after="0"/>
        <w:rPr>
          <w:sz w:val="20"/>
          <w:szCs w:val="20"/>
          <w:color w:val="auto"/>
        </w:rPr>
      </w:pPr>
      <w:r>
        <w:rPr>
          <w:rFonts w:ascii="Times New Roman" w:cs="Times New Roman" w:eastAsia="Times New Roman" w:hAnsi="Times New Roman"/>
          <w:sz w:val="17"/>
          <w:szCs w:val="17"/>
          <w:b w:val="1"/>
          <w:bCs w:val="1"/>
          <w:color w:val="auto"/>
        </w:rPr>
        <w:t>Registration No. 333- _____________</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S-1</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2"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3020" w:type="dxa"/>
            <w:vAlign w:val="bottom"/>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3841</w:t>
            </w:r>
          </w:p>
        </w:tc>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b w:val="1"/>
                <w:bCs w:val="1"/>
                <w:color w:val="auto"/>
                <w:w w:val="96"/>
              </w:rPr>
              <w:t>20-5093315</w:t>
            </w:r>
          </w:p>
        </w:tc>
      </w:tr>
      <w:tr>
        <w:trPr>
          <w:trHeight w:val="212"/>
        </w:trPr>
        <w:tc>
          <w:tcPr>
            <w:tcW w:w="3020" w:type="dxa"/>
            <w:vAlign w:val="bottom"/>
          </w:tcPr>
          <w:p>
            <w:pPr>
              <w:jc w:val="center"/>
              <w:ind w:right="792"/>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(Primary Standard Industrial</w:t>
            </w:r>
          </w:p>
        </w:tc>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1"/>
        </w:trPr>
        <w:tc>
          <w:tcPr>
            <w:tcW w:w="3020" w:type="dxa"/>
            <w:vAlign w:val="bottom"/>
          </w:tcPr>
          <w:p>
            <w:pPr>
              <w:jc w:val="center"/>
              <w:ind w:right="792"/>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Classification Code Number)</w:t>
            </w:r>
          </w:p>
        </w:tc>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Shawn K. Singh, J.D.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VistaGen Therapeutics, Inc.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of all communications to:</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W. Rumsey, Esq.</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Law Group, LLP</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West Broadway, Suite 700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(619) 795-1134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(619) 330-2101</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46" w:lineRule="exact"/>
        <w:rPr>
          <w:sz w:val="24"/>
          <w:szCs w:val="24"/>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check the following box. [X]</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0" w:lineRule="exact"/>
        <w:rPr>
          <w:sz w:val="24"/>
          <w:szCs w:val="24"/>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ind w:left="3560" w:right="320" w:hanging="5006"/>
        <w:spacing w:after="0" w:line="251" w:lineRule="auto"/>
        <w:tabs>
          <w:tab w:leader="none" w:pos="354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8"/>
          <w:szCs w:val="18"/>
          <w:color w:val="auto"/>
        </w:rPr>
        <w:t>Accelerated filer [ ] Non-accelerated filer [ ] Smaller reporting company [X]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53605"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72"/>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060" w:type="dxa"/>
            <w:vAlign w:val="bottom"/>
            <w:gridSpan w:val="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 Maximum</w:t>
            </w:r>
          </w:p>
        </w:tc>
        <w:tc>
          <w:tcPr>
            <w:tcW w:w="220" w:type="dxa"/>
            <w:vAlign w:val="bottom"/>
          </w:tcPr>
          <w:p>
            <w:pPr>
              <w:spacing w:after="0"/>
              <w:rPr>
                <w:sz w:val="24"/>
                <w:szCs w:val="24"/>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Proposed Maximum</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8"/>
              </w:rPr>
              <w:t>Title Of Each Class Of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 Be</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120" w:type="dxa"/>
            <w:vAlign w:val="bottom"/>
          </w:tcPr>
          <w:p>
            <w:pPr>
              <w:spacing w:after="0"/>
              <w:rPr>
                <w:sz w:val="18"/>
                <w:szCs w:val="18"/>
                <w:color w:val="auto"/>
              </w:rPr>
            </w:pPr>
          </w:p>
        </w:tc>
        <w:tc>
          <w:tcPr>
            <w:tcW w:w="1600" w:type="dxa"/>
            <w:vAlign w:val="bottom"/>
            <w:gridSpan w:val="2"/>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8"/>
              </w:rPr>
              <w:t>Amount Of</w:t>
            </w:r>
          </w:p>
        </w:tc>
      </w:tr>
      <w:tr>
        <w:trPr>
          <w:trHeight w:val="239"/>
        </w:trPr>
        <w:tc>
          <w:tcPr>
            <w:tcW w:w="20" w:type="dxa"/>
            <w:vAlign w:val="bottom"/>
          </w:tcPr>
          <w:p>
            <w:pPr>
              <w:spacing w:after="0"/>
              <w:rPr>
                <w:sz w:val="20"/>
                <w:szCs w:val="20"/>
                <w:color w:val="auto"/>
              </w:rPr>
            </w:pPr>
          </w:p>
        </w:tc>
        <w:tc>
          <w:tcPr>
            <w:tcW w:w="360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6"/>
              </w:rPr>
              <w:t>Securities To Be Registered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320"/>
              <w:spacing w:after="0" w:line="233" w:lineRule="exact"/>
              <w:rPr>
                <w:sz w:val="20"/>
                <w:szCs w:val="20"/>
                <w:color w:val="auto"/>
              </w:rPr>
            </w:pPr>
            <w:r>
              <w:rPr>
                <w:rFonts w:ascii="Times New Roman" w:cs="Times New Roman" w:eastAsia="Times New Roman" w:hAnsi="Times New Roman"/>
                <w:sz w:val="18"/>
                <w:szCs w:val="18"/>
                <w:b w:val="1"/>
                <w:bCs w:val="1"/>
                <w:color w:val="auto"/>
                <w:w w:val="95"/>
              </w:rPr>
              <w:t xml:space="preserve">Offering Price </w:t>
            </w:r>
            <w:r>
              <w:rPr>
                <w:rFonts w:ascii="Times New Roman" w:cs="Times New Roman" w:eastAsia="Times New Roman" w:hAnsi="Times New Roman"/>
                <w:sz w:val="24"/>
                <w:szCs w:val="24"/>
                <w:b w:val="1"/>
                <w:bCs w:val="1"/>
                <w:color w:val="auto"/>
                <w:w w:val="95"/>
                <w:vertAlign w:val="superscript"/>
              </w:rPr>
              <w:t>(1)</w:t>
            </w:r>
          </w:p>
        </w:tc>
        <w:tc>
          <w:tcPr>
            <w:tcW w:w="120" w:type="dxa"/>
            <w:vAlign w:val="bottom"/>
          </w:tcPr>
          <w:p>
            <w:pPr>
              <w:spacing w:after="0"/>
              <w:rPr>
                <w:sz w:val="20"/>
                <w:szCs w:val="20"/>
                <w:color w:val="auto"/>
              </w:rPr>
            </w:pPr>
          </w:p>
        </w:tc>
        <w:tc>
          <w:tcPr>
            <w:tcW w:w="1600" w:type="dxa"/>
            <w:vAlign w:val="bottom"/>
            <w:gridSpan w:val="2"/>
          </w:tcPr>
          <w:p>
            <w:pPr>
              <w:jc w:val="center"/>
              <w:ind w:right="218"/>
              <w:spacing w:after="0"/>
              <w:rPr>
                <w:sz w:val="20"/>
                <w:szCs w:val="20"/>
                <w:color w:val="auto"/>
              </w:rPr>
            </w:pPr>
            <w:r>
              <w:rPr>
                <w:rFonts w:ascii="Times New Roman" w:cs="Times New Roman" w:eastAsia="Times New Roman" w:hAnsi="Times New Roman"/>
                <w:sz w:val="18"/>
                <w:szCs w:val="18"/>
                <w:b w:val="1"/>
                <w:bCs w:val="1"/>
                <w:color w:val="auto"/>
                <w:w w:val="98"/>
              </w:rPr>
              <w:t>Registration Fee</w:t>
            </w:r>
          </w:p>
        </w:tc>
      </w:tr>
      <w:tr>
        <w:trPr>
          <w:trHeight w:val="326"/>
        </w:trPr>
        <w:tc>
          <w:tcPr>
            <w:tcW w:w="20" w:type="dxa"/>
            <w:vAlign w:val="bottom"/>
          </w:tcPr>
          <w:p>
            <w:pPr>
              <w:spacing w:after="0"/>
              <w:rPr>
                <w:sz w:val="24"/>
                <w:szCs w:val="24"/>
                <w:color w:val="auto"/>
              </w:rPr>
            </w:pPr>
          </w:p>
        </w:tc>
        <w:tc>
          <w:tcPr>
            <w:tcW w:w="3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Common stock, par value $0.001 per share </w:t>
            </w:r>
            <w:r>
              <w:rPr>
                <w:rFonts w:ascii="Times New Roman" w:cs="Times New Roman" w:eastAsia="Times New Roman" w:hAnsi="Times New Roman"/>
                <w:sz w:val="24"/>
                <w:szCs w:val="24"/>
                <w:color w:val="auto"/>
                <w:vertAlign w:val="superscript"/>
              </w:rPr>
              <w:t>(2)</w:t>
            </w: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top w:val="single" w:sz="8" w:color="auto"/>
            </w:tcBorders>
          </w:tcPr>
          <w:p>
            <w:pPr>
              <w:jc w:val="right"/>
              <w:ind w:right="155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r>
    </w:tbl>
    <w:p>
      <w:pPr>
        <w:spacing w:after="0" w:line="107" w:lineRule="exact"/>
        <w:rPr>
          <w:sz w:val="20"/>
          <w:szCs w:val="20"/>
          <w:color w:val="auto"/>
        </w:rPr>
      </w:pPr>
    </w:p>
    <w:p>
      <w:pPr>
        <w:ind w:left="580" w:hanging="574"/>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of 1933.</w:t>
      </w:r>
    </w:p>
    <w:p>
      <w:pPr>
        <w:spacing w:after="0" w:line="243" w:lineRule="exact"/>
        <w:rPr>
          <w:rFonts w:ascii="Times New Roman" w:cs="Times New Roman" w:eastAsia="Times New Roman" w:hAnsi="Times New Roman"/>
          <w:sz w:val="18"/>
          <w:szCs w:val="18"/>
          <w:color w:val="auto"/>
        </w:rPr>
      </w:pPr>
    </w:p>
    <w:p>
      <w:pPr>
        <w:ind w:left="580" w:hanging="574"/>
        <w:spacing w:after="0" w:line="274"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under one prospectus, our direct offering of an indeterminate number of shares of our common stock that may be sold by us from time to time, for a maximum aggregate offering price of all securities not to exceed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669290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FF0000"/>
        </w:rPr>
        <w:t>Subject to Completion, dated __________, 2014</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167640</wp:posOffset>
            </wp:positionV>
            <wp:extent cx="2028825" cy="951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88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___________ Shares of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________ shares of our common stock (the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on a "best efforts" basis through our officers and directors, who will not receive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or other remuneration for selling shares.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is no minimum number of shares that must be sold by us for the Offering to close, and therefore we may receive no proceeds or very minimal proceeds from the Offering. The aggregate offering price of all securities sold under this Offering may not exceed $__________.</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retain the proceeds from the sale of any of the offered shares that are sold. The Offering is being conducted on a self-underwritten, best efforts basis, which means this prospectus will permit our officers and directors to sell the shares directly to the public, with no commission or other remuneration payable to them for any shares they may sell. The Company may not sell the shares to the public until the Registration Statement of which this prospectus is a part is declared effective by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arrangement to place the proceeds from this Offering in an escrow, trust or similar account. Any funds raised from sales of shares to the public pursuant to this Offering will be immediately available to us for our use and retained by us regardless of whether or not there are any additional sales under this Offering. You will not have the right to withdraw your funds during the Offering. We may offer and sell these securities through the method described under “Plan of Distribution” in this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will terminate upon the earlier to occur of: (i) the sale of all _________ shares being offered, or (ii) 365 days after the Registration Statement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this prospectus is a part is declared effective by the SEC.</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securities are not listed on any national securities exchange. Our common stock is quoted on the Over-the-Counter Market (OTCQB) under the symbol “VSTA”. On May 9, 2014 the closing price for our common stock was $0.40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9 of this prospectus.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2"/>
        </w:trPr>
        <w:tc>
          <w:tcPr>
            <w:tcW w:w="55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Price to the public </w:t>
            </w:r>
            <w:r>
              <w:rPr>
                <w:rFonts w:ascii="Times New Roman" w:cs="Times New Roman" w:eastAsia="Times New Roman" w:hAnsi="Times New Roman"/>
                <w:sz w:val="24"/>
                <w:szCs w:val="24"/>
                <w:color w:val="auto"/>
                <w:vertAlign w:val="superscript"/>
              </w:rPr>
              <w:t>(1)</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_____</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_____</w:t>
            </w:r>
          </w:p>
        </w:tc>
      </w:tr>
      <w:tr>
        <w:trPr>
          <w:trHeight w:val="23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_____</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_____</w:t>
            </w:r>
          </w:p>
        </w:tc>
      </w:tr>
    </w:tbl>
    <w:p>
      <w:pPr>
        <w:spacing w:after="0" w:line="174" w:lineRule="exact"/>
        <w:rPr>
          <w:sz w:val="20"/>
          <w:szCs w:val="20"/>
          <w:color w:val="auto"/>
        </w:rPr>
      </w:pPr>
    </w:p>
    <w:p>
      <w:pPr>
        <w:ind w:firstLine="6"/>
        <w:spacing w:after="0" w:line="225" w:lineRule="auto"/>
        <w:tabs>
          <w:tab w:leader="none" w:pos="198"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Omitted in reliance upon Rule 430A under the Securities Act and may be based upon a discount to the market price of the Company's common stock at the time of pricing not later than 15 business days after the effective date of the registration statement of which this prospectus is a part.</w:t>
      </w:r>
    </w:p>
    <w:p>
      <w:pPr>
        <w:spacing w:after="0" w:line="21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The date of this prospectus is __________,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074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720" w:type="dxa"/>
            <w:vAlign w:val="bottom"/>
            <w:gridSpan w:val="19"/>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Prospectus Summary</w:t>
            </w:r>
          </w:p>
        </w:tc>
        <w:tc>
          <w:tcPr>
            <w:tcW w:w="6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Borders>
              <w:top w:val="single" w:sz="8" w:color="0000EE"/>
              <w:bottom w:val="single" w:sz="8" w:color="0000EE"/>
            </w:tcBorders>
            <w:gridSpan w:val="4"/>
          </w:tcPr>
          <w:p>
            <w:pPr>
              <w:spacing w:after="0" w:line="172"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Risk Factors</w:t>
              </w:r>
            </w:hyperlink>
          </w:p>
        </w:tc>
        <w:tc>
          <w:tcPr>
            <w:tcW w:w="580" w:type="dxa"/>
            <w:vAlign w:val="bottom"/>
            <w:tcBorders>
              <w:top w:val="single" w:sz="8" w:color="0000EE"/>
            </w:tcBorders>
            <w:gridSpan w:val="6"/>
          </w:tcPr>
          <w:p>
            <w:pPr>
              <w:spacing w:after="0"/>
              <w:rPr>
                <w:sz w:val="14"/>
                <w:szCs w:val="14"/>
                <w:color w:val="auto"/>
              </w:rPr>
            </w:pPr>
          </w:p>
        </w:tc>
        <w:tc>
          <w:tcPr>
            <w:tcW w:w="9240" w:type="dxa"/>
            <w:vAlign w:val="bottom"/>
            <w:tcBorders>
              <w:top w:val="single" w:sz="8" w:color="CCEEFF"/>
            </w:tcBorders>
            <w:gridSpan w:val="9"/>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Borders>
              <w:bottom w:val="single" w:sz="8" w:color="0000EE"/>
            </w:tcBorders>
            <w:gridSpan w:val="17"/>
            <w:shd w:val="clear" w:color="auto" w:fill="CCEEFF"/>
          </w:tcPr>
          <w:p>
            <w:pPr>
              <w:spacing w:after="0" w:line="192"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Special Note Regarding Forward-Looking Statements</w:t>
              </w:r>
            </w:hyperlink>
          </w:p>
        </w:tc>
        <w:tc>
          <w:tcPr>
            <w:tcW w:w="6920" w:type="dxa"/>
            <w:vAlign w:val="bottom"/>
            <w:tcBorders>
              <w:bottom w:val="single" w:sz="8" w:color="CCEEFF"/>
            </w:tcBorders>
            <w:gridSpan w:val="2"/>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Borders>
              <w:bottom w:val="single" w:sz="8" w:color="0000EE"/>
            </w:tcBorders>
            <w:gridSpan w:val="8"/>
          </w:tcPr>
          <w:p>
            <w:pPr>
              <w:spacing w:after="0" w:line="172" w:lineRule="exact"/>
              <w:rPr>
                <w:sz w:val="20"/>
                <w:szCs w:val="20"/>
                <w:color w:val="auto"/>
              </w:rPr>
            </w:pPr>
            <w:r>
              <w:rPr>
                <w:rFonts w:ascii="Times New Roman" w:cs="Times New Roman" w:eastAsia="Times New Roman" w:hAnsi="Times New Roman"/>
                <w:sz w:val="18"/>
                <w:szCs w:val="18"/>
                <w:color w:val="0000EE"/>
                <w:w w:val="95"/>
              </w:rPr>
              <w:t>Use of Proceeds</w:t>
            </w:r>
          </w:p>
        </w:tc>
        <w:tc>
          <w:tcPr>
            <w:tcW w:w="9580" w:type="dxa"/>
            <w:vAlign w:val="bottom"/>
            <w:gridSpan w:val="11"/>
          </w:tcPr>
          <w:p>
            <w:pPr>
              <w:spacing w:after="0"/>
              <w:rPr>
                <w:sz w:val="14"/>
                <w:szCs w:val="14"/>
                <w:color w:val="auto"/>
              </w:rPr>
            </w:pP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Dividend policy</w:t>
            </w: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top w:val="single" w:sz="8" w:color="0000EE"/>
              <w:bottom w:val="single" w:sz="8" w:color="0000EE"/>
            </w:tcBorders>
            <w:gridSpan w:val="5"/>
          </w:tcPr>
          <w:p>
            <w:pPr>
              <w:spacing w:after="0" w:line="172" w:lineRule="exact"/>
              <w:rPr>
                <w:rFonts w:ascii="Times New Roman" w:cs="Times New Roman" w:eastAsia="Times New Roman" w:hAnsi="Times New Roman"/>
                <w:sz w:val="18"/>
                <w:szCs w:val="18"/>
                <w:color w:val="0000EE"/>
                <w:w w:val="94"/>
              </w:rPr>
            </w:pPr>
            <w:hyperlink w:anchor="page50">
              <w:r>
                <w:rPr>
                  <w:rFonts w:ascii="Times New Roman" w:cs="Times New Roman" w:eastAsia="Times New Roman" w:hAnsi="Times New Roman"/>
                  <w:sz w:val="18"/>
                  <w:szCs w:val="18"/>
                  <w:color w:val="0000EE"/>
                  <w:w w:val="94"/>
                </w:rPr>
                <w:t>Capitalization</w:t>
              </w:r>
            </w:hyperlink>
          </w:p>
        </w:tc>
        <w:tc>
          <w:tcPr>
            <w:tcW w:w="140" w:type="dxa"/>
            <w:vAlign w:val="bottom"/>
            <w:tcBorders>
              <w:top w:val="single" w:sz="8" w:color="0000EE"/>
            </w:tcBorders>
            <w:gridSpan w:val="2"/>
          </w:tcPr>
          <w:p>
            <w:pPr>
              <w:spacing w:after="0"/>
              <w:rPr>
                <w:sz w:val="14"/>
                <w:szCs w:val="14"/>
                <w:color w:val="auto"/>
              </w:rPr>
            </w:pPr>
          </w:p>
        </w:tc>
        <w:tc>
          <w:tcPr>
            <w:tcW w:w="9600" w:type="dxa"/>
            <w:vAlign w:val="bottom"/>
            <w:tcBorders>
              <w:top w:val="single" w:sz="8" w:color="CCEEFF"/>
            </w:tcBorders>
            <w:gridSpan w:val="12"/>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 w:type="dxa"/>
            <w:vAlign w:val="bottom"/>
            <w:tcBorders>
              <w:bottom w:val="single" w:sz="8" w:color="0000EE"/>
            </w:tcBorders>
            <w:gridSpan w:val="2"/>
            <w:shd w:val="clear" w:color="auto" w:fill="CCEEFF"/>
          </w:tcPr>
          <w:p>
            <w:pPr>
              <w:spacing w:after="0" w:line="192" w:lineRule="exact"/>
              <w:rPr>
                <w:rFonts w:ascii="Times New Roman" w:cs="Times New Roman" w:eastAsia="Times New Roman" w:hAnsi="Times New Roman"/>
                <w:sz w:val="18"/>
                <w:szCs w:val="18"/>
                <w:color w:val="0000EE"/>
                <w:w w:val="93"/>
              </w:rPr>
            </w:pPr>
            <w:hyperlink w:anchor="page51">
              <w:r>
                <w:rPr>
                  <w:rFonts w:ascii="Times New Roman" w:cs="Times New Roman" w:eastAsia="Times New Roman" w:hAnsi="Times New Roman"/>
                  <w:sz w:val="18"/>
                  <w:szCs w:val="18"/>
                  <w:color w:val="0000EE"/>
                  <w:w w:val="93"/>
                </w:rPr>
                <w:t>Dilution</w:t>
              </w:r>
            </w:hyperlink>
          </w:p>
        </w:tc>
        <w:tc>
          <w:tcPr>
            <w:tcW w:w="10140" w:type="dxa"/>
            <w:vAlign w:val="bottom"/>
            <w:tcBorders>
              <w:bottom w:val="single" w:sz="8" w:color="CCEEFF"/>
            </w:tcBorders>
            <w:gridSpan w:val="17"/>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sz w:val="20"/>
                <w:szCs w:val="20"/>
                <w:color w:val="auto"/>
              </w:rPr>
            </w:pPr>
            <w:r>
              <w:rPr>
                <w:rFonts w:ascii="Times New Roman" w:cs="Times New Roman" w:eastAsia="Times New Roman" w:hAnsi="Times New Roman"/>
                <w:sz w:val="18"/>
                <w:szCs w:val="18"/>
                <w:color w:val="0000EE"/>
              </w:rPr>
              <w:t>Selected Financial Data</w:t>
            </w: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Borders>
              <w:top w:val="single" w:sz="8" w:color="0000EE"/>
              <w:bottom w:val="single" w:sz="8" w:color="0000EE"/>
            </w:tcBorders>
            <w:gridSpan w:val="3"/>
          </w:tcPr>
          <w:p>
            <w:pPr>
              <w:spacing w:after="0" w:line="172" w:lineRule="exact"/>
              <w:rPr>
                <w:rFonts w:ascii="Times New Roman" w:cs="Times New Roman" w:eastAsia="Times New Roman" w:hAnsi="Times New Roman"/>
                <w:sz w:val="18"/>
                <w:szCs w:val="18"/>
                <w:color w:val="0000EE"/>
                <w:w w:val="93"/>
              </w:rPr>
            </w:pPr>
            <w:hyperlink w:anchor="page71">
              <w:r>
                <w:rPr>
                  <w:rFonts w:ascii="Times New Roman" w:cs="Times New Roman" w:eastAsia="Times New Roman" w:hAnsi="Times New Roman"/>
                  <w:sz w:val="18"/>
                  <w:szCs w:val="18"/>
                  <w:color w:val="0000EE"/>
                  <w:w w:val="93"/>
                </w:rPr>
                <w:t>Business</w:t>
              </w:r>
            </w:hyperlink>
          </w:p>
        </w:tc>
        <w:tc>
          <w:tcPr>
            <w:tcW w:w="5700" w:type="dxa"/>
            <w:vAlign w:val="bottom"/>
            <w:tcBorders>
              <w:top w:val="single" w:sz="8" w:color="0000EE"/>
            </w:tcBorders>
            <w:gridSpan w:val="15"/>
          </w:tcPr>
          <w:p>
            <w:pPr>
              <w:spacing w:after="0"/>
              <w:rPr>
                <w:sz w:val="14"/>
                <w:szCs w:val="14"/>
                <w:color w:val="auto"/>
              </w:rPr>
            </w:pPr>
          </w:p>
        </w:tc>
        <w:tc>
          <w:tcPr>
            <w:tcW w:w="440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720" w:type="dxa"/>
            <w:vAlign w:val="bottom"/>
            <w:gridSpan w:val="19"/>
            <w:shd w:val="clear" w:color="auto" w:fill="CCEEFF"/>
          </w:tcPr>
          <w:p>
            <w:pPr>
              <w:spacing w:after="0" w:line="19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Management</w:t>
              </w:r>
            </w:hyperlink>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44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Related Party Transactions</w:t>
              </w:r>
            </w:hyperlink>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60" w:type="dxa"/>
            <w:vAlign w:val="bottom"/>
            <w:tcBorders>
              <w:top w:val="single" w:sz="8" w:color="0000EE"/>
              <w:bottom w:val="single" w:sz="8" w:color="0000EE"/>
              <w:right w:val="single" w:sz="8" w:color="CCEEFF"/>
            </w:tcBorders>
            <w:gridSpan w:val="11"/>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9"/>
              </w:rPr>
              <w:t>Principal Stockholders</w:t>
            </w: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8840" w:type="dxa"/>
            <w:vAlign w:val="bottom"/>
            <w:tcBorders>
              <w:bottom w:val="single" w:sz="8" w:color="CCEEFF"/>
            </w:tcBorders>
            <w:gridSpan w:val="7"/>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Borders>
              <w:top w:val="single" w:sz="8" w:color="0000EE"/>
            </w:tcBorders>
            <w:gridSpan w:val="15"/>
          </w:tcPr>
          <w:p>
            <w:pPr>
              <w:spacing w:after="0" w:line="172"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Plan of Distribution</w:t>
              </w:r>
            </w:hyperlink>
          </w:p>
        </w:tc>
        <w:tc>
          <w:tcPr>
            <w:tcW w:w="8560" w:type="dxa"/>
            <w:vAlign w:val="bottom"/>
            <w:tcBorders>
              <w:top w:val="single" w:sz="8" w:color="CCEEFF"/>
            </w:tcBorders>
            <w:gridSpan w:val="4"/>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Borders>
              <w:top w:val="single" w:sz="8" w:color="0000EE"/>
              <w:bottom w:val="single" w:sz="8" w:color="0000EE"/>
            </w:tcBorders>
            <w:gridSpan w:val="5"/>
            <w:shd w:val="clear" w:color="auto" w:fill="CCEEFF"/>
          </w:tcPr>
          <w:p>
            <w:pPr>
              <w:spacing w:after="0" w:line="192" w:lineRule="exact"/>
              <w:rPr>
                <w:rFonts w:ascii="Times New Roman" w:cs="Times New Roman" w:eastAsia="Times New Roman" w:hAnsi="Times New Roman"/>
                <w:sz w:val="18"/>
                <w:szCs w:val="18"/>
                <w:color w:val="0000EE"/>
                <w:w w:val="95"/>
              </w:rPr>
            </w:pPr>
            <w:hyperlink w:anchor="page128">
              <w:r>
                <w:rPr>
                  <w:rFonts w:ascii="Times New Roman" w:cs="Times New Roman" w:eastAsia="Times New Roman" w:hAnsi="Times New Roman"/>
                  <w:sz w:val="18"/>
                  <w:szCs w:val="18"/>
                  <w:color w:val="0000EE"/>
                  <w:w w:val="95"/>
                </w:rPr>
                <w:t>Legal Matters</w:t>
              </w:r>
            </w:hyperlink>
          </w:p>
        </w:tc>
        <w:tc>
          <w:tcPr>
            <w:tcW w:w="40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9340" w:type="dxa"/>
            <w:vAlign w:val="bottom"/>
            <w:tcBorders>
              <w:bottom w:val="single" w:sz="8" w:color="CCEEFF"/>
            </w:tcBorders>
            <w:gridSpan w:val="10"/>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sz w:val="20"/>
                <w:szCs w:val="20"/>
                <w:color w:val="auto"/>
              </w:rPr>
            </w:pPr>
            <w:r>
              <w:rPr>
                <w:rFonts w:ascii="Times New Roman" w:cs="Times New Roman" w:eastAsia="Times New Roman" w:hAnsi="Times New Roman"/>
                <w:sz w:val="18"/>
                <w:szCs w:val="18"/>
                <w:color w:val="0000EE"/>
              </w:rPr>
              <w:t>Experts</w:t>
            </w: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Borders>
              <w:bottom w:val="single" w:sz="8" w:color="0000EE"/>
            </w:tcBorders>
            <w:gridSpan w:val="16"/>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Where You Can Find More Information</w:t>
            </w:r>
          </w:p>
        </w:tc>
        <w:tc>
          <w:tcPr>
            <w:tcW w:w="7920" w:type="dxa"/>
            <w:vAlign w:val="bottom"/>
            <w:tcBorders>
              <w:bottom w:val="single" w:sz="8" w:color="CCEEFF"/>
            </w:tcBorders>
            <w:gridSpan w:val="3"/>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tcPr>
          <w:p>
            <w:pPr>
              <w:spacing w:after="0"/>
              <w:rPr>
                <w:sz w:val="14"/>
                <w:szCs w:val="14"/>
                <w:color w:val="auto"/>
              </w:rPr>
            </w:pPr>
          </w:p>
        </w:tc>
        <w:tc>
          <w:tcPr>
            <w:tcW w:w="2100" w:type="dxa"/>
            <w:vAlign w:val="bottom"/>
            <w:tcBorders>
              <w:bottom w:val="single" w:sz="8" w:color="0000EE"/>
            </w:tcBorders>
            <w:gridSpan w:val="14"/>
          </w:tcPr>
          <w:p>
            <w:pPr>
              <w:spacing w:after="0" w:line="172" w:lineRule="exact"/>
              <w:rPr>
                <w:rFonts w:ascii="Times New Roman" w:cs="Times New Roman" w:eastAsia="Times New Roman" w:hAnsi="Times New Roman"/>
                <w:sz w:val="18"/>
                <w:szCs w:val="18"/>
                <w:color w:val="0000EE"/>
                <w:w w:val="96"/>
              </w:rPr>
            </w:pPr>
            <w:hyperlink w:anchor="page148">
              <w:r>
                <w:rPr>
                  <w:rFonts w:ascii="Times New Roman" w:cs="Times New Roman" w:eastAsia="Times New Roman" w:hAnsi="Times New Roman"/>
                  <w:sz w:val="18"/>
                  <w:szCs w:val="18"/>
                  <w:color w:val="0000EE"/>
                  <w:w w:val="96"/>
                </w:rPr>
                <w:t>Index to Financial Statements</w:t>
              </w:r>
            </w:hyperlink>
          </w:p>
        </w:tc>
        <w:tc>
          <w:tcPr>
            <w:tcW w:w="8620" w:type="dxa"/>
            <w:vAlign w:val="bottom"/>
            <w:gridSpan w:val="5"/>
          </w:tcPr>
          <w:p>
            <w:pPr>
              <w:spacing w:after="0"/>
              <w:rPr>
                <w:sz w:val="14"/>
                <w:szCs w:val="14"/>
                <w:color w:val="auto"/>
              </w:rPr>
            </w:pPr>
          </w:p>
        </w:tc>
        <w:tc>
          <w:tcPr>
            <w:tcW w:w="6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w:t>
      </w:r>
    </w:p>
    <w:p>
      <w:pPr>
        <w:spacing w:after="0" w:line="208"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8"/>
          <w:szCs w:val="18"/>
          <w:color w:val="auto"/>
        </w:rPr>
        <w:t xml:space="preserve">We own or have rights to use a number of common law trademarks and trade names that we use in connection with our business, including VistaGen Therapeutics, Inc., VistaGen, our logo, </w:t>
      </w:r>
      <w:r>
        <w:rPr>
          <w:rFonts w:ascii="Times New Roman" w:cs="Times New Roman" w:eastAsia="Times New Roman" w:hAnsi="Times New Roman"/>
          <w:sz w:val="18"/>
          <w:szCs w:val="18"/>
          <w:i w:val="1"/>
          <w:iCs w:val="1"/>
          <w:color w:val="auto"/>
        </w:rPr>
        <w:t>Better Cells Lead to Better Medicine, Human Clinical Trials in a Test Tube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ECG in a Test Tube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Putting Humans Firs</w:t>
      </w: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Drug Rescue Variants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CardioSafe </w:t>
      </w:r>
      <w:r>
        <w:rPr>
          <w:rFonts w:ascii="Times New Roman" w:cs="Times New Roman" w:eastAsia="Times New Roman" w:hAnsi="Times New Roman"/>
          <w:sz w:val="18"/>
          <w:szCs w:val="18"/>
          <w:color w:val="auto"/>
        </w:rPr>
        <w:t>3D and</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Solely for convenience, the trademarks and trade names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portions of this prospectus may have been included without the TM symbol, but any such references are not intended to indicate in any way that we will not assert to the fullest extent under applicable law our rights to use those trademarks and trade names. All other trademarks, service marks and trade names referred to in this prospectus, if any, are, to our knowledge, the property of their respective owners.</w:t>
      </w:r>
    </w:p>
    <w:p>
      <w:pPr>
        <w:spacing w:after="0" w:line="213"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wholly-owned subsidiary.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a stem cell company headquartered in South San Francisco, California and focused on drug rescue and regenerative medicine. We believe </w:t>
      </w:r>
      <w:r>
        <w:rPr>
          <w:rFonts w:ascii="Times New Roman" w:cs="Times New Roman" w:eastAsia="Times New Roman" w:hAnsi="Times New Roman"/>
          <w:sz w:val="18"/>
          <w:szCs w:val="18"/>
          <w:i w:val="1"/>
          <w:iCs w:val="1"/>
          <w:color w:val="auto"/>
        </w:rPr>
        <w:t>better cells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lead to better medicine</w:t>
      </w:r>
      <w:r>
        <w:rPr>
          <w:rFonts w:ascii="Times New Roman" w:cs="Times New Roman" w:eastAsia="Times New Roman" w:hAnsi="Times New Roman"/>
          <w:sz w:val="18"/>
          <w:szCs w:val="18"/>
          <w:color w:val="auto"/>
        </w:rPr>
        <w:t>™ and that the key to making better cells is precisely controlling the differentiation of human pluripotent stem cells, which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blocks of all cells of the human body. For over 15 years, our stem cell research and development teams and collaborators have focused on controlling the differentiation of pluripotent stem cells to produce multiple types of mature, functional, adult human cells, with emphasis on human heart and liver cells for drug rescue applications.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Stem Cell Technology Platform - Human Clinical Trials in a Test Tube™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stem cell technology platform, which we refer to as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heart cells and liver cells for our drug rescue applications. Upon completion of this offering, we intend to focus on the drug rescue applications utilizing human heart and liver cells, and further advance, through collaborative research projects, pharmaceutical applications of stem cell-derived blood, bone, cartilage, heart, liver and pancreatic beta-islet cells, including exploring opportunities to leverage our stem cell technology platform for regenerative medicine purposes. Our emphasis in the regenerative medicine arena will be on developing novel human disease models for discovery of small molecule drugs and biologics that activate the endogenous growth and healing processes enabling the body to repair tissue damage caused by certain degenerative diseases.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CardioSafe 3D™</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Using mature cardiomyocytes (heart cells) differentiated from human pluripotent stem cells, we have developed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 a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 used to assess new drug candidates for potential cardiac toxicity before they are tested in animals or humans. We believe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capable of predicting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cardiac effects, both toxic and non-toxic, of small molecule drug candidates with greater speed and precision than the long-established, surrogate safety models most often used in drug development, including models using animal cells or live animals, and cellular assays using cadaver, immortalized or transformed cells. Our pluripotent stem cell derived cardiomyocytes (heart cells)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key components of our </w:t>
      </w:r>
      <w:r>
        <w:rPr>
          <w:rFonts w:ascii="Times New Roman" w:cs="Times New Roman" w:eastAsia="Times New Roman" w:hAnsi="Times New Roman"/>
          <w:sz w:val="18"/>
          <w:szCs w:val="18"/>
          <w:i w:val="1"/>
          <w:iCs w:val="1"/>
          <w:color w:val="auto"/>
        </w:rPr>
        <w:t>Human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Trials in a Test Tube </w:t>
      </w:r>
      <w:r>
        <w:rPr>
          <w:rFonts w:ascii="Times New Roman" w:cs="Times New Roman" w:eastAsia="Times New Roman" w:hAnsi="Times New Roman"/>
          <w:sz w:val="18"/>
          <w:szCs w:val="18"/>
          <w:color w:val="auto"/>
        </w:rPr>
        <w:t>platform and drug rescue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LiverSafe 3D™</w:t>
      </w:r>
    </w:p>
    <w:p>
      <w:pPr>
        <w:spacing w:after="0" w:line="2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Using mature, hepatocytes (liver cells) derived from human pluripotent stem cells, with adult functional properties, we are currently validating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our second novel stem cell technology-based bioassay system. We believe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will enable us to assess new drug candidates for potential liver toxicity and metabolism-based safety issues resulting in adverse drug-drug interactions, early in development, before animal or human testing. Drug-related liver toxicity and adverse drug metabolism, as a group, represent one of the top-two reasons for safety-related drug failure during clinical development. We plan to use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and the clinically predictive liver biology insight we believe it provides, to expand the scope of our commercial opportunities related to drug rescue.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believe drug rescue, using our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the foundation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promising drug candidates have already been tested extensively and validated by a pharmaceutical or biotechnology company for their therapeutic (efficacy) and commercial potential. We refer to these promising new drug candidates that have been discovered, developed and ultimately terminated by pharmaceutical and biotechnology companies as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Failure of promising new drug candidates due to unexpected human clinical toxicity highlights the need for new paradigms to evaluate potential toxicity early in drug development. While efforts of pharmaceutical and biotechnology companies to improve their prediction of human clinical toxicity for new drug candidates is ongoing, the existence of many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offers us an opportunity to use our novel drug rescue technology to take advantage of these promising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each with early signs of efficacy, by eliminating the toxicity that caused them to be terminated, and bring new, safer versions back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development protected by new intellectual property. We refer to these new, safer versions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produce with our medicinal chemistry collaborator and validate internally in our bioassay systems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designed our drug rescue model to leverage publicly available information and substantial prior investment by pharmaceutical companies and others 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The key commercial objective of our drug rescue model is to generate revenue from license,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involving the new, safer and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produce with our medicinal chemistry collaborator and validate internally in our bioassay systems prior to license. We anticipate that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will be suitable as a promising drug development program, either internally or in collaboration with a strategic partner. Through stem cell technology-based drug rescue, we intend to become a leading source of proprietary, small molecule drug candidates to the global pharmaceutical industry.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Rescue Strategy</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believe the pre-existing public domain knowledge base supporting the therapeutic and commercial potential of our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will provide us with a valuable head start as we launch our drug rescue programs. Leveraging the substantial prior investments by global pharmaceutical companies and others in discovery and efficacy validation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is an essential component of our drug rescue strategy.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current drug rescue emphasis is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discontinued prior to FDA market approval due to unexpected cardiac safety concerns. By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biological insight not previously available when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was originally discovered and developed, we believe we can demonstrate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as to the efficacy and safety of </w:t>
      </w:r>
      <w:r>
        <w:rPr>
          <w:rFonts w:ascii="Times New Roman" w:cs="Times New Roman" w:eastAsia="Times New Roman" w:hAnsi="Times New Roman"/>
          <w:sz w:val="18"/>
          <w:szCs w:val="18"/>
          <w:i w:val="1"/>
          <w:iCs w:val="1"/>
          <w:color w:val="auto"/>
        </w:rPr>
        <w:t xml:space="preserve">Drug Rescue Variants </w:t>
      </w:r>
      <w:r>
        <w:rPr>
          <w:rFonts w:ascii="Times New Roman" w:cs="Times New Roman" w:eastAsia="Times New Roman" w:hAnsi="Times New Roman"/>
          <w:sz w:val="18"/>
          <w:szCs w:val="18"/>
          <w:color w:val="auto"/>
        </w:rPr>
        <w:t>earlier in development and with substantially less investment in discovery and development than was required of the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prior to their decision to terminate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current drug rescue strategy are as follows:</w:t>
      </w:r>
    </w:p>
    <w:p>
      <w:pPr>
        <w:spacing w:after="0" w:line="242" w:lineRule="exact"/>
        <w:rPr>
          <w:sz w:val="20"/>
          <w:szCs w:val="20"/>
          <w:color w:val="auto"/>
        </w:rPr>
      </w:pPr>
    </w:p>
    <w:p>
      <w:pPr>
        <w:jc w:val="both"/>
        <w:ind w:left="640" w:hanging="338"/>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identify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preferred provider of contract medicinal chemistry and contract clinical development services, respectively;</w:t>
      </w:r>
    </w:p>
    <w:p>
      <w:pPr>
        <w:spacing w:after="0" w:line="206"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substantial prior R&amp;D investments made by global pharmaceutical companies and others to support the therapeutic and commercial potential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as an important criterion for selection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potential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important biological insight not available when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were originally discovered and developed by pharmaceutical companies;</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our knowledgebase about each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specific chemistry to design and produce a portfolio of novel potential lead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for each</w:t>
      </w:r>
      <w:r>
        <w:rPr>
          <w:rFonts w:ascii="Times New Roman" w:cs="Times New Roman" w:eastAsia="Times New Roman" w:hAnsi="Times New Roman"/>
          <w:sz w:val="18"/>
          <w:szCs w:val="18"/>
          <w:i w:val="1"/>
          <w:iCs w:val="1"/>
          <w:color w:val="auto"/>
        </w:rPr>
        <w:t xml:space="preserve"> Drug Rescue Candidate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pre-existing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efficacy models to assess the efficacy and cardiac safety of potential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identify and validate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and</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global pharmaceutical company in a revenue-generating agreement providing for the full development, market approval and commercial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 Candidates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current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are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Drug Rescue Candidate</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Developer</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Terminated</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Reason for Termination</w:t>
            </w: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Mechanism</w:t>
            </w:r>
          </w:p>
        </w:tc>
      </w:tr>
      <w:tr>
        <w:trPr>
          <w:trHeight w:val="212"/>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VSTA-1C05</w:t>
            </w:r>
          </w:p>
        </w:tc>
        <w:tc>
          <w:tcPr>
            <w:tcW w:w="13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Cancer</w:t>
            </w:r>
          </w:p>
        </w:tc>
        <w:tc>
          <w:tcPr>
            <w:tcW w:w="11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Pharma</w:t>
            </w:r>
          </w:p>
        </w:tc>
        <w:tc>
          <w:tcPr>
            <w:tcW w:w="1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Phase 1/2</w:t>
            </w:r>
          </w:p>
        </w:tc>
        <w:tc>
          <w:tcPr>
            <w:tcW w:w="2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Aurora kinase inhibitors</w:t>
            </w: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VSTA-1A08</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Cancer</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PI3 kinase inhibitor</w:t>
            </w: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VSTA-2A21</w:t>
            </w:r>
          </w:p>
        </w:tc>
        <w:tc>
          <w:tcPr>
            <w:tcW w:w="1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Dementia</w:t>
            </w: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Pharma</w:t>
            </w:r>
          </w:p>
        </w:tc>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Preclinical</w:t>
            </w:r>
          </w:p>
        </w:tc>
        <w:tc>
          <w:tcPr>
            <w:tcW w:w="2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Nicotinic a7 receptors</w:t>
            </w:r>
          </w:p>
        </w:tc>
      </w:tr>
      <w:tr>
        <w:trPr>
          <w:trHeight w:val="231"/>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VSTA-5A03</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HIV</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Pharma</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Integrase inhibitor</w:t>
            </w:r>
          </w:p>
        </w:tc>
      </w:tr>
    </w:tbl>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believe our exclusive focus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established, therapeutic and commercial potential, and our ability to build on that valuable head start using our expertise in human biology, will help us to generate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without incurring many of the high costs and risks typically inherent in the labor-intensive early-stage drug discovery screening necessary to identify a lead compound that has a desired therapeutic profile. Although we plan to continue to identify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public domain, we may also seek to acquire rights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not currently available to us in the public domain by entering into contractual arrangements with third-parties.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Licensing of Drug Rescue Variants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many pharmaceutical companies are experiencing, and will continue to experience, critical R&amp;D productivity issues, as measured by their lack of, or very low number of, FDA-approved products each year during the past decade. For example, in 2013, the U.S. pharmaceutical industry invested over $51 billion in R&amp;D and the Center for Drug Evaluation and Research (CDER) of the FDA approved a total of only thirty-nine novel drugs, known as New Molecular Entities (NMEs). In 2013, CDER approved only twenty-seven NMEs, thirteen of which NME approvals (48%) were received by only five pharmaceutical companies, including Bayer (2), GlaxoSmithKline (4), Johnson &amp; Johnson (3), Roche (2) and Takeda (2). Despite remarkable levels of R&amp;D investment by the global pharmaceutical industry as a whole, since 2003, the FDA has only approved an average of approximately twenty-six NMEs per year. In addition, we believe many pharmaceutical companies with established products that are no longer patent protected are also experiencing substantial market pressure from generic competition.</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a result of R&amp;D productivity issues, diminishing product pipelines and generic competition, we believe there is and will continue to be a critical need among pharmaceutical companies to license the new, safer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are focused on developing, including companies that originally discovered, developed and ultimately discontinued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select for our drug rescue programs.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Once we achieve proof-of-concept (POC)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 to the efficacy and safety of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we intend to announce the results of our internal POC studies and, at that time, consider whether we will seek to license that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including the company that developed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or further develop it on our own. If we decide to license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and that we will receive licensing revenue through payments to us from the license upon signing the license agreement, achievement of development and regulatory milestones, and, if approved and marketed, upon commercial sales.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and Drug Discovery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Although we believe the best and most valuable near term commercial application of our stem cell technology platform,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is for small molecule drug rescue, we also believe stem cell technology-based regenerative medicine has the potential to transform healthcare in the U.S. over the next decade by altering the fundamental mechanisms of disease and help slow rapidly rising healthcare costs in the U.S. Upon completion of this offering, we intend to explore opportunities to leverage our stem cell technology platform for regenerative medicine purposes, with emphasis on developing novel human disease models for discovery of small molecule drugs and biologics with regenerative and therapeutic potential. Our regenerative medicine focus will be based on our expertise in human biology and differentiation of human pluripotent stem cells to develop functional adult human cells and tissues involved in human disease, including blood, bone, cartilage, heart, liver and insulin-producing pancreatic beta-islet cells. Our objective will be to explore regenerative medicine opportunities through pilot nonclinical proof-of-concept studies, after which we intend to assess any potential opportunities for further development and commercialization of therapeutically and commercially promising regenerative medicine programs, either on our own or with strategic partners.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Neuropathic Pain, Epilepsy and Depression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$8.8 million of grant funding awarded from the U.S. National Institutes of Health, we have successfully completed Phase 1 development of AV-101. AV-101, also known as “L-4-chlorokynurenine” and “4-Cl-KYN”, is an orally available small molecule prodrug candidate aimed at the multi-billion dollar neurological disease and disorders market, including neuropathic pain, a serious and chronic condition causing pain after an injury or disease of the peripheral or central nervous system, epilepsy and depression. Our AV-101 IND application on file at the FDA covers clinical development for neuropathic pain. However, we believe the Phase 1 AV-101 safety studies completed to date will support development of AV-101 for multiple indications, including epilepsy and depression. Upon completion of this offering, we intend to pursue potential opportunities for further development and commercialization of AV-101 for neuropathic pain, epilepsy and depression, either on our own or with a strategic partner. In the event that we successfully complete a strategic partnering arrangement for AV-101, we plan to use the net proceeds from such an arrangement to expand our drug rescue and regenerative medicine programs.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are discussed more fully under the caption “Risk factors” and include, but are not limited to, the following:</w:t>
      </w:r>
    </w:p>
    <w:p>
      <w:pPr>
        <w:spacing w:after="0" w:line="217" w:lineRule="exact"/>
        <w:rPr>
          <w:sz w:val="20"/>
          <w:szCs w:val="20"/>
          <w:color w:val="auto"/>
        </w:rPr>
      </w:pPr>
    </w:p>
    <w:p>
      <w:pPr>
        <w:ind w:left="280" w:hanging="274"/>
        <w:spacing w:after="0" w:line="304" w:lineRule="auto"/>
        <w:tabs>
          <w:tab w:leader="none" w:pos="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anticipate that we will continue to incur substantial losses for the foreseeable future. We may never achieve or sustain profitability, which would depress the market price of our common stock, and could cause you to lose all or a part of your investment.</w:t>
      </w:r>
    </w:p>
    <w:p>
      <w:pPr>
        <w:spacing w:after="0" w:line="141" w:lineRule="exact"/>
        <w:rPr>
          <w:rFonts w:ascii="Times New Roman" w:cs="Times New Roman" w:eastAsia="Times New Roman" w:hAnsi="Times New Roman"/>
          <w:sz w:val="17"/>
          <w:szCs w:val="17"/>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products that achieve sufficient market acceptance, our revenue will be adversely affected.</w:t>
      </w:r>
    </w:p>
    <w:p>
      <w:pPr>
        <w:spacing w:after="0" w:line="215" w:lineRule="exact"/>
        <w:rPr>
          <w:rFonts w:ascii="Times New Roman" w:cs="Times New Roman" w:eastAsia="Times New Roman" w:hAnsi="Times New Roman"/>
          <w:sz w:val="18"/>
          <w:szCs w:val="18"/>
          <w:color w:val="auto"/>
        </w:rPr>
      </w:pPr>
    </w:p>
    <w:p>
      <w:pPr>
        <w:jc w:val="both"/>
        <w:ind w:left="280" w:hanging="274"/>
        <w:spacing w:after="0" w:line="256"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future success is highly dependent upon our ability to produce, validate and license to pharmaceutical and biotechnology companies novel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Variants</w:t>
      </w:r>
      <w:r>
        <w:rPr>
          <w:rFonts w:ascii="Times New Roman" w:cs="Times New Roman" w:eastAsia="Times New Roman" w:hAnsi="Times New Roman"/>
          <w:sz w:val="18"/>
          <w:szCs w:val="18"/>
          <w:color w:val="auto"/>
        </w:rPr>
        <w:t>, which are intended to be safer, proprietary chemical variants of once-promising small molecule drug candidates which pharmaceutical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others discovered, determined to have therapeutic and commercial potential, and ultimately discontinued due to heart or liver safety concerns after substantial investment and prior to receiving FDA approval.</w:t>
      </w:r>
    </w:p>
    <w:p>
      <w:pPr>
        <w:spacing w:after="0" w:line="179" w:lineRule="exact"/>
        <w:rPr>
          <w:rFonts w:ascii="Times New Roman" w:cs="Times New Roman" w:eastAsia="Times New Roman" w:hAnsi="Times New Roman"/>
          <w:sz w:val="18"/>
          <w:szCs w:val="18"/>
          <w:color w:val="auto"/>
        </w:rPr>
      </w:pPr>
    </w:p>
    <w:p>
      <w:pPr>
        <w:ind w:left="280" w:hanging="274"/>
        <w:spacing w:after="0" w:line="274"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human heart cell- and liver cell-based bioassay systems may not be meaningfully more clinically predictive of human biology than surrogate safety models currently used in drug development.</w:t>
      </w:r>
    </w:p>
    <w:p>
      <w:pPr>
        <w:spacing w:after="0" w:line="163" w:lineRule="exact"/>
        <w:rPr>
          <w:rFonts w:ascii="Times New Roman" w:cs="Times New Roman" w:eastAsia="Times New Roman" w:hAnsi="Times New Roman"/>
          <w:sz w:val="18"/>
          <w:szCs w:val="18"/>
          <w:color w:val="auto"/>
        </w:rPr>
      </w:pPr>
    </w:p>
    <w:p>
      <w:pPr>
        <w:ind w:left="280" w:hanging="274"/>
        <w:spacing w:after="0" w:line="274"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sciences field undergoes rapid technological changes, frequent new product introductions, changing needs and preferences, emerging competition, evolving standards and strong competition.</w:t>
      </w:r>
    </w:p>
    <w:p>
      <w:pPr>
        <w:spacing w:after="0" w:line="163"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certain technologies that are licensed to us. If we are unable to maintain our licenses, our business could be adversely affected.</w:t>
      </w:r>
    </w:p>
    <w:p>
      <w:pPr>
        <w:spacing w:after="0" w:line="217" w:lineRule="exact"/>
        <w:rPr>
          <w:rFonts w:ascii="Times New Roman" w:cs="Times New Roman" w:eastAsia="Times New Roman" w:hAnsi="Times New Roman"/>
          <w:sz w:val="18"/>
          <w:szCs w:val="18"/>
          <w:color w:val="auto"/>
        </w:rPr>
      </w:pPr>
    </w:p>
    <w:p>
      <w:pPr>
        <w:ind w:left="280" w:hanging="274"/>
        <w:spacing w:after="0" w:line="274"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technology through patents and other means is uncertain and we may be involved in lawsuits to protect or enforce our patents and proprietary rights or to defend against intellectual property infringement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Times New Roman" w:cs="Times New Roman" w:eastAsia="Times New Roman" w:hAnsi="Times New Roman"/>
          <w:sz w:val="18"/>
          <w:szCs w:val="18"/>
          <w:i w:val="1"/>
          <w:iCs w:val="1"/>
          <w:color w:val="auto"/>
        </w:rPr>
        <w:t>www.vistagen.com</w:t>
      </w:r>
      <w:r>
        <w:rPr>
          <w:rFonts w:ascii="Times New Roman" w:cs="Times New Roman" w:eastAsia="Times New Roman" w:hAnsi="Times New Roman"/>
          <w:sz w:val="18"/>
          <w:szCs w:val="18"/>
          <w:color w:val="auto"/>
        </w:rPr>
        <w:t>. The information on our website is not part of this prospectus. We have included our website address as a factual reference and do not intend it to be an active link to our website.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6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244"/>
        </w:trPr>
        <w:tc>
          <w:tcPr>
            <w:tcW w:w="4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 offered by VistaGen Therapeutics, Inc.</w:t>
            </w: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_________ shares</w:t>
            </w:r>
          </w:p>
        </w:tc>
        <w:tc>
          <w:tcPr>
            <w:tcW w:w="0" w:type="dxa"/>
            <w:vAlign w:val="bottom"/>
          </w:tcPr>
          <w:p>
            <w:pPr>
              <w:spacing w:after="0"/>
              <w:rPr>
                <w:sz w:val="1"/>
                <w:szCs w:val="1"/>
                <w:color w:val="auto"/>
              </w:rPr>
            </w:pPr>
          </w:p>
        </w:tc>
      </w:tr>
      <w:tr>
        <w:trPr>
          <w:trHeight w:val="32"/>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4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_________ shares</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4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funding our</w:t>
            </w: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operations, approximately as follows: $______ for research and product</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development expenses related to our stem cell technology-based </w:t>
            </w:r>
            <w:r>
              <w:rPr>
                <w:rFonts w:ascii="Times New Roman" w:cs="Times New Roman" w:eastAsia="Times New Roman" w:hAnsi="Times New Roman"/>
                <w:sz w:val="18"/>
                <w:szCs w:val="18"/>
                <w:i w:val="1"/>
                <w:iCs w:val="1"/>
                <w:color w:val="auto"/>
              </w:rPr>
              <w:t>Human</w:t>
            </w:r>
          </w:p>
        </w:tc>
        <w:tc>
          <w:tcPr>
            <w:tcW w:w="0" w:type="dxa"/>
            <w:vAlign w:val="bottom"/>
          </w:tcPr>
          <w:p>
            <w:pPr>
              <w:spacing w:after="0"/>
              <w:rPr>
                <w:sz w:val="1"/>
                <w:szCs w:val="1"/>
                <w:color w:val="auto"/>
              </w:rPr>
            </w:pPr>
          </w:p>
        </w:tc>
      </w:tr>
      <w:tr>
        <w:trPr>
          <w:trHeight w:val="214"/>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 xml:space="preserve">Clinical Trials in a Test Tube </w:t>
            </w:r>
            <w:r>
              <w:rPr>
                <w:rFonts w:ascii="Times New Roman" w:cs="Times New Roman" w:eastAsia="Times New Roman" w:hAnsi="Times New Roman"/>
                <w:sz w:val="18"/>
                <w:szCs w:val="18"/>
                <w:color w:val="auto"/>
                <w:w w:val="99"/>
              </w:rPr>
              <w:t>platform, including</w:t>
            </w:r>
            <w:r>
              <w:rPr>
                <w:rFonts w:ascii="Times New Roman" w:cs="Times New Roman" w:eastAsia="Times New Roman" w:hAnsi="Times New Roman"/>
                <w:sz w:val="18"/>
                <w:szCs w:val="18"/>
                <w:i w:val="1"/>
                <w:iCs w:val="1"/>
                <w:color w:val="auto"/>
                <w:w w:val="99"/>
              </w:rPr>
              <w:t xml:space="preserve"> Drug Rescue Variants</w:t>
            </w:r>
            <w:r>
              <w:rPr>
                <w:rFonts w:ascii="Times New Roman" w:cs="Times New Roman" w:eastAsia="Times New Roman" w:hAnsi="Times New Roman"/>
                <w:sz w:val="18"/>
                <w:szCs w:val="18"/>
                <w:color w:val="auto"/>
                <w:w w:val="99"/>
              </w:rPr>
              <w:t>, novel</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human cell-based assay systems for drug discovery, and pilot nonclinical</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regenerative medicine studies; $______ for general and administrative</w:t>
            </w:r>
          </w:p>
        </w:tc>
        <w:tc>
          <w:tcPr>
            <w:tcW w:w="0" w:type="dxa"/>
            <w:vAlign w:val="bottom"/>
          </w:tcPr>
          <w:p>
            <w:pPr>
              <w:spacing w:after="0"/>
              <w:rPr>
                <w:sz w:val="1"/>
                <w:szCs w:val="1"/>
                <w:color w:val="auto"/>
              </w:rPr>
            </w:pPr>
          </w:p>
        </w:tc>
      </w:tr>
      <w:tr>
        <w:trPr>
          <w:trHeight w:val="125"/>
        </w:trPr>
        <w:tc>
          <w:tcPr>
            <w:tcW w:w="4480" w:type="dxa"/>
            <w:vAlign w:val="bottom"/>
            <w:tcBorders>
              <w:lef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expenses, including audit, legal and other professional services related to</w:t>
            </w:r>
          </w:p>
        </w:tc>
        <w:tc>
          <w:tcPr>
            <w:tcW w:w="0" w:type="dxa"/>
            <w:vAlign w:val="bottom"/>
          </w:tcPr>
          <w:p>
            <w:pPr>
              <w:spacing w:after="0"/>
              <w:rPr>
                <w:sz w:val="1"/>
                <w:szCs w:val="1"/>
                <w:color w:val="auto"/>
              </w:rPr>
            </w:pPr>
          </w:p>
        </w:tc>
      </w:tr>
      <w:tr>
        <w:trPr>
          <w:trHeight w:val="87"/>
        </w:trPr>
        <w:tc>
          <w:tcPr>
            <w:tcW w:w="4480" w:type="dxa"/>
            <w:vAlign w:val="bottom"/>
            <w:tcBorders>
              <w:lef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5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being public company; $______ for property, plant and equipment expenses;</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the remaining proceeds for working capital and other general corporate</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purposes. We may also acquire or invest in complementary businesses or other</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assets; however, we currently have no agreements or commitments to complete</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such transaction. See “Use of Proceeds” on page 44.</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4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Dividend policy</w:t>
            </w: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on our common stock in the near future. You should read the</w:t>
            </w:r>
          </w:p>
        </w:tc>
        <w:tc>
          <w:tcPr>
            <w:tcW w:w="0" w:type="dxa"/>
            <w:vAlign w:val="bottom"/>
          </w:tcPr>
          <w:p>
            <w:pPr>
              <w:spacing w:after="0"/>
              <w:rPr>
                <w:sz w:val="1"/>
                <w:szCs w:val="1"/>
                <w:color w:val="auto"/>
              </w:rPr>
            </w:pPr>
          </w:p>
        </w:tc>
      </w:tr>
      <w:tr>
        <w:trPr>
          <w:trHeight w:val="125"/>
        </w:trPr>
        <w:tc>
          <w:tcPr>
            <w:tcW w:w="4480" w:type="dxa"/>
            <w:vAlign w:val="bottom"/>
            <w:tcBorders>
              <w:lef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“Dividend policy” section of this prospectus for more information on future</w:t>
            </w:r>
          </w:p>
        </w:tc>
        <w:tc>
          <w:tcPr>
            <w:tcW w:w="0" w:type="dxa"/>
            <w:vAlign w:val="bottom"/>
          </w:tcPr>
          <w:p>
            <w:pPr>
              <w:spacing w:after="0"/>
              <w:rPr>
                <w:sz w:val="1"/>
                <w:szCs w:val="1"/>
                <w:color w:val="auto"/>
              </w:rPr>
            </w:pPr>
          </w:p>
        </w:tc>
      </w:tr>
      <w:tr>
        <w:trPr>
          <w:trHeight w:val="87"/>
        </w:trPr>
        <w:tc>
          <w:tcPr>
            <w:tcW w:w="4480" w:type="dxa"/>
            <w:vAlign w:val="bottom"/>
            <w:tcBorders>
              <w:lef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5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declarations and payments of dividends.</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4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OTCQB symbol</w:t>
            </w: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VSTA</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48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124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See “Risk factors” beginning on page 9 of this prospectus for a discussion of</w:t>
            </w:r>
          </w:p>
        </w:tc>
        <w:tc>
          <w:tcPr>
            <w:tcW w:w="0" w:type="dxa"/>
            <w:vAlign w:val="bottom"/>
          </w:tcPr>
          <w:p>
            <w:pPr>
              <w:spacing w:after="0"/>
              <w:rPr>
                <w:sz w:val="1"/>
                <w:szCs w:val="1"/>
                <w:color w:val="auto"/>
              </w:rPr>
            </w:pPr>
          </w:p>
        </w:tc>
      </w:tr>
      <w:tr>
        <w:trPr>
          <w:trHeight w:val="125"/>
        </w:trPr>
        <w:tc>
          <w:tcPr>
            <w:tcW w:w="4480" w:type="dxa"/>
            <w:vAlign w:val="bottom"/>
            <w:tcBorders>
              <w:lef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factors you should carefully consider before investing in our securities.</w:t>
            </w:r>
          </w:p>
        </w:tc>
        <w:tc>
          <w:tcPr>
            <w:tcW w:w="0" w:type="dxa"/>
            <w:vAlign w:val="bottom"/>
          </w:tcPr>
          <w:p>
            <w:pPr>
              <w:spacing w:after="0"/>
              <w:rPr>
                <w:sz w:val="1"/>
                <w:szCs w:val="1"/>
                <w:color w:val="auto"/>
              </w:rPr>
            </w:pPr>
          </w:p>
        </w:tc>
      </w:tr>
      <w:tr>
        <w:trPr>
          <w:trHeight w:val="106"/>
        </w:trPr>
        <w:tc>
          <w:tcPr>
            <w:tcW w:w="4480" w:type="dxa"/>
            <w:vAlign w:val="bottom"/>
            <w:tcBorders>
              <w:lef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24,236,877 shares outstanding as of April 30, 2014, and does not include, as of that date:</w:t>
      </w:r>
    </w:p>
    <w:p>
      <w:pPr>
        <w:spacing w:after="0" w:line="190" w:lineRule="exact"/>
        <w:rPr>
          <w:sz w:val="20"/>
          <w:szCs w:val="20"/>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4,227,357 shares issuable upon the exercise of outstanding options;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735,200 shares of our common stock reserved for issuance in connection with future awards under our stock 2008 Stock Incentive Plan;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17,845,633 shares of our common stock that have been reserved for issuance upon exercise of outstanding warrants;</w:t>
      </w:r>
    </w:p>
    <w:p>
      <w:pPr>
        <w:spacing w:after="0" w:line="21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the exchange of our Series A Preferred Stock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w:t>
      </w:r>
    </w:p>
    <w:p>
      <w:pPr>
        <w:spacing w:after="0" w:line="24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our common stock issuable upon the exercise of warrants to be issued upon the exchange of our Series A Preferred;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shares of common stock and warrants issued upon the purchase of units consisting of shares of common stock, promissory notes and common stock purchase warrants issued in a private placement after April 30, 2014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table presents summary financial data for the periods indicated. The summary statements of operations data for the years ended March 31, 2012 and 2013 and the balance sheet data as of March 31, 2012 and 2013 have been derived from our audited financial statements and notes thereto, which are included elsewhere in this prospectus. The unaudited summary statements of operations data for the nine months ended December 31, 2012 and 2013 and the unaudited balance sheet data as of December 31, 2013 have been derived from our unaudited financial statements included elsewhere in this prospectus. We have prepared the unaudited financial information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“Management’s Discussion and Analysis of Financial Condition and Results of Operations,” “Use of Proceeds” and “Capitalization”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warrant and other derivative liabilities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(23,080)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 attributable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common stockholders</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18,108,444</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14,736,651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21,554,929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Pro-forma net loss attributable to common stockholders, basic and diluted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_____</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_____</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_____</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pro-forma basic and diluted net loss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________</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40" w:hanging="334"/>
        <w:spacing w:after="0" w:line="27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weighted-average common shares used in computing pro forma net loss per share attributable to common stockholders in the table above gives effect to the issuance of ________ shares of common stock pursuant to this Offering on a retroactive basis for each of the periods presented.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Pr>
          <w:p>
            <w:pPr>
              <w:spacing w:after="0"/>
              <w:rPr>
                <w:sz w:val="24"/>
                <w:szCs w:val="24"/>
                <w:color w:val="auto"/>
              </w:rPr>
            </w:pPr>
          </w:p>
        </w:tc>
        <w:tc>
          <w:tcPr>
            <w:tcW w:w="1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March 31,</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9"/>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2"/>
              <w:spacing w:after="0" w:line="233" w:lineRule="exact"/>
              <w:rPr>
                <w:sz w:val="20"/>
                <w:szCs w:val="20"/>
                <w:color w:val="auto"/>
              </w:rPr>
            </w:pPr>
            <w:r>
              <w:rPr>
                <w:rFonts w:ascii="Times New Roman" w:cs="Times New Roman" w:eastAsia="Times New Roman" w:hAnsi="Times New Roman"/>
                <w:sz w:val="18"/>
                <w:szCs w:val="18"/>
                <w:color w:val="auto"/>
                <w:w w:val="99"/>
              </w:rPr>
              <w:t>as adjusted</w:t>
            </w:r>
            <w:r>
              <w:rPr>
                <w:rFonts w:ascii="Times New Roman" w:cs="Times New Roman" w:eastAsia="Times New Roman" w:hAnsi="Times New Roman"/>
                <w:sz w:val="24"/>
                <w:szCs w:val="24"/>
                <w:color w:val="auto"/>
                <w:w w:val="99"/>
                <w:vertAlign w:val="superscript"/>
              </w:rPr>
              <w:t>(1)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3,712</w:t>
            </w: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(54,783)</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(68,812)</w:t>
            </w: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(12,556)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hanging="334"/>
        <w:spacing w:after="0" w:line="27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reflects estimated net proceeds of $______ received pursuant to the sale of ________ shares of our common stock at an assumed public offering price of $____ per share, inclusive of estimated Offering expenses, as of December 31, 2013.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biotechnology company with no approved products, which makes it difficult to assess our future viability.</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development stage biotechnology company. Since inception, we have generated approximately $16.4 million of revenues from strategic collaborations and grant awards. However,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208" w:lineRule="exact"/>
        <w:rPr>
          <w:sz w:val="20"/>
          <w:szCs w:val="20"/>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product candidates;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products we produce;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sales, distribution and marketing capabilities;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production, development, regulatory approval and commercialization of product candidates.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we are unsuccessful in accomplishing these fundamental objectives, we may not be able to develop product candidates, raise capital, expand our business or continue our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we cannot provide any assurance that we will successfully produce Drug Rescue Variants or other product candidates, or that, if produced, any of our Drug Rescue Variants or other product candidates will be developed and commercialized.</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Research programs designed to identify and produce product candidates,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yet fail to yield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suitable for preclinical or clinical development or commercialization for many reasons, including the following:</w:t>
      </w:r>
    </w:p>
    <w:p>
      <w:pPr>
        <w:spacing w:after="0" w:line="204" w:lineRule="exact"/>
        <w:rPr>
          <w:sz w:val="20"/>
          <w:szCs w:val="20"/>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research methodology may not be successful in identifying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competitors may develop alternatives that render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obsolete;</w:t>
      </w:r>
    </w:p>
    <w:p>
      <w:pPr>
        <w:spacing w:after="0" w:line="243"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may, on further study, be shown to have harmful side effects or other characteristics that indicate it is unlikely to be effective or otherwise does not meet applicable regulatory criteria;</w:t>
      </w:r>
    </w:p>
    <w:p>
      <w:pPr>
        <w:spacing w:after="0" w:line="186"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may not be capable of being produced in commercial quantities at an acceptable cost, or at all; or</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may not be accepted as safe and effective by regulatory authorities, patients, the medical community or third-party payors</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future success depends heavily on our ability to use stem cell technology, human cells derived from stem cells, proprietary human cell-based bioassay systems, especially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medicinal chemistry to produce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develop, obtain regulatory approval for, and commercialize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on our own or in strategic collaborations, which may never occur. We have limited operating history with respect to the identification and assessment of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no operating history with respect to the production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we may never be able to produce 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If we are unable to identify suitable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for our drug rescue programs or produce suitable lead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for license to and preclinical and clinical development by pharmaceutical companies and others, we may not be able to obtain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revenues in future periods, which likely would result in significant harm to our financial position and adversely impact our stock price. Even if we do produce 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we can give no assurance that we will be able to develop and commercialize it as a marketable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own or in a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collaboration. There are a number of factors, in addition to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that may impact our ability to identify and assess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Candidates </w:t>
      </w:r>
      <w:r>
        <w:rPr>
          <w:rFonts w:ascii="Times New Roman" w:cs="Times New Roman" w:eastAsia="Times New Roman" w:hAnsi="Times New Roman"/>
          <w:sz w:val="18"/>
          <w:szCs w:val="18"/>
          <w:color w:val="auto"/>
        </w:rPr>
        <w:t>and produce, develop and commercialize</w:t>
      </w:r>
      <w:r>
        <w:rPr>
          <w:rFonts w:ascii="Times New Roman" w:cs="Times New Roman" w:eastAsia="Times New Roman" w:hAnsi="Times New Roman"/>
          <w:sz w:val="18"/>
          <w:szCs w:val="18"/>
          <w:i w:val="1"/>
          <w:iCs w:val="1"/>
          <w:color w:val="auto"/>
        </w:rPr>
        <w:t xml:space="preserve"> Drug Rescue Variants</w:t>
      </w:r>
      <w:r>
        <w:rPr>
          <w:rFonts w:ascii="Times New Roman" w:cs="Times New Roman" w:eastAsia="Times New Roman" w:hAnsi="Times New Roman"/>
          <w:sz w:val="18"/>
          <w:szCs w:val="18"/>
          <w:color w:val="auto"/>
        </w:rPr>
        <w:t>, independently or with strategic partners, including:</w:t>
      </w:r>
    </w:p>
    <w:p>
      <w:pPr>
        <w:spacing w:after="0" w:line="184" w:lineRule="exact"/>
        <w:rPr>
          <w:sz w:val="20"/>
          <w:szCs w:val="20"/>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identify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public domain, obtain sufficient quantities of them, and assess them using our assay systems;</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seek to rescue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that are not available to us in the public domain, the extent to which third parties may be willing to license or sell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to us on commercially reasonable terms;</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medicinal chemistry collaborator’s ability to design and produce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based on the novel biology and structure-function insight we provide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and</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resources available to us to develop and commercialize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internally, or, if we license them to strategic partners, the resources such partners choose to dedicate to development and commercialization of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licensed from us.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internal validation studies have not been subjected to extensive external peer review or validation.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proprietary internal studies conducted to validate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for drug rescue, including our ability to use it to predict the cardiac effects, both toxic and nontoxic,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have not been subjected to extensive external peer review or validation. It is possible, therefore, that the results we have obtained from our successful internal validation studies may not be replicable by external peer reviewers. We are currently focused on identifying and assessing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available in the public domain. However, should we seek to license or acquire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from third-parties, and such third-parties cannot replicate our results or do not have confidence in the capabilities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it may be difficult for us to acquire from them certain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which might be of interest to us. Even if such results can be replicated by external peer reviewers or other third-parties, they may nevertheless conclude that their current screening models are better than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that a license to the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Candidate </w:t>
      </w:r>
      <w:r>
        <w:rPr>
          <w:rFonts w:ascii="Times New Roman" w:cs="Times New Roman" w:eastAsia="Times New Roman" w:hAnsi="Times New Roman"/>
          <w:sz w:val="18"/>
          <w:szCs w:val="18"/>
          <w:color w:val="auto"/>
        </w:rPr>
        <w:t>we seek from them is not warranted. Our drug rescue business model is predicated on our ability to identify and, if information is not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available in the public domain, obtain licenses from third-parties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of interest to us. If third-party licenses are required, and if we cannot obtain such licenses to on reasonable terms, or at all, our business may be adversely affected.</w:t>
      </w: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success is highly dependent on our ability to 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identify and predict, accurately and efficiently, the potential toxic and nontoxic cardiac effects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fully validated LiverSafe 3D for potential drug rescue applications, and we may never do so.</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successfully developed proprietary protocols for controlling the differentiation of human pluripotent stem cells to produce functional, mature, adult liver cells. However, we have not yet fully validated our ability to use the human liver cells we produce for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to predict important biological effects, both toxic and nontoxic, of reference drugs,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on the human liver, including direct liver toxicity and drug metabolism. Furthermore, we may never be able to do so, which could adversely affect our business and the potential applications of our </w:t>
      </w:r>
      <w:r>
        <w:rPr>
          <w:rFonts w:ascii="Times New Roman" w:cs="Times New Roman" w:eastAsia="Times New Roman" w:hAnsi="Times New Roman"/>
          <w:sz w:val="18"/>
          <w:szCs w:val="18"/>
          <w:i w:val="1"/>
          <w:iCs w:val="1"/>
          <w:color w:val="auto"/>
        </w:rPr>
        <w:t>Human Clinical Trials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a Test Tube </w:t>
      </w:r>
      <w:r>
        <w:rPr>
          <w:rFonts w:ascii="Times New Roman" w:cs="Times New Roman" w:eastAsia="Times New Roman" w:hAnsi="Times New Roman"/>
          <w:sz w:val="18"/>
          <w:szCs w:val="18"/>
          <w:color w:val="auto"/>
        </w:rPr>
        <w:t>platform for drug rescue and regenerative medicine.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and, when validated, LiverSafe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may not be meaningfully more predictive of the behavior of human cells than existing products.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drug rescue business is highly dependent, in the first instance, upon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in the second instance, when fully validated, </w:t>
      </w:r>
      <w:r>
        <w:rPr>
          <w:rFonts w:ascii="Times New Roman" w:cs="Times New Roman" w:eastAsia="Times New Roman" w:hAnsi="Times New Roman"/>
          <w:sz w:val="18"/>
          <w:szCs w:val="18"/>
          <w:i w:val="1"/>
          <w:iCs w:val="1"/>
          <w:color w:val="auto"/>
        </w:rPr>
        <w:t xml:space="preserve">LiverSafe </w:t>
      </w:r>
      <w:r>
        <w:rPr>
          <w:rFonts w:ascii="Times New Roman" w:cs="Times New Roman" w:eastAsia="Times New Roman" w:hAnsi="Times New Roman"/>
          <w:sz w:val="18"/>
          <w:szCs w:val="18"/>
          <w:color w:val="auto"/>
        </w:rPr>
        <w:t>3D, being more accurate, efficient and clinically predictive than long-established surrogate safety models, including animal cells and live animals,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immortalized, primary and transformed cells, currently used by pharmaceutical companies and others. We cannot give assurance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when fully-validated,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will be more efficient or accurate at predicting the heart or liver safety of new drug candidates than the testing models currently used.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producing Drug Rescue Variants for which there proves to be no demand.</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 generate revenue from our drug rescue activities, we must produce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for which there proves to be demand within the healthcare marketplace, and, if we intend to license a particular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for development and commercialization prior to market approval, then also among pharmaceutical companies and other potential strategic collaborators. However, we may produce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we may fail to generate sufficient revenue or other value, on our own or in collaboration with others, to justify our investments, and our drug rescue business may be adversely affected.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human pluripotent stem cell technology is new and technically complex, and the time and resources necessary to develop new cell types and bioassay systems are difficult to predict in advance. We intend to devote significant personnel and financial resources to research and development activities designed to expand, in the case of drug rescue, and explore, in the case of regenerative medicine, potential applications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In particular, we are planning to conduct development programs related to producing and using functional, mature adult liver cells to validate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as a novel bioassay system for drug rescue, 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adverse effect on our potential drug rescue and regenerative medicine business opportunities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up with rapid technological changes in our field, we will be unable to operate profitably.</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effectively than we can to new opportunities. In light of these advantages, even if our technology is effective in producing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potential development partners might prefer new drug candidates available from others or develop their own new drug candidates in lieu of licensing or purchasing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We may not be able to compete effectively against these organizations. Our failure to compete effectively could materially and adversely affect our business, financial condition and results of operations.</w:t>
      </w: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 candidates before, or more successfully, than we do.</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future success depends on our ability to demonstrate and maintain a competitive advantage with respect to the design, development and commercialization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If, either on our own or in collaboration with a strategic partner, we are not "first to market" with one of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our competitive position could be compromised because it may be more difficult for us or our partner to obtain marketing approval for our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and successfully market it as a second competitor.</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expect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commercialize, either independently or in collaboration, will compete with products from other companies in the biotechnology and pharmaceutical industries.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8" w:lineRule="exact"/>
        <w:rPr>
          <w:sz w:val="20"/>
          <w:szCs w:val="20"/>
          <w:color w:val="auto"/>
        </w:rPr>
      </w:pPr>
    </w:p>
    <w:p>
      <w:pPr>
        <w:ind w:left="640" w:hanging="338"/>
        <w:spacing w:after="0" w:line="27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 develop, produce and commercialize, either on our own or with collaborators,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are superior to other products in development or in the market;</w:t>
      </w:r>
    </w:p>
    <w:p>
      <w:pPr>
        <w:spacing w:after="0" w:line="188"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medical, sales and marketing and commercial personnel or collaborators;</w:t>
      </w:r>
    </w:p>
    <w:p>
      <w:pPr>
        <w:spacing w:after="0" w:line="241"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 patent and/or other proprietary protection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 either on our own or in collaboration with strategic partners, required regulatory approvals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Established competitors may invest heavily to quickly discover and develop novel compounds that could make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develop obsolete, which would negatively impact our business and ability to sustain operations.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With respect to drug rescue,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These established companies have a competitive advantage over us due to their size, cash resources and greater clinical development and commercialization capabilities. In addition, companies that perceive us to be a competitor may be unwilling to sell or license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rights to us. We have limited experience in negotiating licenses to drug candidates and there can be no assurances that we will be able to acquire or obtain licenses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future, on commercially reasonable terms, if at all, should we elect to pursue such third-party licenses. If we are unable to acquire or obtain licenses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seek, our business may be adversely affected.</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Restrictions on research and development involving human embryonic stem cells and political commentary regarding such research and development could impair our ability to conduct or sponsor certain potential collaborative research and development programs and adversely affect the market price of our common stock.</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Some of our most important ongoing and planned research and development programs involve the use of human embryonic stem cells (hESCs).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fertilization (IVF)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(iPSCs), or our plans to pursue pilot nonclinical regenerative medicine studies involving human cells derived from iPSCs, because their derivation does not involve the use of embryonic tissues.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use both hESCs and iPSCs for drug rescue purposes. However, we anticipate that our future exploratory research and development focused on potential regenerative medicine applications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Times New Roman" w:cs="Times New Roman" w:eastAsia="Times New Roman" w:hAnsi="Times New Roman"/>
          <w:sz w:val="18"/>
          <w:szCs w:val="18"/>
          <w:i w:val="1"/>
          <w:iCs w:val="1"/>
          <w:color w:val="auto"/>
        </w:rPr>
        <w:t>Human Clinical Trials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Test Tube </w:t>
      </w:r>
      <w:r>
        <w:rPr>
          <w:rFonts w:ascii="Times New Roman" w:cs="Times New Roman" w:eastAsia="Times New Roman" w:hAnsi="Times New Roman"/>
          <w:sz w:val="18"/>
          <w:szCs w:val="18"/>
          <w:color w:val="auto"/>
        </w:rPr>
        <w:t>platform, this would negatively affect our ability to explore expansion of our platform, including, in particular, where it would be preferable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iPSCs to reproduce rather than approximate the effects of certain specific genetic variations.</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April 30, 2014, we had 10 full-time employees, which may make us more reliant on our individual employees than companies with a greater number of employees. Although none of our key scientific personnel or members of our senior management has informed us that he or she intends to resign or retire in the near future, the loss of services of any of these individuals could delay or prevent the successful development of potential expansions and applications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and our production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disrupt our administrative functions.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scientific misconduct.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 In addition, during the course of our operations, our directors, executives and employees may have access to material, nonpublic information regarding our business, our results of operations or potential transactions we are considering.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adoption of an Insider Trading Policy,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we seek to advance our proposed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drug rescue programs, produce and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develop and validate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If we produce and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11" w:lineRule="exact"/>
        <w:rPr>
          <w:sz w:val="20"/>
          <w:szCs w:val="20"/>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decreased demand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other products that we may develop;</w:t>
      </w:r>
    </w:p>
    <w:p>
      <w:pPr>
        <w:spacing w:after="0" w:line="24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may depend on our ability to enter into such agreements with third-party collaborators. We face significant competition in seeking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that we will derive any revenues from such future arrangements. The failure of any collaborator to conduct, successfully and diligently, their collaborative activities relating to the product candidate we license or sell to them would have a material adverse effect on us. Additionally, to the extent that we are unable to license or sell our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to pharmaceutical companies or others, we would require substantial additional capital to undertake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for any such product candidate on our own, and that substantial additional capital may not be available to us on a timely basis, on reasonable terms, or at all.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08" w:lineRule="exact"/>
        <w:rPr>
          <w:sz w:val="20"/>
          <w:szCs w:val="20"/>
          <w:color w:val="auto"/>
        </w:rPr>
      </w:pPr>
    </w:p>
    <w:p>
      <w:pPr>
        <w:jc w:val="both"/>
        <w:ind w:left="640" w:hanging="338"/>
        <w:spacing w:after="0" w:line="282"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Times New Roman" w:cs="Times New Roman" w:eastAsia="Times New Roman" w:hAnsi="Times New Roman"/>
          <w:sz w:val="17"/>
          <w:szCs w:val="17"/>
          <w:color w:val="auto"/>
        </w:rPr>
      </w:pPr>
    </w:p>
    <w:p>
      <w:pPr>
        <w:jc w:val="both"/>
        <w:ind w:left="640" w:hanging="338"/>
        <w:spacing w:after="0" w:line="260"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202" w:lineRule="exact"/>
        <w:rPr>
          <w:rFonts w:ascii="Times New Roman" w:cs="Times New Roman" w:eastAsia="Times New Roman" w:hAnsi="Times New Roman"/>
          <w:sz w:val="18"/>
          <w:szCs w:val="18"/>
          <w:color w:val="auto"/>
        </w:rPr>
      </w:pPr>
    </w:p>
    <w:p>
      <w:pPr>
        <w:jc w:val="both"/>
        <w:ind w:left="640" w:hanging="338"/>
        <w:spacing w:after="0" w:line="25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212"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0" w:lineRule="exact"/>
        <w:rPr>
          <w:rFonts w:ascii="Times New Roman" w:cs="Times New Roman" w:eastAsia="Times New Roman" w:hAnsi="Times New Roman"/>
          <w:sz w:val="18"/>
          <w:szCs w:val="18"/>
          <w:color w:val="auto"/>
        </w:rPr>
      </w:pPr>
    </w:p>
    <w:p>
      <w:pPr>
        <w:jc w:val="both"/>
        <w:ind w:left="640" w:hanging="338"/>
        <w:spacing w:after="0" w:line="260"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202" w:lineRule="exact"/>
        <w:rPr>
          <w:rFonts w:ascii="Times New Roman" w:cs="Times New Roman" w:eastAsia="Times New Roman" w:hAnsi="Times New Roman"/>
          <w:sz w:val="18"/>
          <w:szCs w:val="18"/>
          <w:color w:val="auto"/>
        </w:rPr>
      </w:pPr>
    </w:p>
    <w:p>
      <w:pPr>
        <w:jc w:val="both"/>
        <w:ind w:left="640" w:hanging="338"/>
        <w:spacing w:after="0" w:line="253"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208"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19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social and ethical concerns surrounding the use of iPSCs, biological materials and genetic information could impair our operations.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that our future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1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human cell-based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human cells and human cell-based bioassay systems, including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contract manufacturers to produce our product candidate supplies and we intend to rely on such third-party manufacturers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do not currently own or operate any manufacturing facilities, and we lack sufficient internal staff to produce product candidate supplies ourselves. As a result, we plan to work with third-party contract manufacturers to produce sufficient quantities of our product candidates for future preclinical and clinical testing and commercialization.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limited staffing. 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2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enter into licensing or collaboration agreements for the sales, marketing and distribution of our Drug Rescue Variants and other product candidates, such as AV-101, we may not be successful in commercializing our Drug Rescue Variants and other product candidates.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currently have a relatively small number of employees and do not have a sales or marketing infrastructure, and we, including our executive officers, do not have any significant sales, marketing or distribution experience. We will be opportunistic in seeking to collaborate with others to develop and commercialize </w:t>
      </w:r>
      <w:r>
        <w:rPr>
          <w:rFonts w:ascii="Times New Roman" w:cs="Times New Roman" w:eastAsia="Times New Roman" w:hAnsi="Times New Roman"/>
          <w:sz w:val="18"/>
          <w:szCs w:val="18"/>
          <w:i w:val="1"/>
          <w:iCs w:val="1"/>
          <w:color w:val="auto"/>
        </w:rPr>
        <w:t xml:space="preserve">Drug Rescue Variants </w:t>
      </w:r>
      <w:r>
        <w:rPr>
          <w:rFonts w:ascii="Times New Roman" w:cs="Times New Roman" w:eastAsia="Times New Roman" w:hAnsi="Times New Roman"/>
          <w:sz w:val="18"/>
          <w:szCs w:val="18"/>
          <w:color w:val="auto"/>
        </w:rPr>
        <w:t>and future products if and when they are developed and approved. If we enter into arrangements with third parties to perform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and to interruption by man-made problems such as computer viruses or terrorism.</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 region known for seismic activity. A significant natural disaster, such as an earthquake, fire or a flood, could harm our business. In addition, our servers are vulnerable to computer viruses, break-ins and similar disruptions from unauthorized tampering with our computer systems. In addition, acts of terrorism or war could cause disruptions in our business or the economy as a whole.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becoming a public company by means of a strategic reverse merger in 2011, we have been subject to the reporting requirements of the Securities Exchange Act of 1934, as amended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which requires that we file annual, quarterly and current reports with respect to our business and financial condition, and the rules and regulations implemented by the Securities and Exchange Commission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compliance with the Sarbanes-Oxley Act of 2002 and SEC rules concerning internal controls is costly, difficult and time-consuming.</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May 2011, we did not operate as a publicly-traded company. Given our limited size and personnel resources, it is costly, difficult and time consuming for us to maintain the internal controls and reporting procedures of publicly traded companies required by the Sarbanes-Oxley Act of 2002. If we are unable to comply with the Sarbanes-Oxley Act’s internal controls and disclosure requirements, we may not be able to obtain the independent registered public accounting firm attestations that the Sarbanes-Oxley Act of 2002 requires certain publicly-traded companies to obtain. If it is determined that we have a material weakness in our internal control over financial reporting, or if our independent registered accounting firm is unable to provide an unqualified attestation report on our internal controls when such a report is required, we could incur additional costs and suffer adverse publicity and other consequences of any such determination, investors could lose confidence in our financial information and the price of our common stock could decline.</w:t>
      </w:r>
    </w:p>
    <w:p>
      <w:pPr>
        <w:spacing w:after="0" w:line="2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disclosure requirements and relief from certain other significant obligations that are applicable to smaller reporting companies will make our common stock less attractive to investors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 “smaller reporting company,” as defined in the Exchange Act and, as such, we are exempted from various reporting requirements that are applicable to larger public companies, including, but not limited to, being required to comply with the auditor attestation requirements of Section 404 of the Sarbanes-Oxley Act of 2002, more extensive disclosure obligations regarding executive compensation in our periodic reports and proxy statements, the requirements to hold a nonbinding advisory vote on executive compensation and shareholder approval of any golden parachute payments not previously approved. Our classification as a “smaller reporting company” is determined on September 30 of each year, based on whether our public float (the product of the number of outstanding shares of our common stock held by non-affiliate (less than 10% ownership) stockholders multiplied by the closing market price of our common stock) on that day is less than $75 million. We intend to take advantage of these reporting exemptions until we no longer qualify as a “smaller reporting company.” Subsequent to the completion of this Offering and, in the event we experience an increase in the market price for our stock, we may no longer be classified as a “smaller reporting company.” We cannot predict whether investors find our common stock less attractive because we are currently relying on these exemptions. If some investors find our common stock less attractive, there may be a less active trading market for our common stock and our stock price may be more volatile.</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in accordance with GAAP. Our management is currently required to assess the effectiveness of our controls and we are required to disclose changes made in our internal control over financial reporting on a quarterly basis. As a “smaller reporting company,” however, our independent registered public accounting firm is not required to attest to the effectiveness of our internal control over financial reporting pursuant to Section 404 of the Sarbanes-Oxley Act of 2002. If we cannot continue to favorably assess the effectiveness of our internal control over financial reporting, or if our independent registered public accounting firm is unable to provide an unqualified attestation report on our internal controls whenever required in the future, investors could lose confidence in our financial information and the price of our common stock could decline. Additionally, should we cease to be a “smaller reporting company”, we will incur additional expense and management effort to facilitate the required attestation of the effectiveness of our internal control over financial reporting by our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Production, Development, and Regulatory Approval of Product Candidates</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dependent on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and medicinal chemistry to produce lead product candidates, and we cannot provide any assurance that we will produce any product candidates that will be commercialized.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To date, we have invested a significant portion of our efforts and financial resources in the development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AV-101, which has successfully completed Phase 1 clinical development. Our future success depends heavily on our ability to successfully produce and, either on our own or in collaboration with others, develop, obtain regulatory approval for, and commercialize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AV-101, which may never occur. We currently generate no revenues, and we may never be able to develop or commercialize a marketable drug.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not previously submitted a biologics license application, or BLA, or a new drug application or NDA, to the FDA, or 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or our potential collaborator may also seek regulatory approval to commercialize our product candidates in the United States, the European Union and potentially in additional foreign countries. While the scope of regulatory approval is similar in other countries, to obtain separate regulatory approval in many other countries we must comply with numerous and varying regulatory requirements of such countries regarding safety and efficacy, clinical trials and commercial sales, pricing and distribution of our product candidates, and we cannot predict success in these jurisdictions.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Developing and obtaining FDA approval to develop, market and sell new Drug Rescue Variants in the U.S. is complex, expensive, time-consuming and uncertain.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(NDA). Some drug candidates are made out of biologic materials, including human cells, such as the human cells derived from human pluripotent stem cells. Instead of an NDA, new biologic drug candidates are approved using a Biologics License Application (BLA). Whether an NDA or a BLA, the application includes:</w:t>
      </w:r>
    </w:p>
    <w:p>
      <w:pPr>
        <w:spacing w:after="0" w:line="208" w:lineRule="exact"/>
        <w:rPr>
          <w:sz w:val="20"/>
          <w:szCs w:val="20"/>
          <w:color w:val="auto"/>
        </w:rPr>
      </w:pPr>
    </w:p>
    <w:p>
      <w:pPr>
        <w:ind w:left="640" w:hanging="36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candidate’s test results;</w:t>
      </w:r>
    </w:p>
    <w:p>
      <w:pPr>
        <w:spacing w:after="0" w:line="243" w:lineRule="exact"/>
        <w:rPr>
          <w:rFonts w:ascii="Times New Roman" w:cs="Times New Roman" w:eastAsia="Times New Roman" w:hAnsi="Times New Roman"/>
          <w:sz w:val="18"/>
          <w:szCs w:val="18"/>
          <w:color w:val="auto"/>
        </w:rPr>
      </w:pPr>
    </w:p>
    <w:p>
      <w:pPr>
        <w:ind w:left="640" w:hanging="36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information to demonstrate the company developing the drug candidate can properly manufacture it; and</w:t>
      </w:r>
    </w:p>
    <w:p>
      <w:pPr>
        <w:spacing w:after="0" w:line="243" w:lineRule="exact"/>
        <w:rPr>
          <w:rFonts w:ascii="Times New Roman" w:cs="Times New Roman" w:eastAsia="Times New Roman" w:hAnsi="Times New Roman"/>
          <w:sz w:val="18"/>
          <w:szCs w:val="18"/>
          <w:color w:val="auto"/>
        </w:rPr>
      </w:pPr>
    </w:p>
    <w:p>
      <w:pPr>
        <w:ind w:left="640" w:hanging="369"/>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label for the drug candidate, which provides necessary information about the drug candidate, including uses for which it has been shown to be effective, possible risks, and how to use it.</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there can be no assurance that the current regulatory framework will not change through regulatory, legislative or judicial actions or that additional regulations will not arise during development that may affect approval, delay the submission or review of an application, if required, or require additional expenditures by us or our prospective collaborators.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(IND) application to the FDA. Human clinical trials may begin 30 days following submission of an IND application, unless the FDA requires additional time to review the application or raise questions.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(IRB)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 our collaborator’s future clinical trials can be delayed or halted for many reasons, including:</w:t>
      </w:r>
    </w:p>
    <w:p>
      <w:pPr>
        <w:spacing w:after="0" w:line="244" w:lineRule="exact"/>
        <w:rPr>
          <w:sz w:val="20"/>
          <w:szCs w:val="20"/>
          <w:color w:val="auto"/>
        </w:rPr>
      </w:pPr>
    </w:p>
    <w:p>
      <w:pPr>
        <w:jc w:val="both"/>
        <w:ind w:left="640" w:hanging="338"/>
        <w:spacing w:after="0" w:line="260"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reaching agreement on acceptable terms with prospective contract manufacturing organizations (CMOs), contract research organizations (CROs), and clinical trial sites, the terms of which can be subject to extensive negotiation and may vary significantly among different CROs and trial sites;</w:t>
      </w:r>
    </w:p>
    <w:p>
      <w:pPr>
        <w:spacing w:after="0" w:line="202"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and CMOs, or investigators to comply with regulatory requirements or otherwise meet their contractual obligations in a timely manner;</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the necessary approvals from regulators or institutional review boards (IRBs) in order to commence a clinical trial at a prospective trial site;</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a supply of drug product sufficient to complete preclinical studies and clinical trials;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requiring alterations to study designs, preclinical strategy or manufacturing plans;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trials, or high drop-out rates of patients;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protocols or dropping out of a trial and/or the inability to add new clinical trial sites;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including serious adverse events associated with our product candidates and patients' exposure to unacceptable health risks;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a competitor of marketing approval for a product targeting an indication that one of our product candidates targets, such that we are not "first to market" with our product candidate;</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or</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or our collaborator could also encounter delays if a clinical trial is suspended or terminated by us, our collaborator, the IRBs of the institutions in which a trial is being conducted, by the Data Safety Monitoring Board (DSMB)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we or our collaborators are able to conduct a pivotal clinical trial of a product candidate, the results of such trial may not be adequate to support marketing approval. For any such pivotal trial, if the FDA disagrees with the choice of primary endpoint or the results for the primary endpoint are not robust or significant relative to control, are subject to confounding factors, or are not adequately supported by other study endpoints, including possibly overall survival or complete response rate, the FDA may refuse to approve a BLA or NDA based on such pivotal trial. The FDA may require additional clinical trials as a condition for approving our product candidates.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noted, a company seeking FDA approval to market a new drug candidate must file an NDA; a company seeking FDA approval to market a new biological candidate must file a BLA. In addition to reports of the nonclinical and human clinical trials conducted under the IND application, the NDA and BLA include evidence of the product’s safety, purity, potency and efficacy, as well as manufacturing, product identification and other information. Submission of an NDA or BLA does not assure FDA approval for marketing. The application review process generally takes at least one to three years to complete, although reviews of drugs or biological products for life-threatening diseases may be accelerated or expedited. However, the process may take substantially longer.</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requires at least one and generally two properly conducted, adequate and well-controlled clinical studies demonstrating efficacy with sufficient levels of statistical assurance. However, additional information may be required. Notwithstanding the submission of such data, the FDA ultimately may decide that the NDA or BLA, as the case may be, does not satisfy the regulatory criteria for approval and deny the application. The FDA may impose post-approval obligations, such as additional clinical tests following NDA or BLA approval to confirm safety and efficacy (Phase IV human clinical trials). The FDA may, in some circumstances, also impose restrictions on the use of the biological product that may be difficult and expensive to administer. Further, the FDA requires reporting of certain safety and other information that becomes known to a manufacturer of an approved biological product. Product approvals may be withdrawn if compliance with regulatory requirements is not maintained or if problems occur after the product reaches the market.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approving an application, the FDA will inspect the prospective manufacturer to ensure that the manufacturer conforms to the FDA’s current good manufacturing practice (cGMP) regulations that applicable to new biological candidates. To comply with the cGMP regulations, manufacturers must expend time, money and effort in product recordkeeping and quality control to assure that the product meets applicable specifications and other requirements. The FDA periodically inspects manufacturing facilities in the U.S. and abroad to assure compliance with applicable cGMP requirements. Our failure to comply with the FDA’s cGMP regulations or other FDA regulatory requirements could have a significant adverse effect on us.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a product is approved for a given indication in an NDA or BLA, subsequent new indications or dosage levels for the same product are reviewed by the FDA via the filing and approval of an NDA or BLA supplement. The NDA or BLA supplement is more focused than the NDA or BLA and deals primarily with safety and effectiveness data related to the new indication or dosage. Applicants are required to comply with certain post-approval obligations, such as compliance with cGMPs. Product approvals may be withdrawn by the FDA if compliance with regulatory requirements is not maintained or if problems occur after the product reaches the market.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corporation developing new drug candidates, including Drug Rescue Variants, biological candidates or regenerative medicine product candidates, including conducting clinical trials and other areas required for the successful development and commercialization of therapeutic products.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and any future strategic partner will need to receive regulatory approval for any new drug candidate, including each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biological candidate or regenerative medicine product before it may be marketed and distributed. Such regulatory approval will require, among numerous other things, completing carefully controlled and well-designed clinical trials demonstrating the safety and efficacy of each new product candidate. This process is lengthy, expensive and uncertain. As a company, we have limited experience developing new drug candidates,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biological candidates or regenerative medicine products, including conducting clinical trials and in other areas required for the successful development and commercialization of therapeutic products. Such trials will require additional financial and management resources, third-party collaborators with the requisite clinical experience or reliance on third party clinical investigators, contract research organizations and independent consultants. Relying on third parties may force us to encounter delays that are outside of our control, which could materially harm our business.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do not currently have marketing and distribution capabilities for product candidates. Developing an internal sales and distribution capability would be an expensive and time-consuming process. To market and distribute any new drug candidate, including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biological candidate or regenerative medicine product, we plan to enter into strategic partnering arrangements for marketing and distribution. However, these third-party collaborators may not be capable of successfully selling any of our new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clinical trials with one or more new drug candidates, including Drug Rescue Variants, may not result in any commercially viable products.</w:t>
      </w:r>
    </w:p>
    <w:p>
      <w:pPr>
        <w:spacing w:after="0" w:line="2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may never generate revenues from sales of 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or any other product because of a variety of risks inherent in our business, including the following:</w:t>
      </w:r>
    </w:p>
    <w:p>
      <w:pPr>
        <w:spacing w:after="0" w:line="160" w:lineRule="exact"/>
        <w:rPr>
          <w:sz w:val="20"/>
          <w:szCs w:val="20"/>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clinical trials may not demonstrate the safety and efficacy of any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other new drug candidate, biological candidate or regenerative medicine product candidate;</w:t>
      </w:r>
    </w:p>
    <w:p>
      <w:pPr>
        <w:spacing w:after="0" w:line="162"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clinical trials may be delayed, or costs of nonclinical or clinical trials may exceed anticipated amounts;</w:t>
      </w:r>
    </w:p>
    <w:p>
      <w:pPr>
        <w:spacing w:after="0" w:line="215"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able to obtain regulatory approval of any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other new drug candidate, biological candidate or regenerative medicine product candidate; or we may experience delays in obtaining any such approval;</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able to manufacture, or have manufactured for us,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new drug candidates, biological candidates or regenerative medicine product candidates economically, timely and on a commercial scale;</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and any licensees of ours may not be able to successfully market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new drug candidates, biological candidates or regenerative medicine product candidates;</w:t>
      </w:r>
    </w:p>
    <w:p>
      <w:pPr>
        <w:spacing w:after="0" w:line="160" w:lineRule="exact"/>
        <w:rPr>
          <w:rFonts w:ascii="Times New Roman" w:cs="Times New Roman" w:eastAsia="Times New Roman" w:hAnsi="Times New Roman"/>
          <w:sz w:val="18"/>
          <w:szCs w:val="18"/>
          <w:color w:val="auto"/>
        </w:rPr>
      </w:pPr>
    </w:p>
    <w:p>
      <w:pPr>
        <w:ind w:left="820" w:hanging="463"/>
        <w:spacing w:after="0" w:line="276" w:lineRule="auto"/>
        <w:tabs>
          <w:tab w:leader="none" w:pos="8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physicians may not prescribe our products, or patients or third party payors may not accept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drug candidates, biological candidates or regenerative medicine product candidates;</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have proprietary rights which prevent us from marketing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new drug candidates, biological candidates or regenerative medicine product candidates; and</w:t>
      </w:r>
    </w:p>
    <w:p>
      <w:pPr>
        <w:spacing w:after="0" w:line="162"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sell similar, superior or lower-cost products.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0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Rescue Variants or other product candidates, our Drug Rescue Variants or other products may not be successful commercially, and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Any regulatory approvals that we or our potential strategic partners receive for our </w:t>
      </w:r>
      <w:r>
        <w:rPr>
          <w:rFonts w:ascii="Times New Roman" w:cs="Times New Roman" w:eastAsia="Times New Roman" w:hAnsi="Times New Roman"/>
          <w:sz w:val="17"/>
          <w:szCs w:val="17"/>
          <w:i w:val="1"/>
          <w:iCs w:val="1"/>
          <w:color w:val="auto"/>
        </w:rPr>
        <w:t>Drug Rescue Variants</w:t>
      </w:r>
      <w:r>
        <w:rPr>
          <w:rFonts w:ascii="Times New Roman" w:cs="Times New Roman" w:eastAsia="Times New Roman" w:hAnsi="Times New Roman"/>
          <w:sz w:val="17"/>
          <w:szCs w:val="17"/>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00" w:lineRule="exact"/>
        <w:rPr>
          <w:sz w:val="20"/>
          <w:szCs w:val="20"/>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 or suspension or revocation of product license approvals;</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or the imposition of other civil or criminal penalties.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incurred significant net losses in each fiscal year since our inception, including net losses of $12.2 million and $12.9 million during fiscal years ending March 31, 2012 and 2013, respectively. We incurred net losses of $9.1 million and $1.1 million during the nine months ended December 31, 2012 and 2013, respectively. As of December 31, 2013, we had an accumulated deficit of $68.8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following this Offering, we expect that our general and administrative expenses will increase due to additional operational and reporting costs associated with achieving our goal of obtaining a listing on a national securities exchange. The net losses we incur may fluctuate from quarter to quarter.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anticipate that our business will generate operating losses until we successfully implement our drug rescue strategy and generate significant revenue to support our level of operating expenses. Because of the numerous risks and uncertainties associated with our drug rescue efforts and future strategic partnering and product development arrangements, we are unable to predict when we will become profitable, and we may never become profitable. Even if we do achieve profitability, we may not be able to sustain or increase our profitability. With the net proceeds from this Offering, we believe that our cash, cash equivalents and marketable securities will be sufficient to fund our operations and our capital expenditures for at least the next 24 months. If our cash is insufficient to meet future operating requirements, we will have to raise additional funds. If we are unable to obtain additional funds on terms favorable to us or at all, we may be required to cease or reduce our operating activities or sell or license to third parties some or all of our intellectual property. If we raise additional funds by selling additional shares of our capital stock, the ownership interests of our current stockholders will be diluted. If we need to raise additional funds through the sale or license of our intellectual property, we may be unable to do so on terms favorable to us, if at all.</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do not successfully develop, license, sell or obtain regulatory approval for our future product candidates and effectively manufacture, market and sell, or collaborate to accomplish such activities, for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20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believe that we will continue to expend substantial resources for the foreseeable future developing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current source of revenue to sustain our present activities, and we do not expect to generate revenue until, and unless, we obtain approval from the FDA or other regulatory authorities and we successfully commercialize one or more of our compounds. As the outcome of our product candidate development activities and our anticipated clinical trials is highly uncertain, we cannot reasonably estimate the actual amounts necessary to successfully complete the development and commercialization of our product candidates. In addition, other unanticipated costs may arise. As a result of these and other factors currently unknown to us, we may need to seek additional funds sooner than planned, through public or private equity or debt financings or other sources, such as strategic partnerships and alliances and licensing arrangements. In addition, we may seek additional capital due to favorable market conditions or strategic considerations even if we believe we have sufficient funds for our current or future operating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44" w:lineRule="exact"/>
        <w:rPr>
          <w:sz w:val="20"/>
          <w:szCs w:val="20"/>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studies;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any products we successfully commercialize;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programs;</w:t>
      </w:r>
    </w:p>
    <w:p>
      <w:pPr>
        <w:spacing w:after="0" w:line="243" w:lineRule="exact"/>
        <w:rPr>
          <w:rFonts w:ascii="Times New Roman" w:cs="Times New Roman" w:eastAsia="Times New Roman" w:hAnsi="Times New Roman"/>
          <w:sz w:val="18"/>
          <w:szCs w:val="18"/>
          <w:color w:val="auto"/>
        </w:rPr>
      </w:pPr>
    </w:p>
    <w:p>
      <w:pPr>
        <w:jc w:val="both"/>
        <w:ind w:left="640" w:hanging="338"/>
        <w:spacing w:after="0" w:line="260"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202"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although we currently have no commitments or agreements relating to any of these types of transactions.</w:t>
      </w:r>
    </w:p>
    <w:p>
      <w:pPr>
        <w:spacing w:after="0" w:line="190"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any of which could harm our operating results.</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may seek additional capital through a combination of private and public equity offerings, debt financings, strategic partnerships and alliances and licensing arrangements. 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grants, which may not be available to us in the future.</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independent auditors have expressed substantial doubt about our ability to continue as a going concern.</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net proceeds from this Offering will be sufficient to meet our anticipated cash requirements for at least the next 24 months. Our consolidated financial statements for the year ended March 31, 2013 included in this prospectus have been prepared assuming that we will continue to operate as a going concern. However, due to our continuing operating losses and our accumulated deficit, the report of our independent registered public accounting firm on our consolidated financial statements for the fiscal year ended March 31, 2013, includes an explanatory paragraph discussing conditions that raise a substantial doubt about our ability to continue as a going concern.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do not generate sufficient taxable income we may not be able to use a material portion, or any portion, of our existing net operating losses (NOLs).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certain technologies that are licensed to us. If we are unable to maintain these licenses, our business could be adversely affected.</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license rights are further subject to the validity of the owner’s intellectual property rights.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of our license agreements are subject to termination by the licensor in specific circumstances.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seek to leverage prior discovery and development of Drug Rescue Candidates under license arrangements with academic laboratories, biotechnology companies, the NIH, pharmaceutical companies or other third parties, it is uncertain what ownership rights, if any, we will obtain over intellectual property we derive from such licenses to Drug Rescue Variants we generate in connection with any such third-party licenses.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instead of identifying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based on information available to us in the public domain, we seek to 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may generate and develop. If we are unable to obtain ownership or substantial economic participation rights over intellectual property related to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generate, our business may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unsuccessful in obtaining adequate patent protection for one or more of our product candidates.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cannot be certain that patents we have filed or may file in the future will be issued or granted, or that issued or granted patents will not later be found to be invalid and/or unenforceable. The patent position of biotechnology and pharmaceutical companies is generally uncertain because it involves complex legal and factual considerations. The standards applied by the United States Patent and Trademark Office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our proprietary products and technology.</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or technologies could be found invalid or unenforceable if challenged in court.</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Such a loss of patent protection could have a material adverse impact on our business.</w:t>
      </w:r>
    </w:p>
    <w:p>
      <w:pPr>
        <w:spacing w:after="0" w:line="2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Claims that our Human Clinical Trials in a Test Tube platform, our product candidates or, if commercialized, the sale or use of our products infringe the patent rights of third parties could result in costly litigation or could require substantial time and money to resolve, even if litigation is avoided.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Key aspects of our Human Clinical Trials in a Test Tube platform are protected by intellectual property exclusively licensed from academic institutions. If the licensors terminate the licenses or fail to maintain or enforce the underlying patents, our competitive position and market share will be harmed.</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 party to several license agreements under which certain aspects of our business depend on patents and/or patent applications owned by other institutions. We are likely to enter into additional license agreements as part of the development of our business in the future. 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 In addition, in spite of our best efforts, our licensors might conclude that we have materially breached our license agreements and might therefore terminate the license agreements, thereby removing our ability to obtain regulatory approval and to market products covered by these license agreements. Our licensors may also terminate the license agreements if we fail to meet specified milestones. If these in-licenses are terminated, or if the underlying patents fail to provide the intended market exclusivity, competitors would have the freedom to seek regulatory approval of, and to market, products identical to ours. This could have a material adverse effect on our competitive business position and our business prospects.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4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90" w:lineRule="exact"/>
        <w:rPr>
          <w:sz w:val="20"/>
          <w:szCs w:val="20"/>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 candidates but that are not covered by the claims of the patents that we may own or have exclusively licensed;</w:t>
      </w:r>
    </w:p>
    <w:p>
      <w:pPr>
        <w:spacing w:after="0" w:line="190" w:lineRule="exact"/>
        <w:rPr>
          <w:rFonts w:ascii="Times New Roman" w:cs="Times New Roman" w:eastAsia="Times New Roman" w:hAnsi="Times New Roman"/>
          <w:sz w:val="18"/>
          <w:szCs w:val="18"/>
          <w:color w:val="auto"/>
        </w:rPr>
      </w:pPr>
    </w:p>
    <w:p>
      <w:pPr>
        <w:ind w:left="640" w:right="2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make the inventions covered by the issued patent or pending patent application that we may own or have exclusively licensed;</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file patent applications covering certain of our inventions;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and patents that we might obtain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or other commercial protection for AV-101, the value of AV-101 will be harmed.</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and proprietary technology through patents and other means is uncertain.</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predict which, if any, of such pending applications will issue as patents or the claims that might be allowed. No consistent policy regarding the breadth of claims allowed in life sciences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prevent the infringement of our patents. Proceedings to enforce our intellectual property rights could result in substantial cost and divert our efforts and attention from other aspects of our business and we may not prevail. Changes in either the patent laws or in interpretations of patent laws in the United States or in other countries may diminish the value of our intellectual property. We cannot predict the breadth of claims that may be allowed or enforced in our patents or in third-party patents.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of our technology may not be eligible for patent protection, which leaves us vulnerable to theft of the technology we protect under trade secret law. We take steps to protect such intellectual property and proprietary technology, by limiting access to the materials embodying such intellectual property and by entering into confidentiality agreements and intellectual property assignment agreements with our employees, consultants, collaborators and, when needed, our advisors. Such agreements may not be enforceable or may not provide meaningful protection or adequate remedies in the event of unauthorized use or disclosure or other breaches of the agreements, and we may not be able to prevent such unauthorized disclosure. Monitoring unauthorized disclosure is difficult, and we cannot ensure that the steps we have taken to prevent such disclosure are, or will be, adequate. In addition, courts outside the United States may be less willing or unwilling to protect trade secrets. Further, others may independently discover or invent trade secrets and proprietary information similar to ours, and in such cases we could not assert any trade secret rights against such party.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and proprietary rights, to determine the scope, coverage and validity of others’ proprietary rights or to defend against third party claims of intellectual property infringement, which in each case could require us to spend significant time and money and could prevent us from selling our products or adversely impact our stock price.</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Litigation or other proceedings may be necessary for us to enforce our patent and proprietary rights and/or to determine the scope, coverage and validity of others’ proprietary rights. To determine the priority of inventions, which is determinative of patent rights,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or opposition proceedings against our patents. We cannot be certain that we do not and will not infringe on the intellectual property rights of others. The outcome of any litigation or other proceeding is inherently uncertain and might not be favorable to us, and we might not be able to obtain licenses to technology that we require. Even if such licenses are obtainable, they may not be available at a reasonable cost or on otherwise favorable terms. We could therefore incur substantial costs related to royalty payments for licenses obtained from third parties, which could negatively affect our profitability. Further, we could encounter delays in product introductions, or interruptions in product sales, as we develop alternative methods or products.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In the event that we are unsuccessful in enforcing our intellectual property rights or other proprietary rights of others, our business would be negatively impacted and the price of our common stock could decline.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stem cell market, and competitors may assert that our products infringe their intellectual property rights as part of a business strategy to impede our successful entry into those markets. Third parties may assert that we are employing their proprietary technology without authorization.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that broadly apply to the manufacture of human cells and their uses and claim that the manufacture or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Patent infringement suits can be expensive, lengthy and disruptive to business operations. We could incur substantial costs and divert the attention of our management and technical personnel in prosecuting or defending against any claims, and these claims may harm our reputation. We cannot be certain that we will have the required resources to pursue litigation or otherwise to protect our proprietary rights or that we will prevail in any suit.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we may be required to obtain one or more licenses from third parties, which we may not be able to obtain at a reasonable cost or on otherwise favorable terms,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that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will be costly to defend or pursue and uncertain in its outcome.</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may bring us into conflict with our consultants, contractors, employees, investors, licensees, licensors, service providers, suppliers or others with whom we have contractual or other business relationships, or with our competitors or others whose interests differ from ours. If we are unable to resolve such conflicts on terms that are satisfactory to all parties, we may become involved in litigation brought by or against us. Any such litigation is likely to be expensive and may require a significant amount of management’s time and attention, at the expense of other aspects of our business. The outcome of litigation is always uncertain, and in some cases could include judgments against us that require us to pay damages, enjoin us from certain activities, or otherwise affect our legal or contractual rights, which could have a significant adverse effect on our business.</w:t>
      </w:r>
    </w:p>
    <w:p>
      <w:pPr>
        <w:spacing w:after="0" w:line="20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rely, in part, on trade secrets to protect our proprietary stem cell technologies, especially in circumstances in which we believe patent protection may not be appropriate or available. We attempt to protect our proprietary technologies in part by confidentiality agreements with our advisors, collaborators, consultants, contractors and employees. We cannot assure you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ability to execute on our business plan will depend on the talents and efforts of highly skilled individuals with specialized training in the field of stem cell research and bioassay development, as well as medicinal chemistry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candidate screening and nonclinical and clinical development. Our future success depends on our ability to identify, hire and retain these highly skilled personnel during our development stage. We anticipate hiring additional highly skilled scientific and technical employees following the completion of this Offering,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this Offering, there has been a limited public market for shares of our common stock on the OTC Markets (OTCQB), formerly the OTC Bulletin Board or OTCBB. We do not yet meet the initial listing standards of the New York Stock Exchange, the NASDAQ Global Market, or other similar national securities exchanges. Until our common stock is listed on a broader exchange, we anticipate that it will remain quoted on the OTC markets,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predict the extent to which investor interest in the Company will lead to the development of a more active trading market on the OTCQB, whether we will meet the initial listing standards of the New York Stock Exchange, the NASDAQ Global Market, or other similar national securities exchanges, or how liquid that market might become. If an active trading market does not develop, you may have difficulty selling any of the shares of our common stock that you buy. In addition, the trading price of our common stock following this Offering may be highly volatile and could be subject to wide fluctuations in response to various factors, some of which are beyond our control. These factors include:</w:t>
      </w:r>
    </w:p>
    <w:p>
      <w:pPr>
        <w:spacing w:after="0" w:line="208" w:lineRule="exact"/>
        <w:rPr>
          <w:sz w:val="20"/>
          <w:szCs w:val="20"/>
          <w:color w:val="auto"/>
        </w:rPr>
      </w:pPr>
    </w:p>
    <w:p>
      <w:pPr>
        <w:ind w:left="740" w:hanging="391"/>
        <w:spacing w:after="0"/>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 in our results of operations or the results of our competitors;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commercial products, significant contracts, commercial relationships or capital commitments;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we may provide to the public, any changes to those projections, or our failure to meet those projections;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for our stock;</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and life sciences sectors;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sales;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and government regulation;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regarding the safety, efficacy or other aspects of our products;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changing or terminating collaborative relationships;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our common stock or other securities eligible for future sale;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to the composition of our board of directors or management;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You should also be aware that price volatility is likely to be worse if the trading volume of our common stock remains low and limited.</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Offering, there has been a limited public market for shares of our common stock on the OTCQB. Future sales of substantial amounts of shares of our common stock, including shares issued upon the exchange of our Series A Preferred and exercise of outstanding options and warrants, in the public market after this Offering, or the possibility of these sales occurring, could cause the prevailing market price for our common stock to fall or impair our ability to raise equity capital in the future. Upon the completion of this Offering, based on the number of shares outstanding as of April 30, 2014, we will have ________ shares of common stock outstanding, assuming no</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conversion of convertible promissory notes for common stock, no exchange of Series A Preferred for common stock and no exercise of outstanding options or warrants. Of these outstanding shares, all ________ shares of common stock sold by us in this Offering will be freely tradable in the public market without</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restriction or further registration under the Securities Act. All other outstanding shares of common stock will be restricted securities eligible for sale in the public market under Rule 144 of the Securities Act, 6,103,025 of which restricted shares are held by directors, executive officers and other affiliates and will be subject to volume limitations under Rule 144 under the Securities Act. In addition, 22,072,990 shares of common stock that are subject to outstanding options and warrants as of April 30, 2014 will become eligible for sale in the public market to the extent permitted by the provisions of various vesting agreements and Rules 144 and 701 under the Securities Act as described in the “Shares Eligible for Future Sale” section of this prospectus.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principal institutional stockholders will continue to have substantial control over us after this Offering and could limit your ability to influence the outcome of key transactions, including changes in control.</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Certain of our current institutional stockholders and their respective affiliates own a significant percentage of our outstanding common stock or other securities convertible or exercisable into our common stock. Accordingly, these stockholders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see “Principal stockholders.”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and our business. Securities and industry analysts do not currently, and may never, publish research on the Company. If no or too few securities or industry analysts commence coverage of the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the Company or fail to publish reports on us regularly, demand for our stock could decrease, which in turn could cause our stock price or trading volume to decline.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successfully sell all shares registered by this Offering, new investors will contribute approximately _____% of the total amount of equity capital raised 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through the date of this Offering, and will own approximately _____% of the outstanding shares. In addition, we may have issued options and warrants to</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acquire common stock at prices below the public offering price. To the extent outstanding options and warrants are ultimately exercised, or if we issue restricted stock to our employees under our equity incentive plans, there will be further dilution to investors who purchase shares in this Offering. In addition, if we issue additional equity securities, investors purchasing shares in this Offering will experience additional dilution. For a further description of the dilution that you will experience immediately after this Offering, see “Dilution.”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approval by our stockholders in October 2011, our Articles of Incorporation permit us to issue up to 10.0 million shares of preferred stock and our Board has authorized the issuance of 500,000 shares of Series A Preferred, all of which shares are currently outstanding.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considered a “penny stock.”</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we became a publicly-traded company in May 2011, our common stock has traded on the OTCQB at a price of less than $5.00 per share. The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from this Offering and could spend the proceeds in ways that do not improve our results of operations or enhance the value of our common stock. We intend to use the net proceeds from this Offering for funding our operations; research and product development activities; for property, plant and equipment; and for working capital and other general corporate purposes. We may also use a portion of our net proceeds to acquire or invest in complementary businesses or other assets; however, we currently have no agreements or commitments to complete any such transaction. We have not allocated these net proceeds for any specific purposes. We might not be able to yield a significant return, if any, on any investment of these net proceeds. You will not have the opportunity to influence our management’s decisions on how to use the net proceeds from this Offering, and our failure to apply these funds effectively could have a material adverse effect on our business, delay the development of our product candidates and cause the price of our common stock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cash dividends in the foreseeable future.</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principal purposes of this Offering are to obtain additional working capital and improve the public market for our common stock. As of the date of this prospectus, we cannot specify with certainty all of the particular uses for the net proceeds of this Offering. However, assuming total net proceeds of $________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this Offering, we intend to use the net proceeds from this Offering for funding our operations, approximately as follows: (1) $________ for research and</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development expenses related to our stem cell technology-based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platform, including </w:t>
      </w:r>
      <w:r>
        <w:rPr>
          <w:rFonts w:ascii="Times New Roman" w:cs="Times New Roman" w:eastAsia="Times New Roman" w:hAnsi="Times New Roman"/>
          <w:sz w:val="17"/>
          <w:szCs w:val="17"/>
          <w:i w:val="1"/>
          <w:iCs w:val="1"/>
          <w:color w:val="auto"/>
        </w:rPr>
        <w:t>Drug Rescue Variants</w:t>
      </w:r>
      <w:r>
        <w:rPr>
          <w:rFonts w:ascii="Times New Roman" w:cs="Times New Roman" w:eastAsia="Times New Roman" w:hAnsi="Times New Roman"/>
          <w:sz w:val="17"/>
          <w:szCs w:val="17"/>
          <w:color w:val="auto"/>
        </w:rPr>
        <w:t>, novel human cell-based assay systems for drug discovery, and pilot nonclinical regenerative medicine studies; (2) $________ for general and administrative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audit, legal and other professional services related to being a public company; (3) $________ for property, plant and equipment expenses; and (4) the</w:t>
      </w:r>
    </w:p>
    <w:p>
      <w:pPr>
        <w:spacing w:after="0" w:line="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remaining proceeds for working capital and other general corporate purposes. We may also acquire or invest in complementary businesses, technologies or other assets; however, we currently have no agreements or commitments to complete any such transaction.</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Pending other uses, we intend to invest our proceeds in short-term investments or hold them as cash. We cannot predict whether the proceeds invested will yield a favorable return. Our management will have broad discretion in the use of the net proceeds, and investors will be relying on the judgment of our management regarding the application of the net proceeds.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 cash dividends on our common stock in the near future. Any future determination as to the declaration and payment of dividends, if any, will be at the discretion of our board of directors, subject to applicable law, and will depend on then existing conditions, including our financial condition, operating results, contractual restrictions, capital requirements, general business conditions and other factors that our board of directors may deem relevant.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2013 which is derived from our unaudited financial information included elsewhere in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an actual basis; and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on a pro forma basis giving effect to net proceeds from this Offering of approximately $________.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Series A preferred stock, $0.001 par value, 10,000,000 shares, including 500,000 Series A shares authorized,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500,000 Series A shares issued and outstanding, actual; 15,000,000 shares authorized, issued and outstanding,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and pro forma as adjusted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$0.001 par value, 200,000,000 shares authorized; 25,295,185 shares issued, 22,581,877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actual; ________ shares issued and ________ shares outstanding, proforma</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2,713,308 shares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receivable from sale of common stock</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w:t>
            </w:r>
          </w:p>
        </w:tc>
        <w:tc>
          <w:tcPr>
            <w:tcW w:w="4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in the table above excludes the following shares as of December 31, 2013:</w:t>
      </w:r>
    </w:p>
    <w:p>
      <w:pPr>
        <w:spacing w:after="0" w:line="217" w:lineRule="exact"/>
        <w:rPr>
          <w:sz w:val="20"/>
          <w:szCs w:val="20"/>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4,705,270 shares of common stock issuable upon the exercise of outstanding options</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15,710,885 shares of our common stock issuable upon the exercise of outstanding warrants;</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412,701 shares of common stock reserved for issuance under our 2008 Equity Incentive Plan;</w:t>
      </w:r>
    </w:p>
    <w:p>
      <w:pPr>
        <w:spacing w:after="0" w:line="243"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8,980,076 shares of our common stock issuable upon conversion of outstanding convertible notes and related accrued interest into common stock;</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exchange of our Series A Preferred; and</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our common stock issuable upon the exercise of warrants to be issued upon the exchange of our Series A Preferred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 As of December 31, 2013, our pro forma net tangible book value was approximately $____ million, or $____ per share of common stock. Pro forma net tangible book value per share represents the amount of our total tangible assets less total liabilities, divided by shares of common stock outstanding.</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Dilution in pro forma net tangible book value per share represents the difference between the amount per share paid by buyers of shares of our common stock in this Offering and the pro forma net tangible book value per share of our common stock immediately following this Offering. After giving effect to the receipt of the net proceeds from our sale of shares of common stock in this Offering at an assumed public offering price of $____ per share, our pro forma as adjusted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tangible book value as of December 31, 2013, would have been approximately $____ million, or $____ per share of common stock. This data represents 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increase in pro forma net tangible book value of $____ per share to existing stockholders and an immediate dilution of $____ per share to new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purchasing shares at the public offering price.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in this Offering:</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2013</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investors in this Offering</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2013, as adjusted to give effect to this Offering</w:t>
            </w: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 forma as adjusted dilution per share to investors in this Offering</w:t>
            </w:r>
          </w:p>
        </w:tc>
        <w:tc>
          <w:tcPr>
            <w:tcW w:w="4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7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0" w:type="dxa"/>
            <w:vAlign w:val="bottom"/>
          </w:tcPr>
          <w:p>
            <w:pPr>
              <w:spacing w:after="0"/>
              <w:rPr>
                <w:sz w:val="20"/>
                <w:szCs w:val="20"/>
                <w:color w:val="auto"/>
              </w:rPr>
            </w:pPr>
          </w:p>
        </w:tc>
        <w:tc>
          <w:tcPr>
            <w:tcW w:w="26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00"/>
              <w:spacing w:after="0" w:line="192"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__%</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______</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__%</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______</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__%</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______</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share information set forth above is as of December 31, 2013 and excludes:</w:t>
      </w:r>
    </w:p>
    <w:p>
      <w:pPr>
        <w:spacing w:after="0" w:line="217" w:lineRule="exact"/>
        <w:rPr>
          <w:sz w:val="20"/>
          <w:szCs w:val="20"/>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4,705,270 shares of common stock issuable upon the exercise of outstanding options;</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15,710,885 shares of our common stock issuable upon the exercise of outstanding warrants;</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412,701 shares of common stock reserved for issuance under our 2008 Equity Incentive Plan;</w:t>
      </w:r>
    </w:p>
    <w:p>
      <w:pPr>
        <w:spacing w:after="0" w:line="243"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8,980,076 shares of our common stock issuable upon conversion of outstanding convertible notes and related accrued interest into common stock;</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conversion of our Series A Preferred; and</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our common stock issuable upon the exercise of warrants to be issued upon the conversion of our Series A Preferred.</w:t>
      </w:r>
    </w:p>
    <w:p>
      <w:pPr>
        <w:spacing w:after="0" w:line="2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To the extent that any outstanding Series A Preferred are exchanged for common stock and/or any outstanding options or warrants are exercised, new investors will experience further dilution.</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derived the selected statement of operations data for the years ended March 31, 2012 and 2013, and the selected balance sheet data as of March 31, 2012 and 2013 from our audited consolidated financial statements included elsewhere in this prospectus. The unaudited condensed consolidated statements of operations data for the nine months ended December 31, 2012 and 2013 and the unaudited condensed consolidated balance sheet data as of December 31, 2013 have been derived from our unaudited condensed consolidated financial statements included elsewhere in this prospectus. We have prepared the unaudited condensed consolidated financial information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the results to be expected for the full fiscal year. The following selected financial data should be read in conjunction with “Management’s discussion and analysis of financial condition and results of operations” and our financial statements and related notes included elsewhere in this prospectus.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warrant and other derivative liabilities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(23,080)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 attributable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common stockholders</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18,108,444</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14,736,651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21,554,929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Pro-forma net loss attributable to common stockholders, basic and diluted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____</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pro-forma basic and diluted net loss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______</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40" w:hanging="234"/>
        <w:spacing w:after="0" w:line="274"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weighted-average common shares used in computing pro forma net loss per share attributable to common stockholders in the table above gives effect to the issuance of ______ shares of common stock pursuant to this Offering on a retroactive basis for each of the periods presented.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280" w:type="dxa"/>
            <w:vAlign w:val="bottom"/>
          </w:tcPr>
          <w:p>
            <w:pPr>
              <w:spacing w:after="0"/>
              <w:rPr>
                <w:sz w:val="16"/>
                <w:szCs w:val="16"/>
                <w:color w:val="auto"/>
              </w:rPr>
            </w:pPr>
          </w:p>
        </w:tc>
        <w:tc>
          <w:tcPr>
            <w:tcW w:w="166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w w:val="97"/>
              </w:rPr>
              <w:t>December 31,</w:t>
            </w:r>
          </w:p>
        </w:tc>
        <w:tc>
          <w:tcPr>
            <w:tcW w:w="102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8"/>
        </w:trPr>
        <w:tc>
          <w:tcPr>
            <w:tcW w:w="1120" w:type="dxa"/>
            <w:vAlign w:val="bottom"/>
            <w:tcBorders>
              <w:top w:val="single" w:sz="8" w:color="0000EE"/>
            </w:tcBorders>
          </w:tcPr>
          <w:p>
            <w:pPr>
              <w:spacing w:after="0"/>
              <w:rPr>
                <w:sz w:val="20"/>
                <w:szCs w:val="20"/>
                <w:color w:val="auto"/>
              </w:rPr>
            </w:pPr>
          </w:p>
        </w:tc>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8"/>
                <w:szCs w:val="18"/>
                <w:color w:val="auto"/>
                <w:w w:val="97"/>
              </w:rPr>
              <w:t>as adjusted</w:t>
            </w:r>
            <w:r>
              <w:rPr>
                <w:rFonts w:ascii="Times New Roman" w:cs="Times New Roman" w:eastAsia="Times New Roman" w:hAnsi="Times New Roman"/>
                <w:sz w:val="24"/>
                <w:szCs w:val="24"/>
                <w:color w:val="auto"/>
                <w:w w:val="97"/>
                <w:vertAlign w:val="superscript"/>
              </w:rPr>
              <w:t>(1)</w:t>
            </w:r>
          </w:p>
        </w:tc>
        <w:tc>
          <w:tcPr>
            <w:tcW w:w="0" w:type="dxa"/>
            <w:vAlign w:val="bottom"/>
          </w:tcPr>
          <w:p>
            <w:pPr>
              <w:spacing w:after="0"/>
              <w:rPr>
                <w:sz w:val="1"/>
                <w:szCs w:val="1"/>
                <w:color w:val="auto"/>
              </w:rPr>
            </w:pPr>
          </w:p>
        </w:tc>
      </w:tr>
      <w:tr>
        <w:trPr>
          <w:trHeight w:val="42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______</w:t>
            </w: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672</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3,712</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5,470</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(67,669)</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(68,812)</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(12,556)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(11,670)</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hanging="334"/>
        <w:spacing w:after="0" w:line="27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reflects estimated net proceeds of $________ received pursuant to the sale of ______ shares of our common stock at an assumed public offering price of $________ per share, less estimated Offering expenses, as of December 31, 2013.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biotechnology company with expertise applying human pluripotent stem cell technology for drug rescue and regenerative medicine.</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used in our bioassay systems for drug rescue.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mature heart cells produced from stem cells, we have developed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xml:space="preserve">, a novel bioassay system for assessing cardiotoxicity. We believe </w:t>
      </w:r>
      <w:r>
        <w:rPr>
          <w:rFonts w:ascii="Times New Roman" w:cs="Times New Roman" w:eastAsia="Times New Roman" w:hAnsi="Times New Roman"/>
          <w:sz w:val="18"/>
          <w:szCs w:val="18"/>
          <w:i w:val="1"/>
          <w:iCs w:val="1"/>
          <w:color w:val="auto"/>
        </w:rPr>
        <w:t xml:space="preserve">CardioSafe 3D </w:t>
      </w:r>
      <w:r>
        <w:rPr>
          <w:rFonts w:ascii="Times New Roman" w:cs="Times New Roman" w:eastAsia="Times New Roman" w:hAnsi="Times New Roman"/>
          <w:sz w:val="18"/>
          <w:szCs w:val="18"/>
          <w:color w:val="auto"/>
        </w:rPr>
        <w:t>is capable of predicting the</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cardiac effects, both toxic and non-toxic, of small molecule drug candidates before they are ever tested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animals or humans. We are validating </w:t>
      </w:r>
      <w:r>
        <w:rPr>
          <w:rFonts w:ascii="Times New Roman" w:cs="Times New Roman" w:eastAsia="Times New Roman" w:hAnsi="Times New Roman"/>
          <w:sz w:val="18"/>
          <w:szCs w:val="18"/>
          <w:i w:val="1"/>
          <w:iCs w:val="1"/>
          <w:color w:val="auto"/>
        </w:rPr>
        <w:t>LiverSafe 3D</w:t>
      </w:r>
      <w:r>
        <w:rPr>
          <w:rFonts w:ascii="Times New Roman" w:cs="Times New Roman" w:eastAsia="Times New Roman" w:hAnsi="Times New Roman"/>
          <w:sz w:val="18"/>
          <w:szCs w:val="18"/>
          <w:color w:val="auto"/>
        </w:rPr>
        <w:t>, our novel human liver cell-based bioassay system, for assessing potential liver toxicity and adverse drug-drug interactions early in development. We believe our human pluripotent stem cell-derived bioassay systems will allow us to assess the heart and liver safety profile of new drug candidates with greater speed and precision than nonclinical surrogate safety testing models currently used in drug development.</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drug rescue business model involves the combination of our human pluripotent stem cell technology with medicinal chemistry. The primary goals of our drug rescue programs are to generate and license to third-parties new, safer proprietary variants of once-promising small molecule drug candidates that pharmaceutical companies and others have discovered, evaluated as having therapeutic and commercial potential and ultimately discontinued prior to market approval due to unexpected heart or liver safety concerns. We refer to these once-promising drug candidates now suitable for our drug rescue programs as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Rescue Candidates</w:t>
      </w:r>
      <w:r>
        <w:rPr>
          <w:rFonts w:ascii="Times New Roman" w:cs="Times New Roman" w:eastAsia="Times New Roman" w:hAnsi="Times New Roman"/>
          <w:sz w:val="18"/>
          <w:szCs w:val="18"/>
          <w:color w:val="auto"/>
        </w:rPr>
        <w:t>. And we refer to the new, safer proprietary variants we intend to generate in our drug rescue programs as</w:t>
      </w:r>
      <w:r>
        <w:rPr>
          <w:rFonts w:ascii="Times New Roman" w:cs="Times New Roman" w:eastAsia="Times New Roman" w:hAnsi="Times New Roman"/>
          <w:sz w:val="18"/>
          <w:szCs w:val="18"/>
          <w:i w:val="1"/>
          <w:iCs w:val="1"/>
          <w:color w:val="auto"/>
        </w:rPr>
        <w:t xml:space="preserve"> Drug Rescue Variants</w:t>
      </w:r>
      <w:r>
        <w:rPr>
          <w:rFonts w:ascii="Times New Roman" w:cs="Times New Roman" w:eastAsia="Times New Roman" w:hAnsi="Times New Roman"/>
          <w:sz w:val="18"/>
          <w:szCs w:val="18"/>
          <w:color w:val="auto"/>
        </w:rPr>
        <w:t>. Our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rescue strategy is to leverage prior investment 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by pharmaceutical companies and others, unique heart and liver biology insight from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and/or</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and medicinal chemistry to generate</w:t>
      </w:r>
      <w:r>
        <w:rPr>
          <w:rFonts w:ascii="Times New Roman" w:cs="Times New Roman" w:eastAsia="Times New Roman" w:hAnsi="Times New Roman"/>
          <w:sz w:val="18"/>
          <w:szCs w:val="18"/>
          <w:i w:val="1"/>
          <w:iCs w:val="1"/>
          <w:color w:val="auto"/>
        </w:rPr>
        <w:t xml:space="preserve"> Drug Rescue Variants </w:t>
      </w:r>
      <w:r>
        <w:rPr>
          <w:rFonts w:ascii="Times New Roman" w:cs="Times New Roman" w:eastAsia="Times New Roman" w:hAnsi="Times New Roman"/>
          <w:sz w:val="18"/>
          <w:szCs w:val="18"/>
          <w:color w:val="auto"/>
        </w:rPr>
        <w:t>for license to pharmaceutical companies and others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commercialization.</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We are utilizing the vast amount of information available in the public domain with respect to identification of potential </w:t>
      </w:r>
      <w:r>
        <w:rPr>
          <w:rFonts w:ascii="Times New Roman" w:cs="Times New Roman" w:eastAsia="Times New Roman" w:hAnsi="Times New Roman"/>
          <w:sz w:val="17"/>
          <w:szCs w:val="17"/>
          <w:i w:val="1"/>
          <w:iCs w:val="1"/>
          <w:color w:val="auto"/>
        </w:rPr>
        <w:t>Drug Rescue Candidates</w:t>
      </w:r>
      <w:r>
        <w:rPr>
          <w:rFonts w:ascii="Times New Roman" w:cs="Times New Roman" w:eastAsia="Times New Roman" w:hAnsi="Times New Roman"/>
          <w:sz w:val="17"/>
          <w:szCs w:val="17"/>
          <w:color w:val="auto"/>
        </w:rPr>
        <w:t xml:space="preserve">. We may also seek to acquire rights to certain </w:t>
      </w:r>
      <w:r>
        <w:rPr>
          <w:rFonts w:ascii="Times New Roman" w:cs="Times New Roman" w:eastAsia="Times New Roman" w:hAnsi="Times New Roman"/>
          <w:sz w:val="17"/>
          <w:szCs w:val="17"/>
          <w:i w:val="1"/>
          <w:iCs w:val="1"/>
          <w:color w:val="auto"/>
        </w:rPr>
        <w:t>Drug Rescue Candidates</w:t>
      </w:r>
      <w:r>
        <w:rPr>
          <w:rFonts w:ascii="Times New Roman" w:cs="Times New Roman" w:eastAsia="Times New Roman" w:hAnsi="Times New Roman"/>
          <w:sz w:val="17"/>
          <w:szCs w:val="17"/>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Times New Roman" w:cs="Times New Roman" w:eastAsia="Times New Roman" w:hAnsi="Times New Roman"/>
          <w:sz w:val="17"/>
          <w:szCs w:val="17"/>
          <w:i w:val="1"/>
          <w:iCs w:val="1"/>
          <w:color w:val="auto"/>
        </w:rPr>
        <w:t>Drug Rescue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Variant </w:t>
      </w:r>
      <w:r>
        <w:rPr>
          <w:rFonts w:ascii="Times New Roman" w:cs="Times New Roman" w:eastAsia="Times New Roman" w:hAnsi="Times New Roman"/>
          <w:sz w:val="17"/>
          <w:szCs w:val="17"/>
          <w:color w:val="auto"/>
        </w:rPr>
        <w:t>we license, including up-front payments, development milestone payments and, if approved for commercial sale, royalty payments on sales.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our drug rescue programs, we are planning to explore pilot nonclinical development opportunities relating to regenerative medicine, including stem cell-based small molecule drug discovery, focused on blood, bone, cartilage, heart, liver and pancreas (insulin-producing beta-islet) cells. Each of these regenerative medicine programs would be based on the proprietary controlled differentiation and production capabilities of our </w:t>
      </w:r>
      <w:r>
        <w:rPr>
          <w:rFonts w:ascii="Times New Roman" w:cs="Times New Roman" w:eastAsia="Times New Roman" w:hAnsi="Times New Roman"/>
          <w:sz w:val="18"/>
          <w:szCs w:val="18"/>
          <w:i w:val="1"/>
          <w:iCs w:val="1"/>
          <w:color w:val="auto"/>
        </w:rPr>
        <w:t>Human Clinical Trials in a 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Tube </w:t>
      </w:r>
      <w:r>
        <w:rPr>
          <w:rFonts w:ascii="Times New Roman" w:cs="Times New Roman" w:eastAsia="Times New Roman" w:hAnsi="Times New Roman"/>
          <w:sz w:val="18"/>
          <w:szCs w:val="18"/>
          <w:color w:val="auto"/>
        </w:rPr>
        <w:t>platform.</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grant funding from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we have successfully completed Phase 1 development of AV-101. AV-101 is an orally available small molecule prodrug candidate aimed at the multi-billion dollar neurological disease and disorders market, including neuropathic pain, a serious and chronic condition causing pain after an injury or disease of the peripheral or central nervous system, epilepsy and depression. We were awarded over $8.8 million of grant funding from the NIH to support our nonclinical and Phase I clinical development of AV-101 for neuropathic pain. We intend to explore potential strategic partnering alternatives for further clinical development and commercialization of AV-101 for neuropathic pain, epilepsy, depression and potentially other neurological conditions and diseases.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We are in the development stage and, since inception, have devoted substantially all of our time and efforts to stem cell research and bioassay development, small molecule drug development, creating, protecting and patenting intellectual property, recruiting personnel and raising working capital. As of March 31, 2013 and December 31, 2013, we had an accumulated deficit of $67.7 million and $68.8 million, respectively. Our net loss for the years ended March 31, 2013 and 2012 was $12.9 million and $12.2 million, respectively, and was $1.1 million for the nine months ended December 31, 2013. We expect these conditions to continue for the foreseeable future as we expand our drug rescue activities and the capabilities of our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platform.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Fiscal Year 2013</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During the fiscal year ending March 31, 2013, we continued to expand the capabilities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develop and validate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Additionally, we continued to advance our review of prospective drug rescue candidates and successfully completed Phase 1 clinical development of AV-101, our small molecule drug candidate for neuropathic pain, epilepsy, depression and other neurological disorders. We also directed concentrated effort to finalizing and analyzing our AV-101 Phase 1b clinical trial results and preparing final clinical study reports required under the terms of our NIH grant awards. Our executive management was significantly focused on providing sufficient operating capital to advance our research and development objectives while meeting our continuing operational needs. To that end, in June 2012 and October 2012 we entered into agreements with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pursuant to which we received an aggregate of $3.25 million in cash proceeds from the issuance of senior secured convertible promissory notes and related warrants to purchase 3.25 million restricted shares of our common stock. Subject to certain adjustments, these notes are convertible into restricted shares of our common stock at a conversion price of $0.50 per share and the warrants are exercisable at an exercise price of $0.50 per share. Further, we modified Platinum’s exchange rights with respect to the 500,000 restricted shares of our Series A preferred stock that it holds. Additionally, we entered into strategic debt restructuring agreements with certain long-term service providers and research and development collaborators to modify the payment requirements of our liabilities to them by significantly reducing the monthly cash payment requirements or, in several cases, to entirely restructure the liability so that it is now payable only in restricted shares of our common stock.</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2012, we entered into such a strategic debt restructuring agreement with Morrison &amp; Foerster ("</w:t>
      </w:r>
      <w:r>
        <w:rPr>
          <w:rFonts w:ascii="Times New Roman" w:cs="Times New Roman" w:eastAsia="Times New Roman" w:hAnsi="Times New Roman"/>
          <w:sz w:val="18"/>
          <w:szCs w:val="18"/>
          <w:i w:val="1"/>
          <w:iCs w:val="1"/>
          <w:color w:val="auto"/>
        </w:rPr>
        <w:t>M&amp;F</w:t>
      </w:r>
      <w:r>
        <w:rPr>
          <w:rFonts w:ascii="Times New Roman" w:cs="Times New Roman" w:eastAsia="Times New Roman" w:hAnsi="Times New Roman"/>
          <w:sz w:val="18"/>
          <w:szCs w:val="18"/>
          <w:color w:val="auto"/>
        </w:rPr>
        <w:t>"), our former general corporate counsel and our current intellectual property counsel. Pursuant to the M&amp;F strategic debt restructuring agreement, we converted approximately $1.4 million of our then-existing promissory note debt to M&amp;F into a new unsecured promissory note payable only in restricted shares of our common stock in connection with M&amp;F’s future exercise of a warrant to purchase approximately 1.4 million shares of our common stock at $1.00 per share, provided, however, that M&amp;F has the option to require us to repay the note in cash upon a change of control or event of default, as both are defined in the agreement.</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2012, we entered into similar strategic debt restructuring agreements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our CRO collaborator for development of AV-101, and University Health Network ("</w:t>
      </w:r>
      <w:r>
        <w:rPr>
          <w:rFonts w:ascii="Times New Roman" w:cs="Times New Roman" w:eastAsia="Times New Roman" w:hAnsi="Times New Roman"/>
          <w:sz w:val="18"/>
          <w:szCs w:val="18"/>
          <w:i w:val="1"/>
          <w:iCs w:val="1"/>
          <w:color w:val="auto"/>
        </w:rPr>
        <w:t>UHN"</w:t>
      </w:r>
      <w:r>
        <w:rPr>
          <w:rFonts w:ascii="Times New Roman" w:cs="Times New Roman" w:eastAsia="Times New Roman" w:hAnsi="Times New Roman"/>
          <w:sz w:val="18"/>
          <w:szCs w:val="18"/>
          <w:color w:val="auto"/>
        </w:rPr>
        <w:t xml:space="preserve">), our long-term stem cell research and development collaborator in Canada, in which we converted approximately $1.0 million of existing accounts payable debt owed to CRL and approximately $0.55 million of existing accounts payable debt owed to UHN into new unsecured promissory notes payable only in restricted shares of our common stock in connection with future warrant exercises by CRL and UHN to purchase approximately 1,000,000 and 550,000 restricted shares of our common stock, respectively, at $1.00 per share. Additionally, we reduced the current monthly unsecured promissory note payment requirements with respect to existing debt of $1.0 million owed to M&amp;F and $0.3 million owed to Cato Holding Company. The Platinum, M&amp;F, CRL and UHN debt restructuring transactions are described in greater detail in Note 8, </w:t>
      </w:r>
      <w:r>
        <w:rPr>
          <w:rFonts w:ascii="Times New Roman" w:cs="Times New Roman" w:eastAsia="Times New Roman" w:hAnsi="Times New Roman"/>
          <w:sz w:val="18"/>
          <w:szCs w:val="18"/>
          <w:i w:val="1"/>
          <w:iCs w:val="1"/>
          <w:color w:val="auto"/>
        </w:rPr>
        <w:t>Convertible Promissory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 Capital Stock, </w:t>
      </w:r>
      <w:r>
        <w:rPr>
          <w:rFonts w:ascii="Times New Roman" w:cs="Times New Roman" w:eastAsia="Times New Roman" w:hAnsi="Times New Roman"/>
          <w:sz w:val="18"/>
          <w:szCs w:val="18"/>
          <w:color w:val="auto"/>
        </w:rPr>
        <w:t>in the Consolidated Financial Statements included in our audited financial statements and related notes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prospectus. The accounting for these transactions resulted in the recognition in the financial statements for fiscal 2013 of (i) non-cash losses attributable to certain of the debt modifications (loss on early extinguishment of debt); (ii) liabilities related to certain of the warrants issued and potentially issuable to Platinum and the related non-cash expense attributable to the change in the fair value of the warrant liability during the period; (iii) non-cash interest expense attributable to the discounts recorded with respect to the Platinum, M&amp;F, CRL and UHN promissory notes; and (iv) a deemed dividend with respect to the modification of the exchange rights for the shares of our Series A preferred stock held by Platinum and the related prospective issuance of a five-year warrant to purchase restricted shares of our common stock upon Platinum’s exercise of its Series A preferred stock exchange rights. These transactions and agreements, including the conversion of certain unsecured promissory notes into shares of restricted common stock, the exercise of warrants to purchase restricted common stock or Platinum’s exercise of its exchange rights with respect to the shares of our Series A preferred stock it holds, will potentially require the issuance of a significant number of restricted shares of our common stock at various points in the future, which may be substantially dilutive to our existing stockholders. See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8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fiscal years ended March 31, 2013 and 2012 (amounts in $000):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Fiscal Year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warrant and put and note extension option liabilities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(23,080)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primary sources of revenue for the fiscal years ended March 31, 2013 and 2012 were government grant awards from the NIH to pursue the development of AV-101 and from California Institute of Regenerative Medicine (CIRM) to develop our bioassay system for predictive liver toxicology and drug metabolism drug screening, and from a strategic research contract with third parties. Our AV-101 grant from the NIH accounted for 94% and 87% of our total revenue for fiscal year 2013 and 2012, respectively. The NIH grant expired in its normal course on June 30, 2012. Our CIRM grant terminated in September 2011 and accounted for 6% of our total revenue in fiscal year 2012. Government grant revenue typically reimburses us for expenses incurred in the subject research area plus a nominal allocation or fee to cover our related administrative and infrastructure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represented approximately 49% and 52% of our operating expenses for the years ended March 31, 2013 and 2012, respectively.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81" w:lineRule="exact"/>
        <w:rPr>
          <w:sz w:val="20"/>
          <w:szCs w:val="20"/>
          <w:color w:val="auto"/>
        </w:rPr>
      </w:pPr>
    </w:p>
    <w:p>
      <w:pPr>
        <w:ind w:left="580" w:right="660" w:hanging="336"/>
        <w:spacing w:after="0" w:line="181" w:lineRule="auto"/>
        <w:tabs>
          <w:tab w:leader="none" w:pos="580" w:val="left"/>
        </w:tabs>
        <w:numPr>
          <w:ilvl w:val="0"/>
          <w:numId w:val="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salaries, benefits, including stock-based compensation costs, travel and related expense for personnel associated with research and development activities;</w:t>
      </w:r>
    </w:p>
    <w:p>
      <w:pPr>
        <w:spacing w:after="0" w:line="194" w:lineRule="exact"/>
        <w:rPr>
          <w:rFonts w:ascii="Times New Roman" w:cs="Times New Roman" w:eastAsia="Times New Roman" w:hAnsi="Times New Roman"/>
          <w:sz w:val="34"/>
          <w:szCs w:val="34"/>
          <w:color w:val="auto"/>
          <w:vertAlign w:val="subscript"/>
        </w:rPr>
      </w:pPr>
    </w:p>
    <w:p>
      <w:pPr>
        <w:ind w:left="580" w:right="100" w:hanging="336"/>
        <w:spacing w:after="0" w:line="181" w:lineRule="auto"/>
        <w:tabs>
          <w:tab w:leader="none" w:pos="580" w:val="left"/>
        </w:tabs>
        <w:numPr>
          <w:ilvl w:val="0"/>
          <w:numId w:val="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fees paid to contract research organizations and other professional service providers for services related to the conduct and analysis of clinical trials and other development activities;</w:t>
      </w:r>
    </w:p>
    <w:p>
      <w:pPr>
        <w:spacing w:after="0" w:line="194" w:lineRule="exact"/>
        <w:rPr>
          <w:rFonts w:ascii="Times New Roman" w:cs="Times New Roman" w:eastAsia="Times New Roman" w:hAnsi="Times New Roman"/>
          <w:sz w:val="34"/>
          <w:szCs w:val="34"/>
          <w:color w:val="auto"/>
          <w:vertAlign w:val="subscript"/>
        </w:rPr>
      </w:pPr>
    </w:p>
    <w:p>
      <w:pPr>
        <w:ind w:left="580" w:right="100" w:hanging="336"/>
        <w:spacing w:after="0" w:line="181" w:lineRule="auto"/>
        <w:tabs>
          <w:tab w:leader="none" w:pos="580" w:val="left"/>
        </w:tabs>
        <w:numPr>
          <w:ilvl w:val="0"/>
          <w:numId w:val="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fees paid to third parties for access to licensed technology and costs associated with securing and maintaining patents related to our internally generated inventions;</w:t>
      </w:r>
    </w:p>
    <w:p>
      <w:pPr>
        <w:spacing w:after="0" w:line="194" w:lineRule="exact"/>
        <w:rPr>
          <w:rFonts w:ascii="Times New Roman" w:cs="Times New Roman" w:eastAsia="Times New Roman" w:hAnsi="Times New Roman"/>
          <w:sz w:val="34"/>
          <w:szCs w:val="34"/>
          <w:color w:val="auto"/>
          <w:vertAlign w:val="subscript"/>
        </w:rPr>
      </w:pPr>
    </w:p>
    <w:p>
      <w:pPr>
        <w:ind w:left="580" w:hanging="33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materials;</w:t>
      </w:r>
    </w:p>
    <w:p>
      <w:pPr>
        <w:spacing w:after="0" w:line="217"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and depreciation of laboratory equipment; and</w:t>
      </w:r>
    </w:p>
    <w:p>
      <w:pPr>
        <w:spacing w:after="0" w:line="217"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costs of facilities and infrastructure.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 Following the Merger in May 2011, we increased our administrative headcount and engaged certain consulting services to meet our obligations as a public reporting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incurred interest expense on the outstanding balance of our convertible promissory notes issued beginning in 2006, substantially all of which were converted into Units consisting of restricted common stock and warrants in May 2011 at a price of $1.75 per Unit in connection with the Merger. We also incurred interest expense on the May 2011 Platinum Note prior to its exchange into our Series A preferred stock in December 2011, on the Senior Secured Convertible Promissory Notes issued to Platinum in October 2012 and in February 2013 and March 2013, and on various notes issued to certain service providers during the years ended March 31, 2011 and 2012 and on the new and modified notes issued to Morrison &amp; Foerster, Cato Research Ltd. and University Health Network during the year ended March 31, 2013.</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recorded non-cash expense in fiscal 2013 and 2012 related to the change in the fair values of the derivatives associated with various promissory notes issued to Platinum prior to fiscal 2012 and during fiscal 2013. In fiscal 2013, we recorded non-cash losses on early extinguishment of debt in connection with the modification of certain promissory notes issued to Platinum, Morrison &amp; Foerster, Cato Holding Company and to investors in convertible promissory notes issued in February 2012 as well as in connection with the settlement of accounts payable by issuing promissory notes to Cato Research Ltd and University Health Network, In fiscal 2012, we recorded a non-cash loss on early extinguishment of debt related to the exchange of the Platinum Note into shares of our Series A preferred stock under the terms of a note and warrant exchange agreement. 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exchange rights.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Estimates</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financial statements and the related notes included elsewhere in this prospectus are prepared in accordance with accounting principles generally accepted in the United States of America. The preparation of financial statements in conformity with United States generally accepted accounting principles (GAAP) requires us to make estimates and assumptions that affect the reported amounts of assets, liabilities, revenues, costs and expenses and related disclosures in our consolidated financial statements and accompanying notes to our consolidated financial statements. These estimates include useful lives for property and equipment and related depreciation calculations, and assumptions for valuing options, warrants and other stock-based compensation. We base our estimates on historical experience and on various other assumptions that we believe to be reasonable under the circumstances. Changes in accounting estimates may occur from period to period. Accordingly, our actual results could differ significantly from the estimates made by our management. We evaluate our estimates and assumptions on an ongoing basis. To the extent that there are materials differences between these estimates and actual results, our future consolidated financial statement presentation, financial condition, results of operations and cash flows will be affected.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involve a greater degree of judgment and complexity than our other accounting policies. Accordingly, these are the policies we believe are the most critical to understanding and evaluating our financial condition and results of operations. Our accounting policies are more fully described in Note 3 of the notes to our consolidated financial statements for our fiscal year ended March 31, 2013 included elsewhere in this prospectus.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revenues consist primarily of revenues from government grant awards and strategic collaborations. We recognize revenue under the provisions of the Securities and Exchange Commission issued Staff Accounting Bulletin 104, Topic 13, </w:t>
      </w:r>
      <w:r>
        <w:rPr>
          <w:rFonts w:ascii="Times New Roman" w:cs="Times New Roman" w:eastAsia="Times New Roman" w:hAnsi="Times New Roman"/>
          <w:sz w:val="18"/>
          <w:szCs w:val="18"/>
          <w:i w:val="1"/>
          <w:iCs w:val="1"/>
          <w:color w:val="auto"/>
        </w:rPr>
        <w:t>Revenue Recognition Revised and Updated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SAB 104</w:t>
      </w:r>
      <w:r>
        <w:rPr>
          <w:rFonts w:ascii="Times New Roman" w:cs="Times New Roman" w:eastAsia="Times New Roman" w:hAnsi="Times New Roman"/>
          <w:sz w:val="18"/>
          <w:szCs w:val="18"/>
          <w:color w:val="auto"/>
        </w:rPr>
        <w:t>”) and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605-25, </w:t>
      </w:r>
      <w:r>
        <w:rPr>
          <w:rFonts w:ascii="Times New Roman" w:cs="Times New Roman" w:eastAsia="Times New Roman" w:hAnsi="Times New Roman"/>
          <w:sz w:val="18"/>
          <w:szCs w:val="18"/>
          <w:i w:val="1"/>
          <w:iCs w:val="1"/>
          <w:color w:val="auto"/>
        </w:rPr>
        <w:t>Revenue Arrangements-Multiple Element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605-25</w:t>
      </w:r>
      <w:r>
        <w:rPr>
          <w:rFonts w:ascii="Times New Roman" w:cs="Times New Roman" w:eastAsia="Times New Roman" w:hAnsi="Times New Roman"/>
          <w:sz w:val="18"/>
          <w:szCs w:val="18"/>
          <w:color w:val="auto"/>
        </w:rPr>
        <w:t>”). Revenue for arrangements not having multiple deliverables, as outlined in ASC 605-25, is recognized once costs are incurred and collectability is reasonably assured.</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202" w:lineRule="exact"/>
        <w:rPr>
          <w:sz w:val="20"/>
          <w:szCs w:val="20"/>
          <w:color w:val="auto"/>
        </w:rPr>
      </w:pPr>
    </w:p>
    <w:p>
      <w:pPr>
        <w:jc w:val="both"/>
        <w:ind w:left="520" w:hanging="315"/>
        <w:spacing w:after="0" w:line="249"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12" w:lineRule="exact"/>
        <w:rPr>
          <w:rFonts w:ascii="Times New Roman" w:cs="Times New Roman" w:eastAsia="Times New Roman" w:hAnsi="Times New Roman"/>
          <w:sz w:val="18"/>
          <w:szCs w:val="18"/>
          <w:color w:val="auto"/>
        </w:rPr>
      </w:pPr>
    </w:p>
    <w:p>
      <w:pPr>
        <w:jc w:val="both"/>
        <w:ind w:left="520" w:hanging="315"/>
        <w:spacing w:after="0" w:line="255"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207" w:lineRule="exact"/>
        <w:rPr>
          <w:rFonts w:ascii="Times New Roman" w:cs="Times New Roman" w:eastAsia="Times New Roman" w:hAnsi="Times New Roman"/>
          <w:sz w:val="18"/>
          <w:szCs w:val="18"/>
          <w:color w:val="auto"/>
        </w:rPr>
      </w:pPr>
    </w:p>
    <w:p>
      <w:pPr>
        <w:ind w:left="520" w:hanging="315"/>
        <w:spacing w:after="0" w:line="274"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360-10</w:t>
      </w:r>
      <w:r>
        <w:rPr>
          <w:rFonts w:ascii="Times New Roman" w:cs="Times New Roman" w:eastAsia="Times New Roman" w:hAnsi="Times New Roman"/>
          <w:sz w:val="18"/>
          <w:szCs w:val="18"/>
          <w:i w:val="1"/>
          <w:iCs w:val="1"/>
          <w:color w:val="auto"/>
        </w:rPr>
        <w:t>, Property, Plant &amp; Equipment—Overall</w:t>
      </w:r>
      <w:r>
        <w:rPr>
          <w:rFonts w:ascii="Times New Roman" w:cs="Times New Roman" w:eastAsia="Times New Roman" w:hAnsi="Times New Roman"/>
          <w:sz w:val="18"/>
          <w:szCs w:val="18"/>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AV-101. All such costs are charged to expense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account for stock-based payment arrangements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and ASC 505-50, </w:t>
      </w:r>
      <w:r>
        <w:rPr>
          <w:rFonts w:ascii="Times New Roman" w:cs="Times New Roman" w:eastAsia="Times New Roman" w:hAnsi="Times New Roman"/>
          <w:sz w:val="17"/>
          <w:szCs w:val="17"/>
          <w:i w:val="1"/>
          <w:iCs w:val="1"/>
          <w:color w:val="auto"/>
        </w:rPr>
        <w:t>Equity-Equity 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Payments to Non-Employees </w:t>
      </w:r>
      <w:r>
        <w:rPr>
          <w:rFonts w:ascii="Times New Roman" w:cs="Times New Roman" w:eastAsia="Times New Roman" w:hAnsi="Times New Roman"/>
          <w:sz w:val="17"/>
          <w:szCs w:val="17"/>
          <w:color w:val="auto"/>
        </w:rPr>
        <w:t>which requires the recognition of compensation expense, using a fair-value based method, for all costs related to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have issued certain warrants to Platinum and, subject to Platinum’s exercise of its rights to exchange shares of our Series A preferred stock that it holds, we are also obligated to issue an additional warrant to Platinum, that each contain an exercise price adjustment feature in the event we subsequently issue additional equity instruments at a price lower than the exercise price of the warrants. We account for these warrants as non-cash liabilities and estimate their fair value 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and Note 9</w:t>
      </w:r>
      <w:r>
        <w:rPr>
          <w:rFonts w:ascii="Times New Roman" w:cs="Times New Roman" w:eastAsia="Times New Roman" w:hAnsi="Times New Roman"/>
          <w:sz w:val="18"/>
          <w:szCs w:val="18"/>
          <w:i w:val="1"/>
          <w:iCs w:val="1"/>
          <w:color w:val="auto"/>
        </w:rPr>
        <w:t>, Capital Stock</w:t>
      </w:r>
      <w:r>
        <w:rPr>
          <w:rFonts w:ascii="Times New Roman" w:cs="Times New Roman" w:eastAsia="Times New Roman" w:hAnsi="Times New Roman"/>
          <w:sz w:val="18"/>
          <w:szCs w:val="18"/>
          <w:color w:val="auto"/>
        </w:rPr>
        <w:t xml:space="preserve"> in the Consolidated Financial Statements included in our audited financial statements and related notes included elsewhere in this prospectus. We compute the fair value of the warrant liability at each reporting period. The change in the fair value is recorded as non-cash expense or non-cash income. The key component in determining the fair value of the warrant and the related liability is our stock price, which is subject to significant fluctuation and is not under our control. The resulting change in the fair value of the warrant liability on our net income or loss is therefore also subject to significant fluctuation and will continue to be so until all of the warrants are issued and exercised, amended or expire. Assuming all other fair value inputs remain generally constant, we will record an increase in the warrant liability and non-cash expense when our stock price increases and a decrease in the warrant liability and non-cash income when our stock price decreases.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See Note 3 to our consolidated financial statements for our fiscal year ended March 31, 2013 included elsewhere in this prospectus for information on recent accounting pronouncements.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March 31, 2013 and 2012</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compares our primary revenue sources between the periods (in $000):</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6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Fiscal Year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NIH - AV-101 grant</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CIRM grant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Subcontract revenue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limited project work on AV-101 continued through fiscal 2013, we reported no grant revenue from the NIH grant after the first quarter of fiscal 2013, as the grant expired in its normal course at June 30, 2012. We had drawn the maximum amount available under the grant award prior to its expiration. Our work under the CIRM grant was completed in the quarter ended September 30, 2011. Revenue associated with our subcontract research arrangement terminated in May 2012.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Research and development expense decreased by 36% to $3.4 million in fiscal 2013 compared to $5.4 million in fiscal 2012. The following table compares the primary components of research and development expense between the periods (in $000):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4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UHN research under SRCA</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Project-related third-party research and supplies: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AV-101</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CIRM</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All other including CardioSafe and LiverSafe</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4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40" w:type="dxa"/>
            <w:vAlign w:val="bottom"/>
            <w:vMerge w:val="restart"/>
          </w:tcPr>
          <w:p>
            <w:pPr>
              <w:jc w:val="right"/>
              <w:ind w:right="285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Salary and benefits expense decreased primarily as a result of voluntary salary reductions taken by our executive officers during the last three quarters of fiscal 2013 to conserve cash for our operations and the absence in fiscal 2013 of a compensation bonus granted in fiscal 2012, partially offset by the costs attributable to additional scientific personnel added since June 2011. Stock-based compensation increased in fiscal 2013 compared to fiscal 2012 primarily as a result of recognizing (i) the expense resulting from the October 2012 modification of certain stock option grants having exercise prices between $1.13 per share and $2.58 per share made to certain of our scientific personnel, administrative staff and certain strategic consultants in prior years to reduce the exercise price to $0.75 per share and (ii) the March 2013 grant to our Chief Scientific Officer of a ten-year warrant to purchase 1,000,000 shares of our common stock at an exercise price of $0.64 per share. Partially offsetting this increase was the expense impact of certain option grants made in prior years that became fully-vested late in fiscal year 2012 or in the first quarter of fiscal 2013, requiring little, if any, expense during fiscal 2013. Sponsored research in both fiscal 2013 and fiscal 2012 reflects the continuation of our long-term stem cell research collaboration with UHN and Dr. Gordon Keller’s laboratory in accordance with modifications to our sponsored research collaboration agreement with UHN made in the third and fourth quarters of fiscal 2012 and in a further modification effective beginning in the third quarter of fiscal 2013. Additionally, fiscal 2012 expense for sponsored research at UHN included a non-cash grant of our common stock valued at $175,000 made in May 2011. Technology license expense decreased in fiscal 2013 reflecting reduced costs for patent prosecution and protection that we are required to fund under the terms of certain of our license agreements. We recognize these costs as they are passed on to us by the licensors and they do not occur ratably throughout the year or between years. We began a Phase 1b clinical trial of AV-101 early in calendar 2012 and completed it late in calendar 2012, with expenses during the second half of fiscal 2013 primarily reflecting the costs associated with finalizing and analyzing the Phase 1b clinical trial results and preparing final clinical study reports required under the terms of the NIH grant, primarily through third-party collaborators, including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AV-101 expenses in fiscal 2012 included the costs of preparing for the clinical trial and other primarily grant-reimbursable efforts conducted by CRL and other third-party collaborators. The CIRM grant expired at the end of September 2011 and grant-funded effort on that project has ceased. We do not track internal research and development expenses, including compensation costs, by project as we do not currently believe that such project accounting is required given the level and overlap of project resources, including staffing, that are dedicated to our research and development projects. Warrant modification expense in fiscal 2012 relates to the non-cash expense we recorded as a result of the December 2011 Agreement Regarding Payment of Invoices and Warrant Exercises between the Company and Cato Holding Company (CHC), CRL and certain CHC affiliates pursuant to which CHC and the CHC affiliates exercised warrants at discounted exercise prices to purchase an aggregate of 492,541 restricted shares of our common stock and we received $60,200 cash, and, in lieu of cash payment for certain of the warrant exercises, settled outstanding liabilities of $245,300 for past services received from CRL and prepaid $226,400 for future services that were received from CRL.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 decreased by 29% to $3.6 million in fiscal 2013 compared to $5.0 million in fiscal 2012. The following table compares the primary components of general and administrative expense between the periods (in $000):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516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516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3,562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400" w:type="dxa"/>
            <w:vAlign w:val="bottom"/>
            <w:vMerge w:val="restart"/>
          </w:tcPr>
          <w:p>
            <w:pPr>
              <w:jc w:val="right"/>
              <w:ind w:right="2852"/>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decrease in salaries and benefits expense in fiscal 2013 compared with fiscal 2012 results primarily from our May 2011 forgiveness, in conjunction with our going-public transaction, of notes receivable from certain officers in the aggregate amount of $185,000, plus an accrual for related tax gross-ups aggregating approximately $136,000 to which they remain entitled, which we recorded as compensation expense. Partially offsetting that decrease is the impact of converting certain current employees from consulting status during fiscal 2012 to employee status in fiscal 2013. Stock-based compensation expense decreased in fiscal 2013 as option grants of significant size and expense made in prior years became fully-vested in the second half of fiscal 2012, requiring no additional expense in fiscal 2013. Partially offsetting that decrease is the impact of recognizing (i) the expense resulting from the October 2012 modification of certain stock option grants having exercise prices between $1.13 per share and $2.58 per share made to certain administrative employees and business consultants in prior years to reduce the exercise price to $0.75 per share and (ii) the March 2013 grant to our executive officers and independent members of our board of directors of ten-year warrants to purchase an aggregate of 2,000,000 restricted shares of our common stock at an exercise price of $0.64 per share. Legal, accounting and other professional fees in fiscal 2012 included significant one-time charges related to the Merger and going-public transaction and positioning us for our initial public and SEC reporting status. Expense recorded in the current year reflects more normalized levels. Since becoming a public reporting and publicly-traded company, we have engaged certain third parties to provide us with investor relations and market awareness services that were not necessary as a private company. A portion of the compensation that we have provided to certain of these providers has been in the form of grants of restricted common stock or warrants to purchase restricted common stock. In those situations, we have expensed the grant date fair value of the restricted stock or warrants ratably over the term of the underlying contract, all of which have been completed at March 31, 2013. Additionally, we incurred non-cash warrant modification expense totaling $507,000 in fiscal 2013 related to reducing the exercise price of certain outstanding warrants to purchase our common stock, as described in Note 9 to our Consolidated Financial Statements included elsewhere in this prospectus. In fiscal 2012, we incurred non-cash warrant modification expense of $641,000 related to reducing the exercise price and, in some cases, extending the term, of certain outstanding warrants to purchase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expenses, net includes interest expense, net of interest income, in both years, and the non-cash impact of changes in the fair value of the warrant liabilities related to warrants issued or issuable to Platinum as a result of the October 2012 Agreement in fiscal 2013 and of the derivatives treated as liabilities resulting from the issuance of prior notes and warrants to Platinum in fiscal 2012. Other expenses, net also includes the non-cash loss on extinguishment of debt resulting from the modification of indebtedness to Platinum, M&amp;F, CRL and UHN, as well as the conversion by the holders of our 12% Convertible Promissory Notes issued in February 2012 into restricted shares of our common stock and warrants during fiscal 2013, and the cancellation of a $4.0 million note issued to Platinum and Platinum’s related exercise of warrants and exchange of restricted shares of our common stock into restricted shares of our Series A preferred stock during fiscal 2012.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the primary components of net interest expense between the periods (in $000):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promissory notes, including discount amortization</w:t>
            </w:r>
          </w:p>
        </w:tc>
        <w:tc>
          <w:tcPr>
            <w:tcW w:w="3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Charge for fair value of replacement warrants issued in connection</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with exercise of modified warrants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Charge related to losses on accounts payable settled by issuance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of common stock or notes payable</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w w:val="98"/>
              </w:rPr>
              <w:t>Charge for investment banker warrants related to February 2012 Convertible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promissory notes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Charge for legal fees related to issuance of Senior Secured Promissory</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 to Platinum under June and October 2012 agreements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expense, including on capital leases and premium financing</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fluctuations on notes payable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480" w:type="dxa"/>
            <w:vAlign w:val="bottom"/>
            <w:tcBorders>
              <w:top w:val="single" w:sz="8" w:color="CCEEFF"/>
            </w:tcBorders>
          </w:tcPr>
          <w:p>
            <w:pPr>
              <w:spacing w:after="0"/>
              <w:rPr>
                <w:sz w:val="24"/>
                <w:szCs w:val="24"/>
                <w:color w:val="auto"/>
              </w:rPr>
            </w:pPr>
          </w:p>
        </w:tc>
        <w:tc>
          <w:tcPr>
            <w:tcW w:w="3300" w:type="dxa"/>
            <w:vAlign w:val="bottom"/>
            <w:tcBorders>
              <w:top w:val="single" w:sz="8" w:color="CCEEFF"/>
            </w:tcBorders>
          </w:tcPr>
          <w:p>
            <w:pPr>
              <w:jc w:val="right"/>
              <w:ind w:right="2852"/>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reduction of interest expense applicable to promissory notes and amortization of the related discounts primarily reflects the effect of the December 2011 conversion to equity of $4.0 million principal amount of 10% convertible notes plus accrued interest issued to Platinum prior to fiscal 2012, including the amortization of related note discounts. Further, in April and May 2011, other convertible notes and accrued interest outstanding prior to the Merger were converted into restricted common stock at the time of the Merger. Offsetting these reductions is the accrued interest and discount amortization recorded for the July 2012 through March 2013 issuance and restructuring of an aggregate of $3.3 million of 10% senior secured convertible notes to Platinum and the restructuring of an additional $3.9 million of debt into new convertible notes to other service providers including M&amp;F, CRL and UHN. Additionally, during the quarter ended September 30, 2012, we issued restricted shares of our common stock and a note payable in settlement of certain past due accounts payable liabilities and recognized losses aggregating $80,000 based on the fair value of the restricted stock and note issued compared to the recorded liability. In fiscal 2013, we recognized interest income related to the restructuring of the May 2011 note receivable we accepted for the purchase of shares of our common stock.</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In conjunction with the issuance, pursuant to the October 2012 Agreement, of the Senior Secured Convertible Promissory Notes and related Exchange Warrant and Investment Warrants to Platinum in October 2012, February 2013 and March 2013 (as described more completely in Note 8, </w:t>
      </w:r>
      <w:r>
        <w:rPr>
          <w:rFonts w:ascii="Times New Roman" w:cs="Times New Roman" w:eastAsia="Times New Roman" w:hAnsi="Times New Roman"/>
          <w:sz w:val="17"/>
          <w:szCs w:val="17"/>
          <w:i w:val="1"/>
          <w:iCs w:val="1"/>
          <w:color w:val="auto"/>
        </w:rPr>
        <w:t>Convertible Promissory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Other Notes Payable </w:t>
      </w:r>
      <w:r>
        <w:rPr>
          <w:rFonts w:ascii="Times New Roman" w:cs="Times New Roman" w:eastAsia="Times New Roman" w:hAnsi="Times New Roman"/>
          <w:sz w:val="17"/>
          <w:szCs w:val="17"/>
          <w:color w:val="auto"/>
        </w:rPr>
        <w:t>in our Consolidated Financial Statements included elsewhere in this prospectus and the potential issuance of the Series A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Warrant to Platinum (as described in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in our Consolidated Financial Statements included elsewhere in this prospectus), we determined that the warrants included certain exercise price adjustment features requiring the warrants to be treated as liabilities. We recorded the warrant liability at its estimated fair value as of the date of warrant issuance or contract execution. During fiscal 2013, we recognized non-cash expense of $1.6 million related to the increase in the estimated fair value of these liabilities, which resulted primarily from the increase in the market price of our common stock related to the anticipated exercise price of the warrants. The $78,000 of non-cash expense recognized in fiscal year 2012 related to the termination of liability treatment for certain derivatives associated with earlier notes and warrants issued to Platinum as a result of our May 2011 going-public transaction.</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recognized non-cash losses on the early extinguishment of debt in the aggregate amount of $3.6 million in fiscal 2013 as a result of the restructuring of notes payable to Platinum and CHC, and the restructuring of accounts payable to CRL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8, </w:t>
      </w:r>
      <w:r>
        <w:rPr>
          <w:rFonts w:ascii="Times New Roman" w:cs="Times New Roman" w:eastAsia="Times New Roman" w:hAnsi="Times New Roman"/>
          <w:sz w:val="18"/>
          <w:szCs w:val="18"/>
          <w:i w:val="1"/>
          <w:iCs w:val="1"/>
          <w:color w:val="auto"/>
        </w:rPr>
        <w:t>Convertible Promissory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in our Consolidated Financial Statements included elsewhere in this prospectus. In fiscal 2012, we recognized a non-cash loss of $1.2 million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early extinguishment of debt in connection with the cancellation of a $4.0 million note and related accrued interest issued to Platinum and Platinum’s related exercise of warrants and exchange of shares of our common stock into shares of our Series A Preferred.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2012, in connection with the Note and Exchange Agreement we entered with Platinum, as described in Note 8, </w:t>
      </w:r>
      <w:r>
        <w:rPr>
          <w:rFonts w:ascii="Times New Roman" w:cs="Times New Roman" w:eastAsia="Times New Roman" w:hAnsi="Times New Roman"/>
          <w:sz w:val="18"/>
          <w:szCs w:val="18"/>
          <w:i w:val="1"/>
          <w:iCs w:val="1"/>
          <w:color w:val="auto"/>
        </w:rPr>
        <w:t>Convertible Promissory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Notes Payable,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 Capital Stock</w:t>
      </w:r>
      <w:r>
        <w:rPr>
          <w:rFonts w:ascii="Times New Roman" w:cs="Times New Roman" w:eastAsia="Times New Roman" w:hAnsi="Times New Roman"/>
          <w:sz w:val="18"/>
          <w:szCs w:val="18"/>
          <w:color w:val="auto"/>
        </w:rPr>
        <w:t>, in our Consolidated Financial Statements included elsewhere in this prospectus, we recorded a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dividend of $10.2 million as a result of the modification of the exchange rights for the Series A Preferred held by Platinum and the related prospective issuance of a five-year warrant to purchase shares of our common stock upon Platinum’s exercise of its Series A Preferred exchange rights.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December 31, 2013 and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months ended December 31, 2013 and 2012 (amounts in $000):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compares our primary revenue sources between the periods (in $000):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NIH - AV-101 grant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Subcontract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successfully completed our Phase I development of AV-101, our prodrug candidate for the treatment of neuropathic pain and, potentially, epilepsy,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Research and development expense totaled $1,916,000 for the nine months ended December 31, 2013, a decrease of 38% compared to $3,092,000 for the nine months ended December 31, 2012. The following table indicates the primary components of research and development for each of the periods (in $000):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UHN research under SRCA</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third-party research and supplies: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AV-101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other including CardioSafe and LiverSafe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4"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increase in R&amp;D salaries and benefits expense reflects the impact of (i) the addition of a research technician in April 2013; (ii) the partial restoration in April 2013 of an earlier voluntary salary reduction to below his contractual pay rate taken by our President and Chief Scientific Officer; and (iii) general annual increases in employee benefits costs. In addition to the ratable amortization of stock-based compensation expense over the requisite service period of the respective grants made in both the current year and in prior years, stock-based compensation expense for the nine months ended December 31, 2013 includes approximately $82,000 as the impact of October 2013 and December 2013 modifications to reduce the exercise price of certain outstanding option grants to $0.40 per share or $0.50 per share, as well as approximately $100,000 attributable to the expense resulting from the March 2013 grant of a warrant to our President and Chief Scientific Officer that vests over three years, subject to certain vesting acceleration events. Stock-based compensation expense for the quarter ended December 2012 includes approximately $558,000 as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2012 reflects our stem cell research collaboration in accordance with our agreements with UHN made in the third and fourth quarters of our fiscal year ended March 31, 2012 and in a further modification effective beginning in October 2012. Technology license expense has increased in 2013 reflecting significantly increased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the nine months ended December 31, 2012. AV-101 expenses in the nine months ended December 31, 2013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The increase in rent expense and depreciation for the nine months ended December 31, 2013 reflects increased rental costs and the amortization of tenant improvements related to our relocation to expanded facilities in late-July 2013.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 totaled $2,048,000 for the nine months ended December 31, 2013, a reduction of 16% compared with $2,430,000 for the nine months ended December 31, 2012. The following table indicates the primary components of general and administrative expenses for each of the periods (in $000):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6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516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78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44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2,048</w:t>
            </w:r>
          </w:p>
        </w:tc>
        <w:tc>
          <w:tcPr>
            <w:tcW w:w="78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852"/>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part-time employee status, and</w:t>
      </w:r>
    </w:p>
    <w:p>
      <w:pPr>
        <w:spacing w:after="0" w:line="1" w:lineRule="exact"/>
        <w:rPr>
          <w:sz w:val="20"/>
          <w:szCs w:val="20"/>
          <w:color w:val="auto"/>
        </w:rPr>
      </w:pPr>
    </w:p>
    <w:p>
      <w:pPr>
        <w:jc w:val="both"/>
        <w:ind w:firstLine="6"/>
        <w:spacing w:after="0" w:line="261" w:lineRule="auto"/>
        <w:tabs>
          <w:tab w:leader="none" w:pos="30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both the current year and in prior years, stock-based compensation expense for the quarter ended December 31, 2013 includes approximately $170,000 as the impact of October 2013 and December 2013 modifications to reduce the exercise price of certain outstanding option grants to $0.40 per share or $0.50 per share, as well as approximately $201,000 attributable to the expense resulting from the March 2013 grant of warrants vesting over three years, subject to certain vesting acceleration events, to certain members of our senior management and to the independent members of our Board of Directors. Stock-based compensation expense for the quarter ended December 2012 includes approximately $231,000 as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The reduction in legal, accounting and other professional fees is primarily the result of the conversion of our Chief Financial Officer from part-time consultant to full-time employee status, as noted above, partially offset by the impact of temporary employee fees. During 2012, we had engaged third parties to provide us with investor relations services and to conduct market awareness initiatives; for strategic purposes, we have significantly scaled back those initiatives during 2013. The 2013 increase in rent and utilities reflects increased costs related to our relocation to expanded facilities in late-July 2013. Warrant modification expense for 2013 reflects the impact of October 2013 and December 2013 strategic reductions in the exercise price of certain outstanding warrants, generally from $1.75 per share or $1.50 per share, to $0.50 per share, and in limited cases, the extension of the term of certain outstanding warrants. In May 2012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Expenses, Net</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net totaled $1,000,000 for the nine months ended December 31, 2013, a 63% increase compared to the $612,000 reported for the nine months ended December 31, 2012. The following table summarizes the primary components of interest expense for each of the periods (in $000):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promissory notes, including discount amortization</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Charge for fair value of replacement warrants issued in connection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exercise of modified warrants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related to losses on accounts payable settled by issuance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of common stock or notes payable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Charge for investment banker warrants related to February 2012 Convertible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promissory notes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 expense, including on capital leases and premium financing</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fluctuations on notes payable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Promissory Notes and Other Notes Payable, </w:t>
      </w:r>
      <w:r>
        <w:rPr>
          <w:rFonts w:ascii="Times New Roman" w:cs="Times New Roman" w:eastAsia="Times New Roman" w:hAnsi="Times New Roman"/>
          <w:sz w:val="18"/>
          <w:szCs w:val="18"/>
          <w:color w:val="auto"/>
        </w:rPr>
        <w:t>in the Condensed Consolidated Financial Statements included in this prospectus.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7, </w:t>
      </w:r>
      <w:r>
        <w:rPr>
          <w:rFonts w:ascii="Times New Roman" w:cs="Times New Roman" w:eastAsia="Times New Roman" w:hAnsi="Times New Roman"/>
          <w:sz w:val="17"/>
          <w:szCs w:val="17"/>
          <w:i w:val="1"/>
          <w:iCs w:val="1"/>
          <w:color w:val="auto"/>
        </w:rPr>
        <w:t>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Promissory Notes and Other Notes Payable, </w:t>
      </w:r>
      <w:r>
        <w:rPr>
          <w:rFonts w:ascii="Times New Roman" w:cs="Times New Roman" w:eastAsia="Times New Roman" w:hAnsi="Times New Roman"/>
          <w:sz w:val="17"/>
          <w:szCs w:val="17"/>
          <w:color w:val="auto"/>
        </w:rPr>
        <w:t>in the Condensed Consolidated Financial Statements included in this prospectus), and the contingent issuance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Series A Exchange Warrant to Platinum upon Platinum’s exchange of shares of our Series A Preferred Stock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the nine months ended December 31, 2013, we recognized non-cash income of $3,824,000 related to the net decrease in the estimated fair value of these liabilities since March 31, 2013, or issuance in the case of the warrant issued in July 2013, which resulted from a combination of (i) the May 2013 agreement with Platinum (described more completely in Note 9, </w:t>
      </w:r>
      <w:r>
        <w:rPr>
          <w:rFonts w:ascii="Times New Roman" w:cs="Times New Roman" w:eastAsia="Times New Roman" w:hAnsi="Times New Roman"/>
          <w:sz w:val="17"/>
          <w:szCs w:val="17"/>
          <w:i w:val="1"/>
          <w:iCs w:val="1"/>
          <w:color w:val="auto"/>
        </w:rPr>
        <w:t xml:space="preserve">Capital Stock, </w:t>
      </w:r>
      <w:r>
        <w:rPr>
          <w:rFonts w:ascii="Times New Roman" w:cs="Times New Roman" w:eastAsia="Times New Roman" w:hAnsi="Times New Roman"/>
          <w:sz w:val="17"/>
          <w:szCs w:val="17"/>
          <w:color w:val="auto"/>
        </w:rPr>
        <w:t>in the Condensed Consolidated Financial Statements included in this prospectus), pursuant to which the stated exercise price of the warrants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reduced from $1.50 per share to $0.50 per share, and (ii) the decrease in the market price of our common stock during that period.</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recognized non-cash losses on the early extinguishment of debt in the aggregate amount of $3.5 million during the nine months ended December 31, 2012 as a result of the restructuring of notes payable to Platinum and Cato Holding Company, and the restructuring of accounts payable to Cato Research, Ltd. and University Health Network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in the Consolidated Financial Statements included in this prospectus.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2012, in connection with the Note and Exchange Agreement we entered with Platinum, as described in Note 7, </w:t>
      </w:r>
      <w:r>
        <w:rPr>
          <w:rFonts w:ascii="Times New Roman" w:cs="Times New Roman" w:eastAsia="Times New Roman" w:hAnsi="Times New Roman"/>
          <w:sz w:val="18"/>
          <w:szCs w:val="18"/>
          <w:i w:val="1"/>
          <w:iCs w:val="1"/>
          <w:color w:val="auto"/>
        </w:rPr>
        <w:t>Convertible Promissory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Notes Payable,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 Capital Stock</w:t>
      </w:r>
      <w:r>
        <w:rPr>
          <w:rFonts w:ascii="Times New Roman" w:cs="Times New Roman" w:eastAsia="Times New Roman" w:hAnsi="Times New Roman"/>
          <w:sz w:val="18"/>
          <w:szCs w:val="18"/>
          <w:color w:val="auto"/>
        </w:rPr>
        <w:t>, in the Condensed Consolidated Financial Statements included in this prospectus, we recorded a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 March 31, 2013, we had cash and cash equivalents of $638,100 and our current liabilities exceeded our current assets by $1.7 million. However, in April 2013, we entered into a Securities Purchase Agreement (as amended, the “</w:t>
      </w:r>
      <w:r>
        <w:rPr>
          <w:rFonts w:ascii="Times New Roman" w:cs="Times New Roman" w:eastAsia="Times New Roman" w:hAnsi="Times New Roman"/>
          <w:sz w:val="18"/>
          <w:szCs w:val="18"/>
          <w:i w:val="1"/>
          <w:iCs w:val="1"/>
          <w:color w:val="auto"/>
        </w:rPr>
        <w:t>Autilion Agreement</w:t>
      </w:r>
      <w:r>
        <w:rPr>
          <w:rFonts w:ascii="Times New Roman" w:cs="Times New Roman" w:eastAsia="Times New Roman" w:hAnsi="Times New Roman"/>
          <w:sz w:val="18"/>
          <w:szCs w:val="18"/>
          <w:color w:val="auto"/>
        </w:rPr>
        <w:t>”) pursuant to which, we have agreed to sell, and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has agreed to purchase, 72.0 million restricted shares of our common stock for $0.50 per share resulting in aggregate gross proceeds to us of $36.0 million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The Autilion Financing also provides for the election to our board of directors of a designee of Autilion. Through the date of this prospectus, we have completed only a nominal initial closing of the Autilion Financing. During our fiscal year ended March 31, 2013, we financed our operations primarily through the issuance of $3.3 million of 10% Senior Secured Convertible Promissory Notes to Platinum, the sale of units consisting of common stock and five-year warrants to purchase common stock that generated approximately $1.1 million of cash proceeds, and the exercise of warrants, most of which were modified to reduce their original exercise prices, that generated approximately $0.3 million of cash proceeds.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To meet our working capital needs prior to the closing of the Autilion Financing, during June and July 2013, we offered certain warrant holders the opportunity to exercise outstanding warrants having an exercise price of $1.50 per share to purchase shares of our restricted common stock at a reduced exercise price of $0.50 per share. Through July 2013, warrant holders exercised modified warrants to purchase an aggregate of 528,370 restricted shares of our common stock and we received cash proceeds of $264,200. In addition, certain long-term warrant holders exercised modified warrants to purchase 16,646 shares of our restricted common stock in lieu of payment by us in satisfaction of amounts due for professional services in the aggregate amount of $8,300. Additionally, in July 2013, we issued to Platinum a senior secured convertible note in the face amount of $250,000 (the July 2013 Note) and a five-year warrant to purchase 250,000 shares of our restricted common stock at an exercise price of $0.50 per share. Between August 2013 and February 14, 2014, we entered into securities purchase agreements with accredited investors pursuant to which we sold to such investors Units consisting, in aggregate, of: (i) one-year 10% convertible notes in the aggregate face amount of $970,000; (ii) an aggregate of 1,940,000 shares of our restricted common stock; and (iii) warrants exercisable through July 30, 2016 to purchase an aggregate of 1,940,000 restricted shares of our common stock at an exercise price of $1.00 per share. We received cash proceeds of $970,000 from the sale of the Units, including $50,000 in lieu of repayment of previous advances made to us by one of our executive officers. Under certain circumstances, the July 2013 Note issued to Platinum is convertible into Units.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in May 1998, we have financed our operations, technology development and technology acquisitions primarily through the issuance and sale of equity and equity-linked securities for cash consideration and convertible promissory notes and short-term promissory notes for cash proceeds of approximately $25.4 million, as well as from an aggregate of approximately $16.4 million of government research grant awards and strategic collaboration payments. Additionally, we have issued equity securities with an approximate value at issuance of $12.6 million, primarily as compensation for professional services rendered to us since inception.</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anticipate that our cash expenditures during the next twelve months will be approximately $4.0 million to $6.0 million. We believe that our current cash and cash equivalents, combined with the expected cash proceeds from either this Offering or the Autilion Financing, will enable us to fund our operations well beyond the next twelve months. However, Autilion is currently in default under the Autilion Agreement, and we can provide no assurance that we will complete the Autilion Financing in a timely manner or at all. In the event we do not complete this Offering and Autilion is unable to complete the Autilion Financing in substantial part or in full, we will need to meet our cash needs and fund our working capital requirements through a combination of additional private placements and public offerings of our securities, which may include both debt and equity securities, research and development collaborations, and government grant awards. Since our inception, we have demonstrated the ability to manage our costs aggressively and increase our operating efficiencies while advancing our stem cell technology platform and AV-101 development programs. To further advance drug rescue applications of our stem cell technology platform, as well as support our operating activities, we plan to continue to manage our monthly operating costs associated with salaries and benefits, regulatory and public company consulting, contract research and development, legal, accounting and other working capital costs carefully.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Although we have been successful since May 1998 with raising sufficient capital, and we will continue to pursue additional financing opportunities, as and when required, to meet our business objectives, there can be no assurance that additional capital will be available to us in sufficient amounts, on terms favorable to us, and without substantial dilution to our current stockholders, if at all. If we are unable to complete this Offering, the Autilion Financing or one or more private placements, or otherwise obtain sufficient financing through strategic collaborations or government grant awards, we may be required to delay, scale back or discontinue certain drug rescue and/or research and development activities, and this will adversely affect our ability to operate as a going concern and could cause our stock price to decline. If we obtain additional financing by selling our equity or debt securities, including sales of our common stock pursuant to the completion of this Offering or the Autilion Financing, substantial dilution to our existing stockholders will result. Our future working capital requirements will depend on many factors, including, without limitation, the scope and nature of our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including warrant exercises and sale of Units in 2012 and sale of Units in 2011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We have two inactive, wholly-owned subsidiaries, Artemis Neuroscience, Inc., a Maryland corporation, and VistaStem Canada, Inc., an Ontario corporation.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0" w:name="page71"/>
    <w:bookmarkEnd w:id="70"/>
    <w:p>
      <w:pPr>
        <w:spacing w:after="0"/>
        <w:rPr>
          <w:rFonts w:ascii="Times New Roman" w:cs="Times New Roman" w:eastAsia="Times New Roman" w:hAnsi="Times New Roman"/>
          <w:sz w:val="16"/>
          <w:szCs w:val="16"/>
          <w:i w:val="1"/>
          <w:iCs w:val="1"/>
          <w:u w:val="single" w:color="auto"/>
          <w:color w:val="0000EE"/>
        </w:rPr>
      </w:pPr>
      <w:hyperlink w:anchor="page148">
        <w:r>
          <w:rPr>
            <w:rFonts w:ascii="Times New Roman" w:cs="Times New Roman" w:eastAsia="Times New Roman" w:hAnsi="Times New Roman"/>
            <w:sz w:val="16"/>
            <w:szCs w:val="16"/>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 stem cell company headquartered in South San Francisco, California and focused on drug rescue and regenerative medicine. We believe </w:t>
      </w:r>
      <w:r>
        <w:rPr>
          <w:rFonts w:ascii="Times New Roman" w:cs="Times New Roman" w:eastAsia="Times New Roman" w:hAnsi="Times New Roman"/>
          <w:sz w:val="18"/>
          <w:szCs w:val="18"/>
          <w:i w:val="1"/>
          <w:iCs w:val="1"/>
          <w:color w:val="auto"/>
        </w:rPr>
        <w:t>better cells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lead to better medicine</w:t>
      </w:r>
      <w:r>
        <w:rPr>
          <w:rFonts w:ascii="Times New Roman" w:cs="Times New Roman" w:eastAsia="Times New Roman" w:hAnsi="Times New Roman"/>
          <w:sz w:val="18"/>
          <w:szCs w:val="18"/>
          <w:color w:val="auto"/>
        </w:rPr>
        <w:t>™ and that the key to making better cells is precisely controlling the differentiation of human pluripotent stem cells, which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blocks of all cells of the human body. For over 15 years, our stem cell research and development teams and collaborators have focused on controlling the differentiation of pluripotent stem cells to produce multiple types of mature, functional, adult human cells, with emphasis on human heart and liver cells.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stem cell technology platform - Human Clinical Trials in a Test Tube™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stem cell technology platform, which we refer to as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heart cells and liver cells for our drug rescue applications. Upon completion of this Offering, we intend to focus on the drug rescue applications utilizing human heart and liver cells, and further advance, through collaborative research projects, pharmaceutical applications of stem cell-derived blood, bone, cartilage, heart, liver and pancreatic beta-islet cells, including exploring opportunities to leverage our stem cell technology platform for regenerative medicine purposes. Our emphasis in the regenerative medicine arena will be on developing novel human disease models for discovery of small molecule drugs and biologics that activate the endogenous growth and healing processes enabling the body to repair tissue damage caused by certain degenerative diseases.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CardioSafe 3D™</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Using mature cardiomyocytes (heart cells) differentiated from human pluripotent stem cells, we have developed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 a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 used to assess new drug candidates for potential cardiac toxicity before they are tested in humans. We believe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capable of predicting the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cardiac effects, both toxic and non-toxic, of small molecule drug candidates with greater speed and precision than the long-established, surrogate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models most often used in drug development, including models using animal cells or live animals, and cellular assays using cadaver, immortalized or transformed cells. Our pluripotent stem cell derived cardiomyocytes (heart cells)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key components of our </w:t>
      </w:r>
      <w:r>
        <w:rPr>
          <w:rFonts w:ascii="Times New Roman" w:cs="Times New Roman" w:eastAsia="Times New Roman" w:hAnsi="Times New Roman"/>
          <w:sz w:val="18"/>
          <w:szCs w:val="18"/>
          <w:i w:val="1"/>
          <w:iCs w:val="1"/>
          <w:color w:val="auto"/>
        </w:rPr>
        <w:t>Human Clinical Trials in a 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Tube </w:t>
      </w:r>
      <w:r>
        <w:rPr>
          <w:rFonts w:ascii="Times New Roman" w:cs="Times New Roman" w:eastAsia="Times New Roman" w:hAnsi="Times New Roman"/>
          <w:sz w:val="18"/>
          <w:szCs w:val="18"/>
          <w:color w:val="auto"/>
        </w:rPr>
        <w:t>platform and drug rescue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LiverSafe 3D™</w:t>
      </w:r>
    </w:p>
    <w:p>
      <w:pPr>
        <w:spacing w:after="0" w:line="2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Using mature, functional adult hepatocytes (liver cells) derived from human pluripotent stem cells, we are currently validating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our second novel stem cell technology-based bioassay system. We believe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will enable us to assess, early in development, new drug candidates for potential liver toxicity and particularly metabolism issues that can result in serious adverse drug-drug interactions, before animal or human testing. We plan to use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and the clinically predictive liver biology insight we believe it will provide us, to expand the scope of our commercial opportunities related to drug rescue.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believe drug rescue, using our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the foundation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promising drug candidates have already been tested extensively and validated by a pharmaceutical or biotechnology company for their therapeutic (efficacy) and commercial potential. We refer to these promising new drug candidates that have been discovered, developed and ultimately terminated by pharmaceutical and biotechnology companies as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Failure of promising new drug candidates due to unexpected human clinical toxicity highlights the need for new paradigms to evaluate potential toxicity early in drug development. While efforts of pharmaceutical and biotechnology companies to improve their prediction of human clinical toxicity for new drug candidates is ongoing, the existence of many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offers us an opportunity to use our novel drug rescue technology to take advantage of these promising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each with early signs of efficacy, by eliminating the toxicity that caused them to be terminated, and bring new, safer versions back into development protected by new intellectual property. We refer to these new, safer versions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produce with our medicinal chemistry collaborator and validate internally in our bioassay systems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designed our drug rescue model to leverage publicly available information and substantial prior investment by pharmaceutical companies and others 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The key commercial objective of our drug rescue model is to generate revenue from license,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involving the new, safer and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produce with our medicinal chemistry collaborator and validate internally in our bioassay systems prior to license. We anticipate that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will be suitable as a promising drug development program, either internally or in collaboration with a strategic partner. Through stem cell technology-based drug rescue, we intend to become a leading source of proprietary, small molecule drug candidates to the global pharmaceutical industry.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Rescue Strategy</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believe the pre-existing public domain knowledge base supporting the therapeutic and commercial potential of our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will provide us with a valuable head start as we launch our drug rescue programs. Leveraging the substantial prior investments by global pharmaceutical companies and others in discovery and efficacy validation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is an essential component of our drug rescue strategy.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current drug rescue emphasis is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discontinued prior to FDA market approval due to unexpected cardiac safety concerns. By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biological insight not previously available when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was originally discovered and developed, we believe we can demonstrate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as to the efficacy and safety of </w:t>
      </w:r>
      <w:r>
        <w:rPr>
          <w:rFonts w:ascii="Times New Roman" w:cs="Times New Roman" w:eastAsia="Times New Roman" w:hAnsi="Times New Roman"/>
          <w:sz w:val="18"/>
          <w:szCs w:val="18"/>
          <w:i w:val="1"/>
          <w:iCs w:val="1"/>
          <w:color w:val="auto"/>
        </w:rPr>
        <w:t xml:space="preserve">Drug Rescue Variants </w:t>
      </w:r>
      <w:r>
        <w:rPr>
          <w:rFonts w:ascii="Times New Roman" w:cs="Times New Roman" w:eastAsia="Times New Roman" w:hAnsi="Times New Roman"/>
          <w:sz w:val="18"/>
          <w:szCs w:val="18"/>
          <w:color w:val="auto"/>
        </w:rPr>
        <w:t>earlier in development and with substantially less investment in discovery and development than was required of the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prior to their decision to terminate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current drug rescue strategy are as follows:</w:t>
      </w:r>
    </w:p>
    <w:p>
      <w:pPr>
        <w:spacing w:after="0" w:line="242" w:lineRule="exact"/>
        <w:rPr>
          <w:sz w:val="20"/>
          <w:szCs w:val="20"/>
          <w:color w:val="auto"/>
        </w:rPr>
      </w:pPr>
    </w:p>
    <w:p>
      <w:pPr>
        <w:jc w:val="both"/>
        <w:ind w:left="640" w:hanging="338"/>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identify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preferred provider of contract medicinal chemistry and contract clinical development services, respectively;</w:t>
      </w:r>
    </w:p>
    <w:p>
      <w:pPr>
        <w:spacing w:after="0" w:line="206"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substantial prior R&amp;D investments made by global pharmaceutical companies and others to support the therapeutic and commercial potential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as an important criterion for selection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potential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important biological insight not available when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were originally discovered and developed by pharmaceutical companies;</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our knowledgebase about each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specific chemistry to design and produce a portfolio of novel potential lead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for each</w:t>
      </w:r>
      <w:r>
        <w:rPr>
          <w:rFonts w:ascii="Times New Roman" w:cs="Times New Roman" w:eastAsia="Times New Roman" w:hAnsi="Times New Roman"/>
          <w:sz w:val="18"/>
          <w:szCs w:val="18"/>
          <w:i w:val="1"/>
          <w:iCs w:val="1"/>
          <w:color w:val="auto"/>
        </w:rPr>
        <w:t xml:space="preserve"> Drug Rescue Candidate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pre-existing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efficacy models to assess the efficacy and cardiac safety of potential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identify and validate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and</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global pharmaceutical company in a revenue-generating agreement providing for the full development, market approval and commercial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 Candidates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current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are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Drug Rescue Candidate Indication</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Developer</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Terminated</w:t>
            </w:r>
          </w:p>
        </w:tc>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Reason for Termination Mechanism</w:t>
            </w:r>
          </w:p>
        </w:tc>
      </w:tr>
      <w:tr>
        <w:trPr>
          <w:trHeight w:val="212"/>
        </w:trPr>
        <w:tc>
          <w:tcPr>
            <w:tcW w:w="2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VSTA-1C05</w:t>
            </w:r>
          </w:p>
        </w:tc>
        <w:tc>
          <w:tcPr>
            <w:tcW w:w="1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Cancer</w:t>
            </w:r>
          </w:p>
        </w:tc>
        <w:tc>
          <w:tcPr>
            <w:tcW w:w="16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Pharma</w:t>
            </w:r>
          </w:p>
        </w:tc>
        <w:tc>
          <w:tcPr>
            <w:tcW w:w="1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Phase 1/2</w:t>
            </w:r>
          </w:p>
        </w:tc>
        <w:tc>
          <w:tcPr>
            <w:tcW w:w="18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Aurora kinase inhibitors</w:t>
            </w: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VSTA-1A08</w:t>
            </w:r>
          </w:p>
        </w:tc>
        <w:tc>
          <w:tcPr>
            <w:tcW w:w="1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Cancer</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Biotech</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Preclinical</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PI3 kinase inhibitor</w:t>
            </w:r>
          </w:p>
        </w:tc>
      </w:tr>
      <w:tr>
        <w:trPr>
          <w:trHeight w:val="212"/>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VSTA-2A21</w:t>
            </w:r>
          </w:p>
        </w:tc>
        <w:tc>
          <w:tcPr>
            <w:tcW w:w="1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Dementia</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Pharma</w:t>
            </w:r>
          </w:p>
        </w:tc>
        <w:tc>
          <w:tcPr>
            <w:tcW w:w="1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Preclinical</w:t>
            </w:r>
          </w:p>
        </w:tc>
        <w:tc>
          <w:tcPr>
            <w:tcW w:w="1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Nicotinic a7 receptors</w:t>
            </w:r>
          </w:p>
        </w:tc>
      </w:tr>
      <w:tr>
        <w:trPr>
          <w:trHeight w:val="23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VSTA-5A03</w:t>
            </w:r>
          </w:p>
        </w:tc>
        <w:tc>
          <w:tcPr>
            <w:tcW w:w="1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HIV</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Pharma</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Preclinical</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Integrase inhibitor</w:t>
            </w:r>
          </w:p>
        </w:tc>
      </w:tr>
    </w:tbl>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our exclusive focus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established, therapeutic and commercial potential, and our ability to build on that valuable head start using our expertise in human biology, will help us to generate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without incurring certain high costs and risks typically inherent in drug discovery and development. Although we plan to continue to identify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public domain, we may also seek to acquire rights to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Candidates </w:t>
      </w:r>
      <w:r>
        <w:rPr>
          <w:rFonts w:ascii="Times New Roman" w:cs="Times New Roman" w:eastAsia="Times New Roman" w:hAnsi="Times New Roman"/>
          <w:sz w:val="18"/>
          <w:szCs w:val="18"/>
          <w:color w:val="auto"/>
        </w:rPr>
        <w:t>not available to us in the public domain by entering into contractual arrangements with third-parties.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Licensing of Drug Rescue Variants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many pharmaceutical companies are experiencing, and will continue to experience, critical R&amp;D productivity issues, as measured by their lack of, or very low number of, FDA-approved products each year during the past decade. For example, in 2013, the U.S. pharmaceutical industry invested over $51 billion in R&amp;D and the Center for Drug Evaluation and Research (CDER) of the FDA approved a total of only thirty-nine (39) novel drugs, known as New Molecular Entities (NMEs). In 2013, CDER approved only twenty-seven (27) NMEs, thirteen (13) of which NME approvals (48%) were received by only five (5) pharmaceutical companies, including Bayer (2), GlaxoSmithKline (4), Johnson &amp; Johnson (3), Roche (2) and Takeda (2). Despite remarkable levels of R&amp;D investment by the global pharmaceutical industry as a whole, since 2003, the FDA has only approved an average of approximately twenty-six (26) NMEs per year. In addition, we believe many pharmaceutical companies with established products that are no longer patent protected are also experiencing substantial market pressure from generic competition.</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a result of R&amp;D productivity issues, diminishing product pipelines and generic competition, we believe there is and will continue to be a critical need among pharmaceutical companies to license the new, safer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are focused on developing, including companies that originally discovered, developed and ultimately discontinued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select for our drug rescue programs.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Once we achieve proof-of-concept (POC)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 to the efficacy and safety of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we intend to announce the results of our internal POC studies and, at that time, consider whether we will seek to license that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including the company that developed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or further develop it on our own. If we decide to license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and that we will receive licensing revenue through payments to us from the license upon signing the license agreement, achievement of development and regulatory milestones, and, if approved and marketed, upon commercial sales.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and Drug Discovery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Although we believe the best and most valuable near term commercial application of our stem cell technology platform,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is for small molecule drug rescue, we also believe stem cell technology-based regenerative medicine has the potential to transform healthcare in the U.S. over the next decade by altering the fundamental mechanisms of disease and help slow rapidly rising healthcare costs in the U.S. Upon completion of this Offering, we intend to explore opportunities to leverage our stem cell technology platform for regenerative medicine purposes, with emphasis on developing novel human disease models for discovery of small molecule drugs and biologics with regenerative and therapeutic potential. Our regenerative medicine focus will be based on our expertise in human biology and differentiation of human pluripotent stem cells to develop functional adult human cells and tissues involved in human disease, including blood, bone, cartilage, heart, liver and insulin-producing pancreatic beta-islet cells. Our objective will be to explore regenerative medicine opportunities through pilot nonclinical proof-of-concept studies, after which we intend to assess any potential opportunities for further development and commercialization of therapeutically and commercially promising regenerative medicine programs, either on our own or with strategic partners.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Neuropathic Pain, Epilepsy and Depression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$8.8 million of grant funding awarded from the U.S. National Institutes of Health, we have successfully completed Phase 1 development of AV-101. AV-101, also known as “L-4-chlorokynurenine” and “4-Cl-KYN”, is an orally available small molecule prodrug candidate aimed at the multi-billion dollar neurological disease and disorders market, including neuropathic pain, a serious and chronic condition causing pain after an injury or disease of the peripheral or central nervous system, epilepsy and depression. Our AV-101 IND application on file at the FDA covers clinical development for neuropathic pain. However, we believe the Phase 1 AV-101 safety studies completed to date will support development of AV-101 for multiple indications, including epilepsy and depression. Upon completion of this Offering, we intend to pursue potential opportunities for further development and commercialization of AV-101 for neuropathic pain, epilepsy and depression, either on our own or with a strategic partner. In the event that we successfully complete a strategic partnering arrangement for AV-101, we plan to use the net proceeds from such an arrangement to expand our drug rescue and regenerative medicine programs.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Background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Stem Cell Basics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Stem cells are the building blocks of all cells of the human body. They have the potential to develop into many different mature cell types. Stem cells are defined by a minimum of two key characteristics: (1) their capacity to self-renew, or divide in a way that results in more stem cells; and (2)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Human pluripotent stem cells (hPSCs) can differentiate into all of the more than 200 types of cells in the human body, can be expanded readily, and have diverse medical research, drug discovery, drug rescue, drug development and therapeutic applications. We believe hPSCs can be used to develop numerous cell types and tissues that can mimic complex human biology, including heart and liver biology for drug rescue.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Human pluripotent stem cells are either embryonic stem cells (hESCs) or induced pluripotent stem cells (iPSCs).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for our novel bioassay systems to test the safety and efficacy of new drug candidates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These cells also have potential for diverse regenerative medicine applications.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Embryonic Stem Cells</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Human embryonic stem cells (hESCs) are derived from excess embryos that develop from eggs that have been fertilized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fertilization (IVF)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Human embryonic stem cells have the greatest and most documented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Induced Pluripotent Stem Cells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also possible to obtain hPSC lines from individuals without the use of embryos. Induced pluripotent stem cells (iPSCs)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Although there are remaining questions in the field about the lifespan, clinical utility and safety of iPSCs, we believe the biology and differentiation capabilities of hESCs and iPSCs are likely to be comparable for drug rescue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86" w:lineRule="exact"/>
        <w:rPr>
          <w:sz w:val="20"/>
          <w:szCs w:val="20"/>
          <w:color w:val="auto"/>
        </w:rPr>
      </w:pPr>
    </w:p>
    <w:p>
      <w:pPr>
        <w:ind w:left="780" w:hanging="44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specific inheritable diseases and conditions that predispose the individual to respond differently to drugs; or</w:t>
      </w:r>
    </w:p>
    <w:p>
      <w:pPr>
        <w:spacing w:after="0" w:line="24" w:lineRule="exact"/>
        <w:rPr>
          <w:rFonts w:ascii="Times New Roman" w:cs="Times New Roman" w:eastAsia="Times New Roman" w:hAnsi="Times New Roman"/>
          <w:sz w:val="18"/>
          <w:szCs w:val="18"/>
          <w:color w:val="auto"/>
        </w:rPr>
      </w:pPr>
    </w:p>
    <w:p>
      <w:pPr>
        <w:ind w:left="780" w:hanging="443"/>
        <w:spacing w:after="0" w:line="251"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specific variations in genes that directly affect drug levels in the body or alter the manner or efficiency of their metabolism, breakdown and/or elimination of drugs.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Stem Cell Differentiation Protocols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Over fifteen years of research, together with our co-founder, Dr. Gordon Keller, we have developed proprietary differentiation protocols covering key conditions involved in the differentiation of pluripotent stem cells into multiple types of human cells. The human cells generated by following these proprietary differentiation protocols are integral to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We believe they support more clinically predictive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cover, among other things, the following: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780" w:hanging="443"/>
        <w:spacing w:after="0" w:line="257"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growth and differentiation factors used in the tissue culture medium, applied in specific combinations, at critical concentrations, and at critical times unique to each desired human cell type;</w:t>
      </w:r>
    </w:p>
    <w:p>
      <w:pPr>
        <w:ind w:left="780" w:hanging="443"/>
        <w:spacing w:after="0" w:line="245"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experimentally controlled regulation of developmental genes, which is critical for determining what differentiation path a human cell will take; and</w:t>
      </w:r>
    </w:p>
    <w:p>
      <w:pPr>
        <w:spacing w:after="0" w:line="1" w:lineRule="exact"/>
        <w:rPr>
          <w:rFonts w:ascii="Times New Roman" w:cs="Times New Roman" w:eastAsia="Times New Roman" w:hAnsi="Times New Roman"/>
          <w:sz w:val="18"/>
          <w:szCs w:val="18"/>
          <w:color w:val="auto"/>
        </w:rPr>
      </w:pPr>
    </w:p>
    <w:p>
      <w:pPr>
        <w:ind w:left="780" w:hanging="443"/>
        <w:spacing w:after="0" w:line="251"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biological markers characteristic of precursor cells, which are committed to becoming specific human cells and tissues, and which can be used to identify, enrich and purify the desired mature human cell type.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believe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will allow us to assess the toxicity profile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other new drug candidates for a wide range of diseases and conditions with greater speed and precision than nonclinical surrogate safety models most often currently used in drug development.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Factors that Direct and Stimulate the Differentiation Process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The proprietary and licensed technologies underlying our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Developmental Genes that Direct and Stimulate the Stem Cell Differentiation Process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the purpose of creating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 Purification Approaches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proprietary protocols we have licensed for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heart cells. Due to their functionality and purity, we believe these cell cultures are ideal for drug rescue.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“Micro-Organ” Culture Systems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addition to standard two-dimensional (2D) cultures which work well for some cell types and cellular assays, the proprietary hPSC technologies underlying our </w:t>
      </w:r>
      <w:r>
        <w:rPr>
          <w:rFonts w:ascii="Times New Roman" w:cs="Times New Roman" w:eastAsia="Times New Roman" w:hAnsi="Times New Roman"/>
          <w:sz w:val="18"/>
          <w:szCs w:val="18"/>
          <w:i w:val="1"/>
          <w:iCs w:val="1"/>
          <w:color w:val="auto"/>
        </w:rPr>
        <w:t xml:space="preserve">Human Clinical Trials in a Test Tube </w:t>
      </w:r>
      <w:r>
        <w:rPr>
          <w:rFonts w:ascii="Times New Roman" w:cs="Times New Roman" w:eastAsia="Times New Roman" w:hAnsi="Times New Roman"/>
          <w:sz w:val="18"/>
          <w:szCs w:val="18"/>
          <w:color w:val="auto"/>
        </w:rPr>
        <w:t>platform enable us to grow large numbers of normal, non-transformed, human cells to produce novel</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 xml:space="preserve">3D “micro-organ” culture systems. For example, for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we grow large numbers of normal, non-transformed, human heart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Medicinal Chemistry</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of once-promising company drug candidates in a more efficient and cost-effective manner than the processes currently used for drug development.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limitations of current preclinical drug testing systems used by pharmaceutical companies contribute to the high failure rate of drug candidates. Unexpected cardiotoxicity is one of the top two major safety-related reasons for failure of both drugs and drug candidates. Incorporating human pluripotent stem cell-derived cardiomyocyte (hPSC-CM) assays early in preclinical development offers the potential to improve clinical predictability, decrease rescue and development costs, and avoid adverse patient effects, late-stage clinical termination, and product recall from the market.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our proprietary human pluripotent stem cell technology, we can generate fully-functional hPSC-CMs at a high level of purity (&gt;95%), without genetic modification or cell selection. This is important because genetic modification and cell selection skew the resulting cell population with indeterminate effects on the ultimate results and clinical predictivity of the assay. In addition to expressing all of the key ion channels and various cardiomyocytic markers of the human heart, our hPSC-CMs function reliably in all cardiac toxicity assays relevant to cardiac drug effects developed and tested to date.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Utilizing fully functional human heart cells that underlie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we have validated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to screen for both cardiomyopathy (or direct cardiomyocyte cytotoxicity) and arrhythmogenesis (or development of irregular beating patterns). We believe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is sensitive, stable, reproducible and capable of generating data enabling a more accurate prediction of the</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cardiac effects of</w:t>
      </w:r>
      <w:r>
        <w:rPr>
          <w:rFonts w:ascii="Times New Roman" w:cs="Times New Roman" w:eastAsia="Times New Roman" w:hAnsi="Times New Roman"/>
          <w:sz w:val="18"/>
          <w:szCs w:val="18"/>
          <w:i w:val="1"/>
          <w:iCs w:val="1"/>
          <w:color w:val="auto"/>
        </w:rPr>
        <w:t xml:space="preserve"> Drug Rescue Variants </w:t>
      </w:r>
      <w:r>
        <w:rPr>
          <w:rFonts w:ascii="Times New Roman" w:cs="Times New Roman" w:eastAsia="Times New Roman" w:hAnsi="Times New Roman"/>
          <w:sz w:val="18"/>
          <w:szCs w:val="18"/>
          <w:color w:val="auto"/>
        </w:rPr>
        <w:t>and other new drug candidates than is possible with existing preclinical testing systems.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developed and validated two functional components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screening system to assess multiple different categories of cardiac toxicities. The first consists of a suite of five fluorescence or luminescence based high-throughput hPSC-CM assays. These five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measure drug-induced cardiomyopathy, including the following:</w:t>
      </w:r>
    </w:p>
    <w:p>
      <w:pPr>
        <w:spacing w:after="0" w:line="175" w:lineRule="exact"/>
        <w:rPr>
          <w:sz w:val="20"/>
          <w:szCs w:val="20"/>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necrosis;</w:t>
      </w:r>
    </w:p>
    <w:p>
      <w:pPr>
        <w:spacing w:after="0" w:line="24"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apoptosis;</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mitochondrial membrane depolarization;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oxidative stress; and</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metabolism disruption.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These five </w:t>
      </w:r>
      <w:r>
        <w:rPr>
          <w:rFonts w:ascii="Times New Roman" w:cs="Times New Roman" w:eastAsia="Times New Roman" w:hAnsi="Times New Roman"/>
          <w:sz w:val="17"/>
          <w:szCs w:val="17"/>
          <w:i w:val="1"/>
          <w:iCs w:val="1"/>
          <w:color w:val="auto"/>
        </w:rPr>
        <w:t>CardioSafe</w:t>
      </w:r>
      <w:r>
        <w:rPr>
          <w:rFonts w:ascii="Times New Roman" w:cs="Times New Roman" w:eastAsia="Times New Roman" w:hAnsi="Times New Roman"/>
          <w:sz w:val="17"/>
          <w:szCs w:val="17"/>
          <w:color w:val="auto"/>
        </w:rPr>
        <w:t xml:space="preserve"> 3D assays were validated using reference compounds known to be cardiotoxic in humans versus compounds known to be safe in humans.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reference compounds were representative of eight different drug classes, including:</w:t>
      </w:r>
    </w:p>
    <w:p>
      <w:pPr>
        <w:spacing w:after="0" w:line="198" w:lineRule="exact"/>
        <w:rPr>
          <w:sz w:val="20"/>
          <w:szCs w:val="20"/>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 channel blockers: amiodarone, nifedipine;</w:t>
      </w:r>
    </w:p>
    <w:p>
      <w:pPr>
        <w:spacing w:after="0" w:line="24"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hERG trafficking blockers: pentamidine, amoxapine;</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α-1 adrenoreceptors: doxazosin;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Protein and DNA synthesis inhibitors: emetine;</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DNA intercalating agents: doxorubicin;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Antibiotics: ampicillin, cefazolin;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NSAID: aspirin; and</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Kinase inhibitors: staurosporine.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suite of five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provided measurement of cardiac drug effects with high sensitivity that are consistent with the expected cardiac responses to each of these compounds. Based on our results, ee believe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provide valuable tools for both assessing the effects of pharmaceutical compounds on cardiac cytotoxicity and for elucidating the specific mechanisms of cardiac toxicity, thereby laying a solid foundation for our drug rescue programs.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other component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is a sensitive and reliable medium throughput multi-electrode array (MEA) assay developed to predict drug-induced alterations of electrophysiological function of the human heart. We have validated this key component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with twelve drugs, each with known toxic or non-toxic cardiac effects in humans. These twelve validation compounds are as follows:</w:t>
      </w:r>
    </w:p>
    <w:p>
      <w:pPr>
        <w:spacing w:after="0" w:line="202" w:lineRule="exact"/>
        <w:rPr>
          <w:sz w:val="20"/>
          <w:szCs w:val="20"/>
          <w:color w:val="auto"/>
        </w:rPr>
      </w:pPr>
    </w:p>
    <w:p>
      <w:pPr>
        <w:ind w:left="1720" w:hanging="211"/>
        <w:spacing w:after="0"/>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FDA-approved drug (aspirin) without cardiac liability to serve as a negative control;</w:t>
      </w:r>
    </w:p>
    <w:p>
      <w:pPr>
        <w:spacing w:after="0" w:line="24" w:lineRule="exact"/>
        <w:rPr>
          <w:rFonts w:ascii="Times New Roman" w:cs="Times New Roman" w:eastAsia="Times New Roman" w:hAnsi="Times New Roman"/>
          <w:sz w:val="18"/>
          <w:szCs w:val="18"/>
          <w:color w:val="auto"/>
        </w:rPr>
      </w:pPr>
    </w:p>
    <w:p>
      <w:pPr>
        <w:ind w:left="1720" w:right="140" w:hanging="211"/>
        <w:spacing w:after="0" w:line="245" w:lineRule="auto"/>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FDA-approved drugs (astemizole, sotalol, cisapride, terfenadine and sertindole) that were withdrawn from the market due to heart toxicity concerns;</w:t>
      </w:r>
    </w:p>
    <w:p>
      <w:pPr>
        <w:spacing w:after="0" w:line="1" w:lineRule="exact"/>
        <w:rPr>
          <w:rFonts w:ascii="Times New Roman" w:cs="Times New Roman" w:eastAsia="Times New Roman" w:hAnsi="Times New Roman"/>
          <w:sz w:val="18"/>
          <w:szCs w:val="18"/>
          <w:color w:val="auto"/>
        </w:rPr>
      </w:pPr>
    </w:p>
    <w:p>
      <w:pPr>
        <w:ind w:left="1720" w:hanging="211"/>
        <w:spacing w:after="0" w:line="245" w:lineRule="auto"/>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FDA-approved drugs (fexofenadine, nifedipine, verapamil, lidocaine and propranolol) that have certain measurable clinical non-toxic cardiac effects. Note: fexofenadine is a non-cardiotoxic drug variant of terfenadine; and</w:t>
      </w:r>
    </w:p>
    <w:p>
      <w:pPr>
        <w:spacing w:after="0" w:line="1" w:lineRule="exact"/>
        <w:rPr>
          <w:rFonts w:ascii="Times New Roman" w:cs="Times New Roman" w:eastAsia="Times New Roman" w:hAnsi="Times New Roman"/>
          <w:sz w:val="18"/>
          <w:szCs w:val="18"/>
          <w:color w:val="auto"/>
        </w:rPr>
      </w:pPr>
    </w:p>
    <w:p>
      <w:pPr>
        <w:ind w:left="1720" w:hanging="211"/>
        <w:spacing w:after="0" w:line="189" w:lineRule="auto"/>
        <w:tabs>
          <w:tab w:leader="none" w:pos="1720" w:val="left"/>
        </w:tabs>
        <w:numPr>
          <w:ilvl w:val="0"/>
          <w:numId w:val="3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One research compound (E-4031) failed in Phase I human clinical study before being discontinued due to heart toxicity concerns.</w:t>
      </w:r>
    </w:p>
    <w:p>
      <w:pPr>
        <w:spacing w:after="0" w:line="200" w:lineRule="exact"/>
        <w:rPr>
          <w:sz w:val="20"/>
          <w:szCs w:val="20"/>
          <w:color w:val="auto"/>
        </w:rPr>
      </w:pPr>
    </w:p>
    <w:p>
      <w:pPr>
        <w:spacing w:after="0" w:line="3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We have validated that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MEA assay was reproducible and consistent with the known human cardiac effects of all the twelve compounds studied, based on the mechanisms of action and dosage of the compounds. For instance, by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we were able to distinguish between the cardiac effects of terfenadine (Seldane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withdrawn by the FDA due to cardiotoxicity, and the cardiac effects of the close structurally related fexofenadine (Allegra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the non-cardiotoxic chemical variant of terfenadine, which remains on the market. Our validation data suggest that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provides valuable tools for preclinical cardiac safety screening, which we believe will contribute to the efficient and rapid identification of novel, safer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in our drug rescue programs.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further evaluate the potential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to predict cardiac toxicity of drug candidates,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we have assessed cardiac effects induced by small molecule kinase inhibitors (KIs), which belong to a new category of drugs that have revolutionized cancer therapy due to decreased systemic toxicity and an increased tumor cell specific effect compared to classic cancer drugs. Since 1998, the FDA has approved eighteen small molecule KIs for cancer therapy. However, many of these FDA-approved KIs have been implicated in causing serious adverse cardiac events in patients which were not identified during drug development.</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In our KI-induced cardiotoxicity study, we evaluated nineteen well-known anti-cancer KIs with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some of which are FDA-approved and have been documented as cardiotoxic. . This important validation set of anti-cancer KI compounds is as follows:</w:t>
      </w:r>
    </w:p>
    <w:p>
      <w:pPr>
        <w:spacing w:after="0" w:line="162" w:lineRule="exact"/>
        <w:rPr>
          <w:sz w:val="20"/>
          <w:szCs w:val="20"/>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growth factor receptors: sunitinib, axitinib, imatinib, dasatinib, sorafenib, erlotinib, lapatinib, tyrphostin AG1478);</w:t>
      </w:r>
    </w:p>
    <w:p>
      <w:pPr>
        <w:spacing w:after="0" w:line="24"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mTOR pathway: everolimus, temsirolimus;</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cell cycle regulators: tozasertib, barasertib, alvocidib;</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PI3K pathway : perifosine, LY294002, XL765;</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MEK pathway: PD325901, AZD6264; and</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JAK and other pathways: lestaurtinib.</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validation data indicate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successfully detected cardiotoxicity induced by each of the representative compounds, cardiotoxicity associated with clinical adverse cardiac events, in each of the foregoing six different KI categories.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is able to distinguish between cardiotoxic and safe compounds, and even as between those compounds which inhibit the same kinase pathways. For instance, both sunitinib and axitinib inhibit VEGFR, PDGFR and c-Kit pathways, and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indicate that sunitinib is cardiotoxic and axitinib is safe, which is consistent with the reported clinical outcomes.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profile of each KI provided clues to the potential mechanism(s) causing cardiotoxicity. For example, cardiotoxicity induced by perifosine showed apoptotic responses at lower concentrations, while imatinib was most active in the oxidative stress assays. In addition, no cardiac toxicity or alteration in electrophysiology was detected with drugs that do not have a cardiac liability, emphasizing the specificity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Having information on the pathways associated with the cardiotoxic effects of compounds provides important clues for novel medicinal chemistry approaches and compound modifications for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drug rescue programs.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enables the sensitive measurement of drug effects with results that are consistent with known clinical responses to the compounds. For example, our data indicated that sunitinib and dasatinib caused QT prolongation, arrhythmia, and/or altered contraction rates in hPSC-CMs, which are consistent with clinical observations.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believe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validation data demonstrate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will improve clinical predictivity as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safety assay, helping not only to identify potential cardiac toxicities early in development, but also to discover important potential mechanisms of cardiotoxicity. We believe the results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validation studies indicate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may be effectively used to identify novel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with reduced heart toxicity. By providing more accurate and timely indications of alterations in electrophysiological activity, as well as direct heart toxicity of drug candidates, than animal models or cellular assay systems currently used by pharmaceutical companies, we believe the results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validation studies support the central premise of our drug rescue business model: by using our hPSC-derived human heart and liver cell bioassay systems at the front end of the drug development process, we have the opportunity to leverage substantial prior investment by pharmaceutical companies and others in drug discovery and efficacy validation of drug candidates with established therapeutic and commercial potential that have been terminated prior to FDA approval due to unexpected heart or liver toxicity concerns.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LiverSafe </w:t>
      </w:r>
      <w:r>
        <w:rPr>
          <w:rFonts w:ascii="Times New Roman" w:cs="Times New Roman" w:eastAsia="Times New Roman" w:hAnsi="Times New Roman"/>
          <w:sz w:val="18"/>
          <w:szCs w:val="18"/>
          <w:b w:val="1"/>
          <w:bCs w:val="1"/>
          <w:color w:val="auto"/>
        </w:rPr>
        <w:t>3D</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LiverSafe </w:t>
      </w:r>
      <w:r>
        <w:rPr>
          <w:rFonts w:ascii="Times New Roman" w:cs="Times New Roman" w:eastAsia="Times New Roman" w:hAnsi="Times New Roman"/>
          <w:sz w:val="18"/>
          <w:szCs w:val="18"/>
          <w:color w:val="auto"/>
        </w:rPr>
        <w:t>3D is a powerful new</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hepatotoxicity assay system that goes a step beyond the current commercially available gold standard primary (cadaver)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hepatocyte assay. By combining the flexibility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non-transformed human cell-based assay system with the renewable, reproducible sourcing of human pluripotent stem cells (hPSCs), the functional hPSC-derived hepatocytes we produce for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can be maintained in a healthy state for much longer than the current gold standard hepatocyte assays, greatly enhancing the reliability of hepatotoxicity testing for our drug rescue programs.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now, reliable human cell-based hepatotoxicity screening platforms have been difficult to establish for high throughput drug development with currently available primary hepatocyte systems. Primary hepatocytes have a short lifespan in culture, during which time they rapidly lose their drug metabolizing capabilities and develop signs of cellular stress. Furthermore, these commercially available primary hepatocytes have significant batch-to-batch genetic variation that alters the function of drug metabolism genes and their critical enzyme activity levels due to the use of hepatocytes from different sources. Additionally, primary hepatocytes are derived from individuals with significant differences in health status, with unknown effects on hepatocyte function. Consequently, it is difficult to maintain quantitative reproducibility using currently available primary hepatocyte assays, and this leads to limitations in the quality and clinical predictiviy of the results and conclusions drawn from these assays.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foregoing limitations have led many in the field to believe that hPSC-derived hepatocyte assays offer a better alternative to the current gold standard primary hepatocyte assays. This belief is mainly due to the fact that hepatocytes derived from the same hPSC line are genetically identical, normal, non-transformed (that is, not tumor-derived) human cells derived from hPSCs. Importantly, hPSC-derived hepatocytes can be indefinitely propagated and frozen down into large, uniform, quality-controlled cell banks.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drug metabolizing enzymes, such as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is a critical liver enzyme responsible for metabolizing approximately 50% of the FDA-approved drugs currently available on the market. It is an important and well-accepted functional gene found almost exclusively in mature, adult hepatocytes.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is the key functional marker that we have used to optimize our hepatocyte differentiation cultures for </w:t>
      </w:r>
      <w:r>
        <w:rPr>
          <w:rFonts w:ascii="Times New Roman" w:cs="Times New Roman" w:eastAsia="Times New Roman" w:hAnsi="Times New Roman"/>
          <w:sz w:val="17"/>
          <w:szCs w:val="17"/>
          <w:i w:val="1"/>
          <w:iCs w:val="1"/>
          <w:color w:val="auto"/>
        </w:rPr>
        <w:t xml:space="preserve">LiverSafe </w:t>
      </w:r>
      <w:r>
        <w:rPr>
          <w:rFonts w:ascii="Times New Roman" w:cs="Times New Roman" w:eastAsia="Times New Roman" w:hAnsi="Times New Roman"/>
          <w:sz w:val="17"/>
          <w:szCs w:val="17"/>
          <w:color w:val="auto"/>
        </w:rPr>
        <w:t>3D. We believe our optimized</w:t>
      </w:r>
      <w:r>
        <w:rPr>
          <w:rFonts w:ascii="Times New Roman" w:cs="Times New Roman" w:eastAsia="Times New Roman" w:hAnsi="Times New Roman"/>
          <w:sz w:val="17"/>
          <w:szCs w:val="17"/>
          <w:i w:val="1"/>
          <w:iCs w:val="1"/>
          <w:color w:val="auto"/>
        </w:rPr>
        <w:t xml:space="preserve"> LiverSafe </w:t>
      </w:r>
      <w:r>
        <w:rPr>
          <w:rFonts w:ascii="Times New Roman" w:cs="Times New Roman" w:eastAsia="Times New Roman" w:hAnsi="Times New Roman"/>
          <w:sz w:val="17"/>
          <w:szCs w:val="17"/>
          <w:color w:val="auto"/>
        </w:rPr>
        <w:t>3D assay system enables us to generate more mature hPSC-derived hepatocytes than are currently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from others in the field and that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system provides the unique ability to specifically select for mature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-expressing human hepatocytes.</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developed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using hPSC differentiation protocols adapted from the laboratory of our co-founder, Dr. Gordon Keller, and our proprietary hPSC cell line, 3A4BLA. This 3A4BLA cell line is a human embryonic stem cell (hESC) line that contains a humanized BLA functional “reporter” that targets the </w:t>
      </w:r>
      <w:r>
        <w:rPr>
          <w:rFonts w:ascii="Times New Roman" w:cs="Times New Roman" w:eastAsia="Times New Roman" w:hAnsi="Times New Roman"/>
          <w:sz w:val="17"/>
          <w:szCs w:val="17"/>
          <w:i w:val="1"/>
          <w:iCs w:val="1"/>
          <w:color w:val="auto"/>
        </w:rPr>
        <w:t xml:space="preserve">CYP3A4 </w:t>
      </w:r>
      <w:r>
        <w:rPr>
          <w:rFonts w:ascii="Times New Roman" w:cs="Times New Roman" w:eastAsia="Times New Roman" w:hAnsi="Times New Roman"/>
          <w:sz w:val="17"/>
          <w:szCs w:val="17"/>
          <w:color w:val="auto"/>
        </w:rPr>
        <w:t>gene in a manner tresulting in the expression of BLA only in cells that also express</w:t>
      </w:r>
      <w:r>
        <w:rPr>
          <w:rFonts w:ascii="Times New Roman" w:cs="Times New Roman" w:eastAsia="Times New Roman" w:hAnsi="Times New Roman"/>
          <w:sz w:val="17"/>
          <w:szCs w:val="17"/>
          <w:i w:val="1"/>
          <w:iCs w:val="1"/>
          <w:color w:val="auto"/>
        </w:rPr>
        <w:t xml:space="preserve"> CYP3A4</w:t>
      </w:r>
      <w:r>
        <w:rPr>
          <w:rFonts w:ascii="Times New Roman" w:cs="Times New Roman" w:eastAsia="Times New Roman" w:hAnsi="Times New Roman"/>
          <w:sz w:val="17"/>
          <w:szCs w:val="17"/>
          <w:color w:val="auto"/>
        </w:rPr>
        <w:t>. This allows us to visualize by fluorescence cells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express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based on expression of the BLA reporter. By producing a cell line capable of tracking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expression, we have been able to optimize our hPSC differentiation protocols to increase expression of mature hepatocyte markers and drug metabolizing enzymes and to enrich for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-expressing cells by cell sorting. However, even in the absence of cell sorting,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 populations contain greater than 80% ALBUMIN-positive cells and greater than 40%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-positive cells, with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mRNA expression reaching levels nearly 60-fold higher than side-by-side 38-week human fetal liver controls.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hepatocytes secrete urea and ALBUMIN at levels that exceed commercially-available primary hepatocytes, and they also store both glycogen and lipids, characteristics that are required of functional, mature adult hepatocytes. Importantly, expression of fetal liver markers decreases over the time course of differentiation of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hepatocytes. This decreased expression is expected and essential during maturation of hepatocytes, but it has rarely been reported by others in publications describing their hPSC-derived hepatocytes. With the addition of cell sorting,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 populations can be highly enriched for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-BLA-positive cells, with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message in the positive cell population reaching greater than 30% that of an adult human liver pool control. To our knowledge, this level of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expression exceeds levels reported by others in the literature.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most important capabilities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relate to “Phase I” and “Phase II” drug metabolism, which are functional characteristics of mature adult hepatocytes. We have validated these capabilities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by demonstrating its ability to metabolize known substrates, such as testosterone, and its ability to respond properly to known inducers of Phase I-mediated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 metabolism, such as rifampicin. Moreover, our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hepatocytes demonstrate Phase II-mediated testosterone metabolism levels that exceed commercially 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to our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assay system and to apply specific hepatotoxic screening assays, such as ALBUMIN and urea secretion assays.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is a powerful, genetically identical, renewable, and reproducible hepatotoxicity assay system for drug rescue and development that provides great advantages over currently available primary hepatocyte assays. We have demonstrated that our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hepatocyte populations, even in the absence of cell sorting, secrete adult hepatocyte levels of ALBUMIN and urea and contain greater than 40%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-positive cells, historically difficult to achieve in hPSC differentiation cultures. The proprietary 3A4BLA cell line component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allows us the unique opportunity to enrich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-positive cells, resulting in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 expression reaching greater than 30% of an adult human liver pool, and to the best of our knowledge, a level higher than described in current literature. Most importantly for drug rescue and development purposes, our hPSC-derived hepatocytes for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metabolize known substrates and respond to known inducers in a manner expected only of mature adult hepatocytes, paving the way for our final validation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system as a novel hepatotoxicity assay system that can improve clinical predictivity, decrease the cost of drug rescue and development, reduce use of live animal studies, and improve drug safety.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successfully completed Phase I development of AV-101, also known as “L-4-chlorokynurenine” or “4-Cl-KYN”. AV-101 is a prodrug candidate for the treatment of neuropathic pain, epilepsy and depression. Our AV-101 IND application on file at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Huntington’s and Parkinson’s.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NIH has awarded us $8.8 million of grant funding for our preclinical and Phase 1 clinical development of AV-101. During 2014, we plan to seek and complete a strategic partnering arrangement for further development and commercialization of AV-101 for neuropathic pain, epilepsy, depression and potentially neurodegenerative diseases related to aging.</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AV-101 is an orally available prodrug that is converted in the brain into an active metabolite, 7-chlorokynurenic acid (7-Cl-KYNA), which regulates the N-methyl-D-aspartate (NMDA)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effect of AV-101 on chronic neuropathic pain due to inflammation and nerve damage was assessed in rats by using the Chung nerve ligation model. AV-101 effects were compared to either saline and MK-801, or gabapentin (Neurontin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as positive controls. Similar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208" w:lineRule="exact"/>
        <w:rPr>
          <w:sz w:val="20"/>
          <w:szCs w:val="20"/>
          <w:color w:val="auto"/>
        </w:rPr>
      </w:pPr>
    </w:p>
    <w:p>
      <w:pPr>
        <w:ind w:left="780" w:hanging="44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research institutions, such as UHN, for hPSC technology research and development;</w:t>
      </w:r>
    </w:p>
    <w:p>
      <w:pPr>
        <w:spacing w:after="0" w:line="24" w:lineRule="exact"/>
        <w:rPr>
          <w:rFonts w:ascii="Times New Roman" w:cs="Times New Roman" w:eastAsia="Times New Roman" w:hAnsi="Times New Roman"/>
          <w:sz w:val="18"/>
          <w:szCs w:val="18"/>
          <w:color w:val="auto"/>
        </w:rPr>
      </w:pPr>
    </w:p>
    <w:p>
      <w:pPr>
        <w:ind w:left="780" w:hanging="443"/>
        <w:spacing w:after="0" w:line="24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medicinal chemistry companies, such as Synterys, Inc., to analyze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design, produce and analyze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Variants</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clinical development organizations (CROs), such as Cato Research, Ltd., for regulatory expertise and clinical development support.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McEwen Centre for Regenerative Medicine, University Health Network</w:t>
      </w: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 Providing care to the community for more than two centuries, UHN brings together the talent and resources needed to achieve global impact and provide exemplary patient care, research and education.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McEwen Centre for Regenerative Medicine (McEwen Centre) is a world-renowned center for stem cell biology and regenerative medicine and a world-class stem cell research facility affiliated with UHN. Our co-founder, Dr. Gordon Keller, is Director of the McEwen Centre. Dr. Keller’s lab is one of the world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Cardiac Safety Research Consortium</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joined the Cardiac Safety Research Consortium (CERC)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Centre for Commercialization of Regenerative Medicine</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Toronto-based Centre for Commercialization of Regenerative Medicine (CCRM)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for Regenerative Medicine offers a solid foundation and unique opportunities for expanding the commercial applications of our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Duke University</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among several key development points from the study:</w:t>
      </w:r>
    </w:p>
    <w:p>
      <w:pPr>
        <w:spacing w:after="0" w:line="244" w:lineRule="exact"/>
        <w:rPr>
          <w:sz w:val="20"/>
          <w:szCs w:val="20"/>
          <w:color w:val="auto"/>
        </w:rPr>
      </w:pPr>
    </w:p>
    <w:p>
      <w:pPr>
        <w:ind w:left="320" w:hanging="177"/>
        <w:spacing w:after="0" w:line="274"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optimized 3D environment of a cardiac tissue patch yields advanced levels of structural and functional maturation of human cardiomyocytes that produce expected responses to drugs;</w:t>
      </w:r>
    </w:p>
    <w:p>
      <w:pPr>
        <w:spacing w:after="0" w:line="190" w:lineRule="exact"/>
        <w:rPr>
          <w:rFonts w:ascii="Times New Roman" w:cs="Times New Roman" w:eastAsia="Times New Roman" w:hAnsi="Times New Roman"/>
          <w:sz w:val="18"/>
          <w:szCs w:val="18"/>
          <w:color w:val="auto"/>
        </w:rPr>
      </w:pPr>
    </w:p>
    <w:p>
      <w:pPr>
        <w:ind w:left="320" w:hanging="177"/>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cardiomyocyte maturation in an optimized 3D patch environment is enhanced relative to that found in industry standard 2D cultures;</w:t>
      </w:r>
    </w:p>
    <w:p>
      <w:pPr>
        <w:spacing w:after="0" w:line="243" w:lineRule="exact"/>
        <w:rPr>
          <w:rFonts w:ascii="Times New Roman" w:cs="Times New Roman" w:eastAsia="Times New Roman" w:hAnsi="Times New Roman"/>
          <w:sz w:val="18"/>
          <w:szCs w:val="18"/>
          <w:color w:val="auto"/>
        </w:rPr>
      </w:pPr>
    </w:p>
    <w:p>
      <w:pPr>
        <w:ind w:left="320" w:hanging="177"/>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genetic modifications were used to produce, purify, or mature cardiomyocytes, suggesting potential for future therapeutic applications;</w:t>
      </w:r>
    </w:p>
    <w:p>
      <w:pPr>
        <w:spacing w:after="0" w:line="243" w:lineRule="exact"/>
        <w:rPr>
          <w:rFonts w:ascii="Times New Roman" w:cs="Times New Roman" w:eastAsia="Times New Roman" w:hAnsi="Times New Roman"/>
          <w:sz w:val="18"/>
          <w:szCs w:val="18"/>
          <w:color w:val="auto"/>
        </w:rPr>
      </w:pPr>
    </w:p>
    <w:p>
      <w:pPr>
        <w:ind w:left="320" w:hanging="177"/>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Cardiac tissue patches generated using VistaGen’s cardiomyocytes exhibited 2.2-180 fold higher contractile force generation compared to previous studies;</w:t>
      </w:r>
    </w:p>
    <w:p>
      <w:pPr>
        <w:spacing w:after="0" w:line="255" w:lineRule="exact"/>
        <w:rPr>
          <w:rFonts w:ascii="Times New Roman" w:cs="Times New Roman" w:eastAsia="Times New Roman" w:hAnsi="Times New Roman"/>
          <w:sz w:val="17"/>
          <w:szCs w:val="17"/>
          <w:color w:val="auto"/>
        </w:rPr>
      </w:pPr>
    </w:p>
    <w:p>
      <w:pPr>
        <w:ind w:left="320" w:hanging="177"/>
        <w:spacing w:after="0" w:line="274"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force per cardiomyocyte metric, cardiac tissue engineering methodology that used VistaGen’s cardiomyocytes exhibited 4-700-fold higher efficiency than previously reported; and</w:t>
      </w:r>
    </w:p>
    <w:p>
      <w:pPr>
        <w:spacing w:after="0" w:line="1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Cardiac tissue patches generated using VistaGen’s cardiomyocytes exhibited velocities of electrical signal propagation 5-fold higher compared to previous reports in human engineered cardiac tissues.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Cato Research and Cato BioVentures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Cato Research</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Cato Research is a contract research and development organization (CRO),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Drug Rescue Variants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Cato BioVentures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Cato Holding Company, doing business as Cato BioVentures ("</w:t>
      </w:r>
      <w:r>
        <w:rPr>
          <w:rFonts w:ascii="Times New Roman" w:cs="Times New Roman" w:eastAsia="Times New Roman" w:hAnsi="Times New Roman"/>
          <w:sz w:val="18"/>
          <w:szCs w:val="18"/>
          <w:i w:val="1"/>
          <w:iCs w:val="1"/>
          <w:color w:val="auto"/>
        </w:rPr>
        <w:t>Cato BioVentures</w:t>
      </w:r>
      <w:r>
        <w:rPr>
          <w:rFonts w:ascii="Times New Roman" w:cs="Times New Roman" w:eastAsia="Times New Roman" w:hAnsi="Times New Roman"/>
          <w:sz w:val="18"/>
          <w:szCs w:val="18"/>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which its principals believe, based on their experience as management of Cato Research, are capable of transforming the traditional drug development process and the R&amp;D productivity of the biotechnology and pharmaceutical industries.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Relationship with Cato Research and Cato BioVentures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Cato Research is our primary CRO for development of AV-101. Cato BioVentures is among our largest institutional investors.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access Cato Research has to potential </w:t>
      </w:r>
      <w:r>
        <w:rPr>
          <w:rFonts w:ascii="Times New Roman" w:cs="Times New Roman" w:eastAsia="Times New Roman" w:hAnsi="Times New Roman"/>
          <w:sz w:val="18"/>
          <w:szCs w:val="18"/>
          <w:i w:val="1"/>
          <w:iCs w:val="1"/>
          <w:color w:val="auto"/>
        </w:rPr>
        <w:t>Drug Rescue Candida</w:t>
      </w:r>
      <w:r>
        <w:rPr>
          <w:rFonts w:ascii="Times New Roman" w:cs="Times New Roman" w:eastAsia="Times New Roman" w:hAnsi="Times New Roman"/>
          <w:sz w:val="18"/>
          <w:szCs w:val="18"/>
          <w:color w:val="auto"/>
        </w:rPr>
        <w:t xml:space="preserve">tes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on our own rather than license them to strategic partners.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National Institutes of Health</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in 1998,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xml:space="preserve">") has awarded us $11.3 million in non-dilutive research and development grants, including $2.3 million to support research and development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and $8.8 million for nonclinical and Phase 1 clinical development of AV-101, our small molecule drug candidate which has successfully completed Phase 1 clinical development in the U.S. for neuropathic pain and other potential diseases and conditions, including epilepsy and depression.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Institute for Regenerative Medicine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California Institute for Regenerative Medicine ("</w:t>
      </w:r>
      <w:r>
        <w:rPr>
          <w:rFonts w:ascii="Times New Roman" w:cs="Times New Roman" w:eastAsia="Times New Roman" w:hAnsi="Times New Roman"/>
          <w:sz w:val="18"/>
          <w:szCs w:val="18"/>
          <w:i w:val="1"/>
          <w:iCs w:val="1"/>
          <w:color w:val="auto"/>
        </w:rPr>
        <w:t>CIRM</w:t>
      </w:r>
      <w:r>
        <w:rPr>
          <w:rFonts w:ascii="Times New Roman" w:cs="Times New Roman" w:eastAsia="Times New Roman" w:hAnsi="Times New Roman"/>
          <w:sz w:val="18"/>
          <w:szCs w:val="18"/>
          <w:color w:val="auto"/>
        </w:rPr>
        <w:t>") funds stem cell research at academic research institutions and companies throughout California. CIRM was established in 2004 with the passage of Stem Cell Initiative (Proposition 71)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Celsis In Vitro Technologies</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March 2013, we entered into a strategic collaboration with Celsis In Vitro Technologies ("</w:t>
      </w:r>
      <w:r>
        <w:rPr>
          <w:rFonts w:ascii="Times New Roman" w:cs="Times New Roman" w:eastAsia="Times New Roman" w:hAnsi="Times New Roman"/>
          <w:sz w:val="18"/>
          <w:szCs w:val="18"/>
          <w:i w:val="1"/>
          <w:iCs w:val="1"/>
          <w:color w:val="auto"/>
        </w:rPr>
        <w:t>Celsis IVT</w:t>
      </w:r>
      <w:r>
        <w:rPr>
          <w:rFonts w:ascii="Times New Roman" w:cs="Times New Roman" w:eastAsia="Times New Roman" w:hAnsi="Times New Roman"/>
          <w:sz w:val="18"/>
          <w:szCs w:val="18"/>
          <w:color w:val="auto"/>
        </w:rPr>
        <w:t xml:space="preserve">"), a premier global provider of specialized in vitro products for drug metabolism, drug-drug interaction and toxicity screening, focused on characterizing and functionally benchmarking our human liver cell platform,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Celsis IVT products for studying and predicting drug metabolism. We intend to utilize Celsis IVT’s experience and expertise in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drug metabolism to help validate</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We anticipate that Celsis IVT will not only validate our human liver cells in traditional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Collaborating with Celsis IVT scientists, we are focused on the following four key objectives:</w:t>
      </w:r>
    </w:p>
    <w:p>
      <w:pPr>
        <w:spacing w:after="0" w:line="213" w:lineRule="exact"/>
        <w:rPr>
          <w:sz w:val="20"/>
          <w:szCs w:val="20"/>
          <w:color w:val="auto"/>
        </w:rPr>
      </w:pPr>
    </w:p>
    <w:p>
      <w:pPr>
        <w:ind w:left="640" w:hanging="338"/>
        <w:spacing w:after="0" w:line="27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techniques to handle and maintain primary human cryopreserved primary liver cells as reference controls for various drug development assays;</w:t>
      </w:r>
    </w:p>
    <w:p>
      <w:pPr>
        <w:spacing w:after="0" w:line="16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6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Characterize our human pluripotent stem cell-derived liver cells using many of the same industry-standardized assays used to characterize primary human liver cells; and</w:t>
      </w:r>
    </w:p>
    <w:p>
      <w:pPr>
        <w:spacing w:after="0" w:line="16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 joint publication of the characterization of our pluripotent stem cell-derived human liver cells.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an industry leader in the development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primary hepatocyte technology, we believe Celsis IVT has extensive resources to aid us in the benchmarking </w:t>
      </w:r>
      <w:r>
        <w:rPr>
          <w:rFonts w:ascii="Times New Roman" w:cs="Times New Roman" w:eastAsia="Times New Roman" w:hAnsi="Times New Roman"/>
          <w:sz w:val="18"/>
          <w:szCs w:val="18"/>
          <w:i w:val="1"/>
          <w:iCs w:val="1"/>
          <w:color w:val="auto"/>
        </w:rPr>
        <w:t xml:space="preserve">LiverSafe </w:t>
      </w:r>
      <w:r>
        <w:rPr>
          <w:rFonts w:ascii="Times New Roman" w:cs="Times New Roman" w:eastAsia="Times New Roman" w:hAnsi="Times New Roman"/>
          <w:sz w:val="18"/>
          <w:szCs w:val="18"/>
          <w:color w:val="auto"/>
        </w:rPr>
        <w:t>3D to industry standards. We anticipate this collaboration will lead to the further validation of</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for predicting liver toxicity and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issues before costly human clinical trials.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Synterys, Inc.</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2011, we entered into a strategic medicinal chemistry collaboration agreement with Synterys, Inc. (Synterys),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Rights Underlying our Human Clinical Trials in a Test Tube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b w:val="1"/>
          <w:bCs w:val="1"/>
          <w:i w:val="1"/>
          <w:iCs w:val="1"/>
          <w:color w:val="auto"/>
        </w:rPr>
        <w:t>latform</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our intellectual property rights to the technology underlying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through a combination of exclusive and non-exclusive licenses, patent,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210" w:lineRule="exact"/>
        <w:rPr>
          <w:sz w:val="20"/>
          <w:szCs w:val="20"/>
          <w:color w:val="auto"/>
        </w:rPr>
      </w:pPr>
    </w:p>
    <w:p>
      <w:pPr>
        <w:ind w:left="780" w:hanging="44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growth factors (molecules that stimulate the growth of cells);</w:t>
      </w:r>
    </w:p>
    <w:p>
      <w:pPr>
        <w:spacing w:after="0" w:line="24" w:lineRule="exact"/>
        <w:rPr>
          <w:rFonts w:ascii="Times New Roman" w:cs="Times New Roman" w:eastAsia="Times New Roman" w:hAnsi="Times New Roman"/>
          <w:sz w:val="18"/>
          <w:szCs w:val="18"/>
          <w:color w:val="auto"/>
        </w:rPr>
      </w:pPr>
    </w:p>
    <w:p>
      <w:pPr>
        <w:ind w:left="780" w:hanging="443"/>
        <w:spacing w:after="0" w:line="24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experimentally controlled regulation of developmental genes, which is critical for determining what differentiation path a human cell will take; and</w:t>
      </w:r>
    </w:p>
    <w:p>
      <w:pPr>
        <w:spacing w:after="0" w:line="1"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precise selection of immature cell populations for further growth and development.</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By influencing key branch points in the cellular differentiation process, our pluripotent stem cell technologies can produce fully-differentiated, non-transformed, highly functional human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an efficient, highly pure and reproducible process.</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of the date of this report, we either own or have licensed 43 issued U.S. patents and 12 U.S. patent applications and certain foreign counterparts relating to the stem cell technologies that underlie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Our material rights and obligations with respect to these patents and patent applications are summarized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Jewish Health (NJH) Exclusive License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exclusive licenses to seven issued U.S. patents held by NJH.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this license agreement, we must pay to NJH 1% of our total revenues up to $30 million in each calendar year and 0.5% of all revenues for amounts greater than $30 million, with minimum annual payments of $25,000. Additionally, we are obligated under the agreement to make certain royalty payments on sales of products based on NJH’s patents or the sublicensing of such technology. The royalty payments are subject to anti-stacking provisions which reduce our payments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School of Medicine at Mount Sinai School (MSSM) Exclusive License</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208" w:lineRule="exact"/>
        <w:rPr>
          <w:sz w:val="20"/>
          <w:szCs w:val="20"/>
          <w:color w:val="auto"/>
        </w:rPr>
      </w:pPr>
    </w:p>
    <w:p>
      <w:pPr>
        <w:ind w:left="780" w:hanging="421"/>
        <w:spacing w:after="0" w:line="257" w:lineRule="auto"/>
        <w:tabs>
          <w:tab w:leader="none" w:pos="7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certain growth factors to generate mesoderm (that is, the precursors capable of developing into cells of the heart, blood system, connective tissues, and vascular system) from hESCs;</w:t>
      </w:r>
    </w:p>
    <w:p>
      <w:pPr>
        <w:ind w:left="780" w:hanging="443"/>
        <w:spacing w:after="0" w:line="24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 w:lineRule="exact"/>
        <w:rPr>
          <w:rFonts w:ascii="Times New Roman" w:cs="Times New Roman" w:eastAsia="Times New Roman" w:hAnsi="Times New Roman"/>
          <w:sz w:val="18"/>
          <w:szCs w:val="18"/>
          <w:color w:val="auto"/>
        </w:rPr>
      </w:pPr>
    </w:p>
    <w:p>
      <w:pPr>
        <w:ind w:left="780" w:hanging="443"/>
        <w:spacing w:after="0" w:line="251"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applications of cells derived from mesoderm and endoderm precursors, especially those relating to drug discovery and testing for applications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discovery and development applications.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This license agreement requires us to pay annual license and patent prosecution and maintenance fees and royalty payments based on product sales and services that are covered by the MSSM patent applications, as well as for any revenues received from sublicensing. Any drug candidates that we develop, including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will only require royalty payments to the extent they require the practice of the licensed technology. To the extent we incur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Wisconsin Alumni Research Foundation (WARF) Non-Exclusive License</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drug discovery and development. Foreign counterparts have been filed in Australia, Canada, Europe, China, India, Hong Kong, Israel, Brazil, South Korea, India, Mexico, and New Zealand. The subject matter of these patents includes specific hESC lines and composition of matter and use claims relating to hESCs important to drug discovery, and drug rescue screening. We have rights to:</w:t>
      </w:r>
    </w:p>
    <w:p>
      <w:pPr>
        <w:spacing w:after="0" w:line="191" w:lineRule="exact"/>
        <w:rPr>
          <w:sz w:val="20"/>
          <w:szCs w:val="20"/>
          <w:color w:val="auto"/>
        </w:rPr>
      </w:pPr>
    </w:p>
    <w:p>
      <w:pPr>
        <w:ind w:left="780" w:hanging="44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technology for internal research and drug development;</w:t>
      </w:r>
    </w:p>
    <w:p>
      <w:pPr>
        <w:spacing w:after="0" w:line="24"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discovery and screening services to third parties; and</w:t>
      </w:r>
    </w:p>
    <w:p>
      <w:pPr>
        <w:spacing w:after="0" w:line="5"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sell research products (that is, cellular assays incorporating the licensed technology).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license agreement requires us to make royalty payments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patents currently related to the generation of human heart and liver cells for use in connection with our drug rescue activities are set forth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20"/>
                <w:szCs w:val="20"/>
                <w:color w:val="auto"/>
              </w:rPr>
            </w:pPr>
          </w:p>
        </w:tc>
        <w:tc>
          <w:tcPr>
            <w:tcW w:w="4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12"/>
        </w:trPr>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7,763,466</w:t>
            </w:r>
          </w:p>
        </w:tc>
        <w:tc>
          <w:tcPr>
            <w:tcW w:w="1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 to produce endoderm cells</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12"/>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2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7,955,849</w:t>
            </w:r>
          </w:p>
        </w:tc>
        <w:tc>
          <w:tcPr>
            <w:tcW w:w="1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Method of enriching population of mesoderm cells</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2023</w:t>
            </w:r>
          </w:p>
        </w:tc>
      </w:tr>
      <w:tr>
        <w:trPr>
          <w:trHeight w:val="212"/>
        </w:trPr>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8,143,009</w:t>
            </w:r>
          </w:p>
        </w:tc>
        <w:tc>
          <w:tcPr>
            <w:tcW w:w="1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Toxicity typing using liver stem cells</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2023</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AV-101, we recently filed three new U.S. patent applications.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Collaborations and Intellectual Property Rights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Health Network, McEwen Centre for Regenerative Medicine, Toronto, Ontario</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have a stem cell research collaboration with our co-founder, Dr. Gordon Keller, Director of the UHN’s McEwen Centre, focused on developing improved methods for differentiation of cardiomyocytes (heart cells) from pluripotent stem cells, and their uses as biological systems for drug development. Pursuant to our sponsored research collaboration agreement with UHN, we have the right to acquire exclusive worldwide rights to any inventions arising from studies we sponsor, under pre-negotiated license terms. Such pre-negotiated terms provide for royalty payments based on product sales that incorporate the licensed technology and milestone payments based on the achievement of certain events.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We also have the exclusive option to sponsor research for similar cartilage, liver, pancreas and blood cell projects with similar licensing rights.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 budget under the agreement, and we anticipate finalizing such budget upon completion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UHN License for Stem Cell Culture Technology</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April 2012, we licensed breakthrough stem cell culture technology from UHN’s McEwen Centre. We intend to utilize the licensed technology to develop hematopoietic precursor stem cells from human pluripotent stem cells, with the goal of developing drug screening and cell therapy applications for human blood system disorders. The breakthrough technology is included in a new United States patent application. We believe this stem cell technology dramatically advances our ability to produce and purify this important blood stem cell precursor for both in vitro drug screening and in vivo cell therapy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AV-101-Related Intellectual Property</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exclusive licenses to issued U.S. patents related to the use and function of AV-101, and various central nervous system (CNS)-active molecules related to AV-101. These patents are held by the University of Maryland, Baltimore, the Cornell Research Foundation, Inc. and Aventis, Inc. The principle U.S. method of use patent related to AV-101 expired in February 2011. Foreign counterparts to that U.S. patent expired in February 2012. However, through the date of this report, in 2013, we have filed three new U.S. patent applications relating to AV-101. In addition, among the key components of our commercial protection strategy with respect to AV-101 is the New Drug Product Exclusivity provided by the FDA under section 505(c)(3)(E) and 505(j)(5)(F) of the Federal Food, Drug, and Cosmetic Act (FDCA). The FDA’s New Drug Product Exclusivity is available for new chemical entities (NCEs) such as AV-101, which, by definition, are innovative and have not been approved previously by the FDA, either alone or in combination. The FDA’s New Drug Product Exclusivity protection provides the holder of an FDA-approved new drug application (NDA) five (5) years of protection from new competition in the U.S. marketplace for the innovation represented by its approved new drug product. This protection precludes FDA approval of certain generic drug applications under section 505(b)</w:t>
      </w:r>
    </w:p>
    <w:p>
      <w:pPr>
        <w:spacing w:after="0" w:line="1" w:lineRule="exact"/>
        <w:rPr>
          <w:sz w:val="20"/>
          <w:szCs w:val="20"/>
          <w:color w:val="auto"/>
        </w:rPr>
      </w:pPr>
    </w:p>
    <w:p>
      <w:pPr>
        <w:ind w:firstLine="6"/>
        <w:spacing w:after="0" w:line="251"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FDCA, as well certain abbreviated new drug applications (ANDAs), during the five-year exclusivity period, except that such applications may be submitted after four years if they contain a certification of patent invalidity or non-infringement.</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terms of our license agreement, we may be obligated to make royalty payments on 2% of net sales of products using the unexpired patent rights, if any, including products containing compounds covered by the patent rights. Additionally, we may be required to pay a 1% royalty on net sales of combination products that use unexpired patent rights, if any, or contain compounds covered by the patent rights. Consequently, future sales of AV-101 may be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We believe that our human pluripotent stem cell (hPSC) technology platform,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the hPSC-derived human cells we produce, and the human cell-based assay systems we have developed are capable of being competitive in the diverse and rapidly growing stem cell and regenerative medicine markets, including markets involving the sale of hPSC-derived cells to third-parties for their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drug discovery and safety testing, contract predictive toxicology drug screening services for third parties, internal drug discovery, development and rescue of new molecular entities (NMEs), and regenerative medicine, including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We anticipate that acceptance and use of hPSC technology for drug development and regenerative medicine will continue to occur and increase at pharmaceutical and biotechnology companies in the future.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believe the best and most valuable near term commercial application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internal production of NMEs, which we refer to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through small molecule drug rescue. We believe that the stem cell technologies underlying our </w:t>
      </w:r>
      <w:r>
        <w:rPr>
          <w:rFonts w:ascii="Times New Roman" w:cs="Times New Roman" w:eastAsia="Times New Roman" w:hAnsi="Times New Roman"/>
          <w:sz w:val="18"/>
          <w:szCs w:val="18"/>
          <w:i w:val="1"/>
          <w:iCs w:val="1"/>
          <w:color w:val="auto"/>
        </w:rPr>
        <w:t>Human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Trials in a Test Tube </w:t>
      </w:r>
      <w:r>
        <w:rPr>
          <w:rFonts w:ascii="Times New Roman" w:cs="Times New Roman" w:eastAsia="Times New Roman" w:hAnsi="Times New Roman"/>
          <w:sz w:val="18"/>
          <w:szCs w:val="18"/>
          <w:color w:val="auto"/>
        </w:rPr>
        <w:t>platform and our primary focus on opportunities to produce small molecule NMEs through drug rescue provide us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Times New Roman" w:cs="Times New Roman" w:eastAsia="Times New Roman" w:hAnsi="Times New Roman"/>
          <w:sz w:val="17"/>
          <w:szCs w:val="17"/>
          <w:i w:val="1"/>
          <w:iCs w:val="1"/>
          <w:color w:val="auto"/>
        </w:rPr>
        <w:t>Drug Rescue Variant</w:t>
      </w:r>
      <w:r>
        <w:rPr>
          <w:rFonts w:ascii="Times New Roman" w:cs="Times New Roman" w:eastAsia="Times New Roman" w:hAnsi="Times New Roman"/>
          <w:sz w:val="17"/>
          <w:szCs w:val="17"/>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Times New Roman" w:cs="Times New Roman" w:eastAsia="Times New Roman" w:hAnsi="Times New Roman"/>
          <w:sz w:val="17"/>
          <w:szCs w:val="17"/>
          <w:i w:val="1"/>
          <w:iCs w:val="1"/>
          <w:color w:val="auto"/>
        </w:rPr>
        <w:t>Drug Rescue Variant</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(ISSCR), or the NIH. These procedures and documentation have been reviewed by an external Stem Cell Research Oversight Committee, and all cell lines we use have been approved under one or more of these guidelines.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Canada, stem cell research and development is governed by two policy documents and by one legislative statute: the Guidelines for Human Pluripotent Stem Cell Research (the Guidelines) issued by the Canadian Institutes of Health Research; the Tri-Council Statement: Ethical Conduct for Research Involving Humans (the TCPS); and the Assisted Human Reproduction Act (the Act).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not currently conducting stem cell research in Canada. We are, however, sponsoring pluripotent stem cell research by Dr. Gordon Keller at UHN’s McEwen Centre. We anticipate conducting pluripotent stem cell research (with both hESCs and hiPSCs), in collaboration with Dr. Keller and his research team, at UHN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and Inter-Corporate Relationships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wholly-owned subsidiaries are managed by our senior management team based in South San Francisco, California.</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“Business – Strategic Transactions and Relationships.”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None of our employees is represented by a labor union or is subject to a collective bargaining agreement. We believe that our current relationship with all of our employees is good.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principal executive offices and laboratories are located in South San Francisco, California, where we occupy approximately 10,000 square feet of office and laboratory space under a lease that expires in July 2017. Upon completion of this Offering, we anticipate leasing approximately 10,000 square feet of additional office and laboratory space to facilitate our growth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time to time, we may be a party to litigation and subject to claims incident to the ordinary course of business. We are not currently a party to any legal proceedings.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as of April 30, 2014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2"/>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2"/>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11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64</w:t>
            </w: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Founder, President, Chief Scientific Officer and Director</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11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60</w:t>
            </w: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tc>
      </w:tr>
      <w:tr>
        <w:trPr>
          <w:trHeight w:val="212"/>
        </w:trPr>
        <w:tc>
          <w:tcPr>
            <w:tcW w:w="20" w:type="dxa"/>
            <w:vAlign w:val="bottom"/>
          </w:tcPr>
          <w:p>
            <w:pPr>
              <w:spacing w:after="0"/>
              <w:rPr>
                <w:sz w:val="18"/>
                <w:szCs w:val="18"/>
                <w:color w:val="auto"/>
              </w:rPr>
            </w:pPr>
          </w:p>
        </w:tc>
        <w:tc>
          <w:tcPr>
            <w:tcW w:w="460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(1)</w:t>
            </w:r>
          </w:p>
        </w:tc>
        <w:tc>
          <w:tcPr>
            <w:tcW w:w="11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77</w:t>
            </w: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(2)</w:t>
            </w:r>
          </w:p>
        </w:tc>
        <w:tc>
          <w:tcPr>
            <w:tcW w:w="11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73</w:t>
            </w: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0" w:lineRule="exact"/>
        <w:rPr>
          <w:sz w:val="20"/>
          <w:szCs w:val="20"/>
          <w:color w:val="auto"/>
        </w:rPr>
      </w:pPr>
    </w:p>
    <w:p>
      <w:pPr>
        <w:ind w:left="640" w:hanging="63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and member of the compensation committee and corporate governance and nominating committee</w:t>
      </w:r>
    </w:p>
    <w:p>
      <w:pPr>
        <w:spacing w:after="0" w:line="2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and chairman of the compensation committee and corporate governance and nominating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Shawn K. Singh, J.D. </w:t>
      </w:r>
      <w:r>
        <w:rPr>
          <w:rFonts w:ascii="Times New Roman" w:cs="Times New Roman" w:eastAsia="Times New Roman" w:hAnsi="Times New Roman"/>
          <w:sz w:val="17"/>
          <w:szCs w:val="17"/>
          <w:color w:val="auto"/>
        </w:rPr>
        <w:t>has served as our Chief Executive Officer since August 2009; he joined our Board of Directors in 2000 and served on our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 (part-time) from late-2003, following our acquisition of Artemis 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a profitable global contract research organization (CRO)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H. Ralph Snodgrass, Ph.D. </w:t>
      </w:r>
      <w:r>
        <w:rPr>
          <w:rFonts w:ascii="Times New Roman" w:cs="Times New Roman" w:eastAsia="Times New Roman" w:hAnsi="Times New Roman"/>
          <w:sz w:val="17"/>
          <w:szCs w:val="17"/>
          <w:color w:val="auto"/>
        </w:rPr>
        <w:t>co-founded VistaGen with Dr. Gordon Keller in 1998 and served as our Chief Executive Officer until August 2009. Dr. Snodgrass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our President and Chief Scientific Officer since August 2009. He 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(BIO),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Jerrold D. Dotson, CPA </w:t>
      </w:r>
      <w:r>
        <w:rPr>
          <w:rFonts w:ascii="Times New Roman" w:cs="Times New Roman" w:eastAsia="Times New Roman" w:hAnsi="Times New Roman"/>
          <w:sz w:val="18"/>
          <w:szCs w:val="18"/>
          <w:color w:val="auto"/>
        </w:rPr>
        <w:t>has served as our Chief Financial Officer since September 2011, as our Corporate Secretary since October 2013 and as a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 S. Saxe, J.D. </w:t>
      </w:r>
      <w:r>
        <w:rPr>
          <w:rFonts w:ascii="Times New Roman" w:cs="Times New Roman" w:eastAsia="Times New Roman" w:hAnsi="Times New Roman"/>
          <w:sz w:val="17"/>
          <w:szCs w:val="17"/>
          <w:color w:val="auto"/>
        </w:rPr>
        <w:t>has served as Chairman of our Board of Directors since 2000. He also serves as the Chairman of our Audit Committee. Mr. Saxe is the retired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and was a director of PDL BioPharma.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J. Underdown, Ph.D. </w:t>
      </w:r>
      <w:r>
        <w:rPr>
          <w:rFonts w:ascii="Times New Roman" w:cs="Times New Roman" w:eastAsia="Times New Roman" w:hAnsi="Times New Roman"/>
          <w:sz w:val="18"/>
          <w:szCs w:val="18"/>
          <w:color w:val="auto"/>
        </w:rPr>
        <w:t>has served as a member of our Board of Directors since November 2009. Dr. Underdown has served as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Lumira Capital Corp. since September 1997,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Executive Officers</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securities are not currently listed on a national securities exchange or on any inter-dealer quotation system which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National Market.</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208" w:lineRule="exact"/>
        <w:rPr>
          <w:sz w:val="20"/>
          <w:szCs w:val="20"/>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90" w:lineRule="exact"/>
        <w:rPr>
          <w:sz w:val="20"/>
          <w:szCs w:val="20"/>
          <w:color w:val="auto"/>
        </w:rPr>
      </w:pPr>
    </w:p>
    <w:p>
      <w:pPr>
        <w:jc w:val="both"/>
        <w:ind w:left="640" w:hanging="338"/>
        <w:spacing w:after="0" w:line="282" w:lineRule="auto"/>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86" w:lineRule="exact"/>
        <w:rPr>
          <w:rFonts w:ascii="Times New Roman" w:cs="Times New Roman" w:eastAsia="Times New Roman" w:hAnsi="Times New Roman"/>
          <w:sz w:val="17"/>
          <w:szCs w:val="17"/>
          <w:color w:val="auto"/>
        </w:rPr>
      </w:pPr>
    </w:p>
    <w:p>
      <w:pPr>
        <w:ind w:left="640" w:hanging="33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objectives of our executive officer compensation programs;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CEO compensation, evaluating CEO performance in light of such goals and objectives, and determining CEO compensation based on the evaluation;</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Endeavoring to ensure that our executive compensation programs are effective in attracting and retaining key employees and reinforcing business strategies and objectives for enhancing stockholder value;</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administration of incentive-compensation plans and equity-based incentive plans as in effect and as adopted from time to time by the board;</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202" w:lineRule="exact"/>
        <w:rPr>
          <w:sz w:val="20"/>
          <w:szCs w:val="20"/>
          <w:color w:val="auto"/>
        </w:rPr>
      </w:pPr>
    </w:p>
    <w:p>
      <w:pPr>
        <w:ind w:left="640" w:hanging="33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the board;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the nominations or elections of our directors;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Ethics, and recommending any proposed changes to the board for approval; and</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or in filings with the SEC under the Exchange Act.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 for Fiscal Years 2014 and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compensation information about the following individuals:</w:t>
      </w:r>
    </w:p>
    <w:p>
      <w:pPr>
        <w:spacing w:after="0" w:line="244" w:lineRule="exact"/>
        <w:rPr>
          <w:sz w:val="20"/>
          <w:szCs w:val="20"/>
          <w:color w:val="auto"/>
        </w:rPr>
      </w:pPr>
    </w:p>
    <w:p>
      <w:pPr>
        <w:ind w:left="640" w:hanging="33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K. Singh, our Chief Executive Officer (CEO) and director;</w:t>
      </w:r>
    </w:p>
    <w:p>
      <w:pPr>
        <w:spacing w:after="0" w:line="24"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Ralph Snodgrass, our President, Chief Scientific Officer (CSO) and director; and</w:t>
      </w:r>
    </w:p>
    <w:p>
      <w:pPr>
        <w:spacing w:after="0" w:line="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Jerrold D. Dotson, our Vice President, Chief Financial Officer (CFO) and Secretary</w:t>
      </w:r>
    </w:p>
    <w:p>
      <w:pPr>
        <w:spacing w:after="0" w:line="22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 the discussion below, we refer to this group of executives as the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This group includes the executive officers for whom disclosure is required under the applicable rules of the SEC.</w:t>
      </w:r>
    </w:p>
    <w:p>
      <w:pPr>
        <w:spacing w:after="0" w:line="16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the fiscal years ended March 31, 2014 and 2013:</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and Warrant</w:t>
            </w:r>
          </w:p>
        </w:tc>
        <w:tc>
          <w:tcPr>
            <w:tcW w:w="12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34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0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Bonus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line="233" w:lineRule="exact"/>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24"/>
                <w:szCs w:val="24"/>
                <w:b w:val="1"/>
                <w:bCs w:val="1"/>
                <w:color w:val="auto"/>
                <w:vertAlign w:val="superscript"/>
              </w:rPr>
              <w:t>(7)</w:t>
            </w:r>
            <w:r>
              <w:rPr>
                <w:rFonts w:ascii="Times New Roman" w:cs="Times New Roman" w:eastAsia="Times New Roman" w:hAnsi="Times New Roman"/>
                <w:sz w:val="18"/>
                <w:szCs w:val="18"/>
                <w:b w:val="1"/>
                <w:bCs w:val="1"/>
                <w:color w:val="auto"/>
              </w:rPr>
              <w:t xml:space="preserve"> ($)</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Compensation ($)</w:t>
            </w:r>
          </w:p>
        </w:tc>
        <w:tc>
          <w:tcPr>
            <w:tcW w:w="1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Shawn K. Singh, J.D. </w:t>
            </w:r>
            <w:r>
              <w:rPr>
                <w:rFonts w:ascii="Times New Roman" w:cs="Times New Roman" w:eastAsia="Times New Roman" w:hAnsi="Times New Roman"/>
                <w:sz w:val="24"/>
                <w:szCs w:val="24"/>
                <w:color w:val="auto"/>
                <w:vertAlign w:val="superscript"/>
              </w:rPr>
              <w:t>(1)</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159,802</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4"/>
              </w:rPr>
              <w:t>2013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802,411</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 (10)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1,004,057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0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H. Ralph Snodgrass, Ph.D. </w:t>
            </w:r>
            <w:r>
              <w:rPr>
                <w:rFonts w:ascii="Times New Roman" w:cs="Times New Roman" w:eastAsia="Times New Roman" w:hAnsi="Times New Roman"/>
                <w:sz w:val="24"/>
                <w:szCs w:val="24"/>
                <w:color w:val="auto"/>
                <w:vertAlign w:val="superscript"/>
              </w:rPr>
              <w:t>(2)</w:t>
            </w:r>
          </w:p>
        </w:tc>
        <w:tc>
          <w:tcPr>
            <w:tcW w:w="9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4"/>
              </w:rPr>
              <w:t>2014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102,353</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352.353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Chief Scientific Officer</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534,941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738,027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Jerrold D. Dotson </w:t>
            </w:r>
            <w:r>
              <w:rPr>
                <w:rFonts w:ascii="Times New Roman" w:cs="Times New Roman" w:eastAsia="Times New Roman" w:hAnsi="Times New Roman"/>
                <w:sz w:val="24"/>
                <w:szCs w:val="24"/>
                <w:color w:val="auto"/>
                <w:vertAlign w:val="superscript"/>
              </w:rPr>
              <w:t>(3)</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36,846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236,846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00" w:type="dxa"/>
            <w:vAlign w:val="bottom"/>
          </w:tcPr>
          <w:p>
            <w:pPr>
              <w:spacing w:after="0" w:line="192" w:lineRule="exact"/>
              <w:rPr>
                <w:sz w:val="20"/>
                <w:szCs w:val="20"/>
                <w:color w:val="auto"/>
              </w:rPr>
            </w:pPr>
            <w:r>
              <w:rPr>
                <w:rFonts w:ascii="Times New Roman" w:cs="Times New Roman" w:eastAsia="Times New Roman" w:hAnsi="Times New Roman"/>
                <w:sz w:val="18"/>
                <w:szCs w:val="18"/>
                <w:i w:val="1"/>
                <w:iCs w:val="1"/>
                <w:color w:val="auto"/>
              </w:rPr>
              <w:t>Vice President, Chief Financial Officer,</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9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2013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97,269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134,316</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62,333</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293,918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0" w:right="20" w:hanging="394"/>
        <w:spacing w:after="0" w:line="269" w:lineRule="auto"/>
        <w:tabs>
          <w:tab w:leader="none" w:pos="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70" w:lineRule="exact"/>
        <w:rPr>
          <w:rFonts w:ascii="Times New Roman" w:cs="Times New Roman" w:eastAsia="Times New Roman" w:hAnsi="Times New Roman"/>
          <w:sz w:val="17"/>
          <w:szCs w:val="17"/>
          <w:color w:val="auto"/>
        </w:rPr>
      </w:pPr>
    </w:p>
    <w:p>
      <w:pPr>
        <w:jc w:val="both"/>
        <w:ind w:left="400" w:right="20" w:hanging="394"/>
        <w:spacing w:after="0" w:line="267" w:lineRule="auto"/>
        <w:tabs>
          <w:tab w:leader="none" w:pos="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174" w:lineRule="exact"/>
        <w:rPr>
          <w:rFonts w:ascii="Times New Roman" w:cs="Times New Roman" w:eastAsia="Times New Roman" w:hAnsi="Times New Roman"/>
          <w:sz w:val="17"/>
          <w:szCs w:val="17"/>
          <w:color w:val="auto"/>
        </w:rPr>
      </w:pPr>
    </w:p>
    <w:p>
      <w:pPr>
        <w:ind w:left="400" w:right="20" w:hanging="394"/>
        <w:spacing w:after="0" w:line="274"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Dotson served as Chief Financial Officer on a part-time contract basis from September 19, 2011 through August 2012, at which time he became a full-time employee of the Company.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400" w:hanging="394"/>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Mr. Singh received only $125,000 in cash; the remaining balance has been accrued for future payment.</w:t>
      </w:r>
    </w:p>
    <w:p>
      <w:pPr>
        <w:spacing w:after="0" w:line="217"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Dr. Snodgrass received only $149,606 in cash; the remaining balance has been accrued for future payment.</w:t>
      </w:r>
    </w:p>
    <w:p>
      <w:pPr>
        <w:spacing w:after="0" w:line="217"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Mr. Dotson received only $143,333 in cash; the remaining balance has been accrued for future payment.</w:t>
      </w:r>
    </w:p>
    <w:p>
      <w:pPr>
        <w:spacing w:after="0" w:line="215" w:lineRule="exact"/>
        <w:rPr>
          <w:rFonts w:ascii="Times New Roman" w:cs="Times New Roman" w:eastAsia="Times New Roman" w:hAnsi="Times New Roman"/>
          <w:sz w:val="18"/>
          <w:szCs w:val="18"/>
          <w:color w:val="auto"/>
        </w:rPr>
      </w:pPr>
    </w:p>
    <w:p>
      <w:pPr>
        <w:jc w:val="both"/>
        <w:ind w:left="400" w:right="20" w:hanging="394"/>
        <w:spacing w:after="0" w:line="250"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Option and Warrant Awards column do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Option</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Warrant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Grant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Grant</w:t>
            </w:r>
          </w:p>
        </w:tc>
        <w:tc>
          <w:tcPr>
            <w:tcW w:w="280" w:type="dxa"/>
            <w:vAlign w:val="bottom"/>
          </w:tcPr>
          <w:p>
            <w:pPr>
              <w:spacing w:after="0"/>
              <w:rPr>
                <w:sz w:val="18"/>
                <w:szCs w:val="18"/>
                <w:color w:val="auto"/>
              </w:rPr>
            </w:pPr>
          </w:p>
        </w:tc>
        <w:tc>
          <w:tcPr>
            <w:tcW w:w="202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color w:val="auto"/>
              </w:rPr>
              <w:t>Option Modification</w:t>
            </w:r>
          </w:p>
        </w:tc>
        <w:tc>
          <w:tcPr>
            <w:tcW w:w="220" w:type="dxa"/>
            <w:vAlign w:val="bottom"/>
          </w:tcPr>
          <w:p>
            <w:pPr>
              <w:spacing w:after="0"/>
              <w:rPr>
                <w:sz w:val="18"/>
                <w:szCs w:val="18"/>
                <w:color w:val="auto"/>
              </w:rPr>
            </w:pPr>
          </w:p>
        </w:tc>
        <w:tc>
          <w:tcPr>
            <w:tcW w:w="218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color w:val="auto"/>
              </w:rPr>
              <w:t>Warrant Modification</w:t>
            </w:r>
          </w:p>
        </w:tc>
        <w:tc>
          <w:tcPr>
            <w:tcW w:w="218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color w:val="auto"/>
                <w:w w:val="98"/>
              </w:rPr>
              <w:t>Option/Warrant Exchange (a)</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10/27/2013</w:t>
            </w: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3/19/2014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12/20/2013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12/20/2013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3/19/2014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Singh</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134,436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25,366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Snodgrass</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14,560</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30,958</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Dotson</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6,380</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29,120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gridSpan w:val="2"/>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43,680</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192,617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25,366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30,958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96"/>
              </w:rPr>
              <w:t>Before</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After</w:t>
            </w:r>
          </w:p>
        </w:tc>
        <w:tc>
          <w:tcPr>
            <w:tcW w:w="140" w:type="dxa"/>
            <w:vAlign w:val="bottom"/>
            <w:tcBorders>
              <w:top w:val="single" w:sz="8" w:color="CCEEFF"/>
            </w:tcBorders>
            <w:gridSpan w:val="2"/>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Before</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After</w:t>
            </w:r>
          </w:p>
        </w:tc>
        <w:tc>
          <w:tcPr>
            <w:tcW w:w="180" w:type="dxa"/>
            <w:vAlign w:val="bottom"/>
            <w:tcBorders>
              <w:top w:val="single" w:sz="8" w:color="CCEEFF"/>
            </w:tcBorders>
            <w:gridSpan w:val="2"/>
          </w:tcPr>
          <w:p>
            <w:pPr>
              <w:spacing w:after="0"/>
              <w:rPr>
                <w:sz w:val="24"/>
                <w:szCs w:val="24"/>
                <w:color w:val="auto"/>
              </w:rPr>
            </w:pPr>
          </w:p>
        </w:tc>
        <w:tc>
          <w:tcPr>
            <w:tcW w:w="1060" w:type="dxa"/>
            <w:vAlign w:val="bottom"/>
            <w:tcBorders>
              <w:top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Before</w:t>
            </w: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After</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price per share</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0.46</w:t>
            </w:r>
          </w:p>
        </w:tc>
        <w:tc>
          <w:tcPr>
            <w:tcW w:w="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0.40</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per</w:t>
            </w:r>
          </w:p>
        </w:tc>
        <w:tc>
          <w:tcPr>
            <w:tcW w:w="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0.75 to</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0.50</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tcPr>
          <w:p>
            <w:pPr>
              <w:spacing w:after="0"/>
              <w:rPr>
                <w:sz w:val="16"/>
                <w:szCs w:val="16"/>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0.50</w:t>
            </w:r>
          </w:p>
        </w:tc>
        <w:tc>
          <w:tcPr>
            <w:tcW w:w="3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to $1.75</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1.675%</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1.750%</w:t>
            </w:r>
          </w:p>
        </w:tc>
        <w:tc>
          <w:tcPr>
            <w:tcW w:w="2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 to</w:t>
            </w:r>
          </w:p>
        </w:tc>
        <w:tc>
          <w:tcPr>
            <w:tcW w:w="3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0.12% to</w:t>
            </w:r>
          </w:p>
        </w:tc>
        <w:tc>
          <w:tcPr>
            <w:tcW w:w="2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0.07% to</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0.75% to</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0.106%</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1.750%</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36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99.53%</w:t>
            </w:r>
          </w:p>
        </w:tc>
        <w:tc>
          <w:tcPr>
            <w:tcW w:w="3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80.57%</w:t>
            </w:r>
          </w:p>
        </w:tc>
        <w:tc>
          <w:tcPr>
            <w:tcW w:w="28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68.8% to</w:t>
            </w:r>
          </w:p>
        </w:tc>
        <w:tc>
          <w:tcPr>
            <w:tcW w:w="32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68.8% to</w:t>
            </w:r>
          </w:p>
        </w:tc>
        <w:tc>
          <w:tcPr>
            <w:tcW w:w="22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68.76% to</w:t>
            </w:r>
          </w:p>
        </w:tc>
        <w:tc>
          <w:tcPr>
            <w:tcW w:w="3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76.51% to</w:t>
            </w:r>
          </w:p>
        </w:tc>
        <w:tc>
          <w:tcPr>
            <w:tcW w:w="3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68.96%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80.57%</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97.6%</w:t>
            </w:r>
          </w:p>
        </w:tc>
        <w:tc>
          <w:tcPr>
            <w:tcW w:w="3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97.6%</w:t>
            </w: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78.21%</w:t>
            </w:r>
          </w:p>
        </w:tc>
        <w:tc>
          <w:tcPr>
            <w:tcW w:w="3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78.21%</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0.25 to</w:t>
            </w:r>
          </w:p>
        </w:tc>
        <w:tc>
          <w:tcPr>
            <w:tcW w:w="3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0.87 to</w:t>
            </w:r>
          </w:p>
        </w:tc>
        <w:tc>
          <w:tcPr>
            <w:tcW w:w="2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0.03 to</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3.03 to</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0.63</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Dividend rate</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Fair value per share</w:t>
            </w:r>
          </w:p>
        </w:tc>
        <w:tc>
          <w:tcPr>
            <w:tcW w:w="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0.32</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0.00 to</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0.07 to</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0.00 to</w:t>
            </w:r>
          </w:p>
        </w:tc>
        <w:tc>
          <w:tcPr>
            <w:tcW w:w="3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$0.18 to</w:t>
            </w: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0.29</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$0.34</w:t>
            </w: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3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$0.21</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Aggregate shares</w:t>
            </w:r>
          </w:p>
        </w:tc>
        <w:tc>
          <w:tcPr>
            <w:tcW w:w="3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20,000</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166,052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
        <w:spacing w:after="0" w:line="267" w:lineRule="auto"/>
        <w:tabs>
          <w:tab w:leader="none" w:pos="27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205" w:lineRule="exact"/>
        <w:rPr>
          <w:sz w:val="20"/>
          <w:szCs w:val="20"/>
          <w:color w:val="auto"/>
        </w:rPr>
      </w:pPr>
    </w:p>
    <w:p>
      <w:pPr>
        <w:jc w:val="both"/>
        <w:ind w:left="400" w:right="20" w:hanging="394"/>
        <w:spacing w:after="0" w:line="260"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480" w:right="20" w:hanging="474"/>
        <w:spacing w:after="0" w:line="274" w:lineRule="auto"/>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the Black Scholes Option Pricing Model and the following assumptions for determining the grant date fair value of the warrants to purchase shares of our common stock granted in March 2013.</w:t>
      </w:r>
    </w:p>
    <w:p>
      <w:pPr>
        <w:spacing w:after="0" w:line="209"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2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right="300"/>
        <w:spacing w:after="0" w:line="274" w:lineRule="auto"/>
        <w:rPr>
          <w:sz w:val="20"/>
          <w:szCs w:val="20"/>
          <w:color w:val="auto"/>
        </w:rPr>
      </w:pPr>
      <w:r>
        <w:rPr>
          <w:rFonts w:ascii="Times New Roman" w:cs="Times New Roman" w:eastAsia="Times New Roman" w:hAnsi="Times New Roman"/>
          <w:sz w:val="18"/>
          <w:szCs w:val="18"/>
          <w:color w:val="auto"/>
        </w:rPr>
        <w:t>Mr. Singh, Dr. Snodgrass and Mr. Dotson were granted warrants to purchase 1,500,000, 1,000,000 and 200,000 restricted shares of our common stock, respectively.</w:t>
      </w:r>
    </w:p>
    <w:p>
      <w:pPr>
        <w:spacing w:after="0" w:line="270" w:lineRule="exact"/>
        <w:rPr>
          <w:sz w:val="20"/>
          <w:szCs w:val="20"/>
          <w:color w:val="auto"/>
        </w:rPr>
      </w:pPr>
    </w:p>
    <w:p>
      <w:pPr>
        <w:jc w:val="both"/>
        <w:ind w:left="480" w:hanging="474"/>
        <w:spacing w:after="0" w:line="219" w:lineRule="auto"/>
        <w:tabs>
          <w:tab w:leader="none" w:pos="480" w:val="left"/>
        </w:tabs>
        <w:numPr>
          <w:ilvl w:val="0"/>
          <w:numId w:val="5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302" w:lineRule="exact"/>
        <w:rPr>
          <w:rFonts w:ascii="Times New Roman" w:cs="Times New Roman" w:eastAsia="Times New Roman" w:hAnsi="Times New Roman"/>
          <w:sz w:val="35"/>
          <w:szCs w:val="35"/>
          <w:color w:val="auto"/>
          <w:vertAlign w:val="superscript"/>
        </w:rPr>
      </w:pPr>
    </w:p>
    <w:p>
      <w:pPr>
        <w:ind w:left="480" w:hanging="474"/>
        <w:spacing w:after="0" w:line="274"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 cash compensation paid to Mr. Dotson under the terms of the consulting agreement between us and Mr. Dotson for the period April 2012 through August 2012.</w:t>
      </w:r>
    </w:p>
    <w:p>
      <w:pPr>
        <w:spacing w:after="0" w:line="18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None of the NEOs is entitled to perquisites or other personal benefits which, in the aggregate, are worth over $50,000 or over 10% of their base salary.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and Warrants Granted to Named Executive Officers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and warrant to purchase restricted shares of our common stock held by each of the named executive officers as of March 31,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6"/>
                <w:szCs w:val="16"/>
                <w:color w:val="auto"/>
              </w:rPr>
            </w:pPr>
          </w:p>
        </w:tc>
        <w:tc>
          <w:tcPr>
            <w:tcW w:w="20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Securities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Expiration</w:t>
            </w:r>
          </w:p>
        </w:tc>
        <w:tc>
          <w:tcPr>
            <w:tcW w:w="0" w:type="dxa"/>
            <w:vAlign w:val="bottom"/>
          </w:tcPr>
          <w:p>
            <w:pPr>
              <w:spacing w:after="0"/>
              <w:rPr>
                <w:sz w:val="1"/>
                <w:szCs w:val="1"/>
                <w:color w:val="auto"/>
              </w:rPr>
            </w:pPr>
          </w:p>
        </w:tc>
      </w:tr>
      <w:tr>
        <w:trPr>
          <w:trHeight w:val="239"/>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Unexercisable</w:t>
            </w:r>
          </w:p>
        </w:tc>
        <w:tc>
          <w:tcPr>
            <w:tcW w:w="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12/21/2016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0.72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12/30/2019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72,916</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12/31/2016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12/31/2016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2,636,468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12/20/2016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12/30/2019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72,916</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904,278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10/30/2022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10/27/2023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0.64</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241,052</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60" w:right="20" w:hanging="354"/>
        <w:spacing w:after="0" w:line="255"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 to purchase restricted shares of our common stock granted on March 3, 2013 at the market price of our common stock on the grant date.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Times New Roman" w:cs="Times New Roman" w:eastAsia="Times New Roman" w:hAnsi="Times New Roman"/>
          <w:sz w:val="18"/>
          <w:szCs w:val="18"/>
          <w:i w:val="1"/>
          <w:iCs w:val="1"/>
          <w:color w:val="auto"/>
        </w:rPr>
        <w:t>.</w:t>
      </w:r>
    </w:p>
    <w:p>
      <w:pPr>
        <w:spacing w:after="0" w:line="181" w:lineRule="exact"/>
        <w:rPr>
          <w:rFonts w:ascii="Times New Roman" w:cs="Times New Roman" w:eastAsia="Times New Roman" w:hAnsi="Times New Roman"/>
          <w:sz w:val="18"/>
          <w:szCs w:val="18"/>
          <w:color w:val="auto"/>
        </w:rPr>
      </w:pPr>
    </w:p>
    <w:p>
      <w:pPr>
        <w:jc w:val="both"/>
        <w:ind w:left="360" w:right="20" w:hanging="310"/>
        <w:spacing w:after="0" w:line="255" w:lineRule="auto"/>
        <w:tabs>
          <w:tab w:leader="none" w:pos="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employment agreements with Mr. Singh and Dr. Snodgrass.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Singh Agreement</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97" w:lineRule="exact"/>
        <w:rPr>
          <w:sz w:val="20"/>
          <w:szCs w:val="20"/>
          <w:color w:val="auto"/>
        </w:rPr>
      </w:pPr>
    </w:p>
    <w:p>
      <w:pPr>
        <w:ind w:left="780" w:hanging="44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portion of the incentive cash bonus that the board of directors determines in good faith that Mr. Singh earned prior to his termination; and</w:t>
      </w:r>
    </w:p>
    <w:p>
      <w:pPr>
        <w:spacing w:after="0" w:line="226" w:lineRule="exact"/>
        <w:rPr>
          <w:rFonts w:ascii="Times New Roman" w:cs="Times New Roman" w:eastAsia="Times New Roman" w:hAnsi="Times New Roman"/>
          <w:sz w:val="17"/>
          <w:szCs w:val="17"/>
          <w:color w:val="auto"/>
        </w:rPr>
      </w:pPr>
    </w:p>
    <w:p>
      <w:pPr>
        <w:ind w:left="780" w:right="20" w:hanging="443"/>
        <w:spacing w:after="0" w:line="276"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which are included elsewhere in this prospectus.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Snodgrass Agreement</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86" w:lineRule="exact"/>
        <w:rPr>
          <w:sz w:val="20"/>
          <w:szCs w:val="20"/>
          <w:color w:val="auto"/>
        </w:rPr>
      </w:pPr>
    </w:p>
    <w:p>
      <w:pPr>
        <w:ind w:left="780" w:hanging="44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portion of the incentive bonus that the board of directors determines in good faith that Dr. Snodgrass earned prior to his termination; and</w:t>
      </w:r>
    </w:p>
    <w:p>
      <w:pPr>
        <w:spacing w:after="0" w:line="228" w:lineRule="exact"/>
        <w:rPr>
          <w:rFonts w:ascii="Times New Roman" w:cs="Times New Roman" w:eastAsia="Times New Roman" w:hAnsi="Times New Roman"/>
          <w:sz w:val="17"/>
          <w:szCs w:val="17"/>
          <w:color w:val="auto"/>
        </w:rPr>
      </w:pPr>
    </w:p>
    <w:p>
      <w:pPr>
        <w:ind w:left="780" w:hanging="44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COBRA payments for continuation of his medical health benefits for such twelve-month period.</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addition, in the event Dr. Snodgrass terminates his employment with good reason, he is entitled to twelve months of his then-current base salary payable in the form of salary continuation.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181" w:lineRule="exact"/>
        <w:rPr>
          <w:sz w:val="20"/>
          <w:szCs w:val="20"/>
          <w:color w:val="auto"/>
        </w:rPr>
      </w:pPr>
    </w:p>
    <w:p>
      <w:pPr>
        <w:ind w:left="780" w:hanging="44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responsibility; or</w:t>
      </w:r>
    </w:p>
    <w:p>
      <w:pPr>
        <w:spacing w:after="0" w:line="217" w:lineRule="exact"/>
        <w:rPr>
          <w:rFonts w:ascii="Times New Roman" w:cs="Times New Roman" w:eastAsia="Times New Roman" w:hAnsi="Times New Roman"/>
          <w:sz w:val="18"/>
          <w:szCs w:val="18"/>
          <w:color w:val="auto"/>
        </w:rPr>
      </w:pPr>
    </w:p>
    <w:p>
      <w:pPr>
        <w:ind w:left="780" w:right="20" w:hanging="443"/>
        <w:spacing w:after="0" w:line="274"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following the Merger except for reductions that are comparable to reductions generally applicable to similarly situated executives of the Company.</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2014, options to purchase a total of 4,249,271 shares of common stock are outstanding at a weighted average exercise price of $0.50 per share, of which 3,655,061 options are vested and exercisable at a weighted average exercise price of $0.50 per share and 593,867 are unvested and unexercisable at a weighted average exercise price of $0.51 per share. These options were issued under our 2008 Plan and our 1999 Plan, each as more particularly described below. At March 31, 2014, an additional 735,200 shares remain available for future equity grants under our 2008 Plan.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0"/>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future issuance</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under equity</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be issued upon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(excluding</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warrants</w:t>
            </w: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reflected in</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39"/>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20"/>
                <w:szCs w:val="20"/>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2"/>
        </w:trPr>
        <w:tc>
          <w:tcPr>
            <w:tcW w:w="20" w:type="dxa"/>
            <w:vAlign w:val="bottom"/>
          </w:tcPr>
          <w:p>
            <w:pPr>
              <w:spacing w:after="0"/>
              <w:rPr>
                <w:sz w:val="18"/>
                <w:szCs w:val="18"/>
                <w:color w:val="auto"/>
              </w:rPr>
            </w:pPr>
          </w:p>
        </w:tc>
        <w:tc>
          <w:tcPr>
            <w:tcW w:w="6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3,964,800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284,471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4,249,271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735,200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stockholders adopted our 2008 Stock Incentive Plan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is 5,000,000.</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64" w:lineRule="exact"/>
        <w:rPr>
          <w:sz w:val="20"/>
          <w:szCs w:val="20"/>
          <w:color w:val="auto"/>
        </w:rPr>
      </w:pPr>
    </w:p>
    <w:p>
      <w:pPr>
        <w:ind w:left="700" w:hanging="403"/>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and by the laws of descent and distribution; and</w:t>
      </w:r>
    </w:p>
    <w:p>
      <w:pPr>
        <w:spacing w:after="0" w:line="217" w:lineRule="exact"/>
        <w:rPr>
          <w:rFonts w:ascii="Times New Roman" w:cs="Times New Roman" w:eastAsia="Times New Roman" w:hAnsi="Times New Roman"/>
          <w:sz w:val="18"/>
          <w:szCs w:val="18"/>
          <w:color w:val="auto"/>
        </w:rPr>
      </w:pPr>
    </w:p>
    <w:p>
      <w:pPr>
        <w:ind w:left="700" w:right="20" w:hanging="403"/>
        <w:spacing w:after="0" w:line="274" w:lineRule="auto"/>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76" w:lineRule="exact"/>
        <w:rPr>
          <w:sz w:val="20"/>
          <w:szCs w:val="20"/>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price;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217"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profit;</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depreciation;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 and</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2008 Plan, a Corporate Transaction is generally defined as:</w:t>
      </w:r>
    </w:p>
    <w:p>
      <w:pPr>
        <w:spacing w:after="0" w:line="217" w:lineRule="exact"/>
        <w:rPr>
          <w:sz w:val="20"/>
          <w:szCs w:val="20"/>
          <w:color w:val="auto"/>
        </w:rPr>
      </w:pPr>
    </w:p>
    <w:p>
      <w:pPr>
        <w:ind w:left="820" w:right="20" w:hanging="463"/>
        <w:spacing w:after="0" w:line="274"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63" w:lineRule="exact"/>
        <w:rPr>
          <w:rFonts w:ascii="Times New Roman" w:cs="Times New Roman" w:eastAsia="Times New Roman" w:hAnsi="Times New Roman"/>
          <w:sz w:val="18"/>
          <w:szCs w:val="18"/>
          <w:color w:val="auto"/>
        </w:rPr>
      </w:pPr>
    </w:p>
    <w:p>
      <w:pPr>
        <w:jc w:val="both"/>
        <w:ind w:left="820" w:right="20" w:hanging="463"/>
        <w:spacing w:after="0" w:line="255"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81"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assets of our corporation;</w:t>
      </w:r>
    </w:p>
    <w:p>
      <w:pPr>
        <w:spacing w:after="0" w:line="217"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our corporation is not the surviving entity; or</w:t>
      </w:r>
    </w:p>
    <w:p>
      <w:pPr>
        <w:spacing w:after="0" w:line="217"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2014, we had options to purchase an aggregate of 3,964,800 shares of common stock outstanding under our 2008 Plan.</w:t>
      </w:r>
    </w:p>
    <w:p>
      <w:pPr>
        <w:spacing w:after="0" w:line="1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1999 Stock Incentive Plan</w:t>
      </w:r>
    </w:p>
    <w:p>
      <w:pPr>
        <w:spacing w:after="0" w:line="22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1999 Plan permitted us to make grants of incentive stock options, non-qualified stock options and restricted stock awards. We initially reserved 450,000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2014, we had options to purchase an aggregate of 284,471 shares of our common stock outstanding under our 1999 Plan.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Director Compensation Table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non-employee directors in our fiscal year ended March 31,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 and Warrant</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line="212" w:lineRule="exact"/>
              <w:rPr>
                <w:sz w:val="20"/>
                <w:szCs w:val="20"/>
                <w:color w:val="auto"/>
              </w:rPr>
            </w:pPr>
            <w:r>
              <w:rPr>
                <w:rFonts w:ascii="Times New Roman" w:cs="Times New Roman" w:eastAsia="Times New Roman" w:hAnsi="Times New Roman"/>
                <w:sz w:val="18"/>
                <w:szCs w:val="18"/>
                <w:b w:val="1"/>
                <w:bCs w:val="1"/>
                <w:color w:val="auto"/>
                <w:w w:val="95"/>
              </w:rPr>
              <w:t xml:space="preserve">Paid in Cash </w:t>
            </w:r>
            <w:r>
              <w:rPr>
                <w:rFonts w:ascii="Times New Roman" w:cs="Times New Roman" w:eastAsia="Times New Roman" w:hAnsi="Times New Roman"/>
                <w:sz w:val="24"/>
                <w:szCs w:val="24"/>
                <w:b w:val="1"/>
                <w:bCs w:val="1"/>
                <w:color w:val="auto"/>
                <w:w w:val="95"/>
                <w:vertAlign w:val="superscript"/>
              </w:rPr>
              <w:t>(1)</w:t>
            </w:r>
          </w:p>
        </w:tc>
        <w:tc>
          <w:tcPr>
            <w:tcW w:w="100" w:type="dxa"/>
            <w:vAlign w:val="bottom"/>
          </w:tcPr>
          <w:p>
            <w:pPr>
              <w:spacing w:after="0"/>
              <w:rPr>
                <w:sz w:val="18"/>
                <w:szCs w:val="18"/>
                <w:color w:val="auto"/>
              </w:rPr>
            </w:pPr>
          </w:p>
        </w:tc>
        <w:tc>
          <w:tcPr>
            <w:tcW w:w="1640" w:type="dxa"/>
            <w:vAlign w:val="bottom"/>
          </w:tcPr>
          <w:p>
            <w:pPr>
              <w:jc w:val="center"/>
              <w:spacing w:after="0" w:line="212" w:lineRule="exact"/>
              <w:rPr>
                <w:sz w:val="20"/>
                <w:szCs w:val="20"/>
                <w:color w:val="auto"/>
              </w:rPr>
            </w:pPr>
            <w:r>
              <w:rPr>
                <w:rFonts w:ascii="Times New Roman" w:cs="Times New Roman" w:eastAsia="Times New Roman" w:hAnsi="Times New Roman"/>
                <w:sz w:val="18"/>
                <w:szCs w:val="18"/>
                <w:b w:val="1"/>
                <w:bCs w:val="1"/>
                <w:color w:val="auto"/>
                <w:w w:val="91"/>
              </w:rPr>
              <w:t xml:space="preserve">Awards </w:t>
            </w:r>
            <w:r>
              <w:rPr>
                <w:rFonts w:ascii="Times New Roman" w:cs="Times New Roman" w:eastAsia="Times New Roman" w:hAnsi="Times New Roman"/>
                <w:sz w:val="24"/>
                <w:szCs w:val="24"/>
                <w:b w:val="1"/>
                <w:bCs w:val="1"/>
                <w:color w:val="auto"/>
                <w:w w:val="91"/>
                <w:vertAlign w:val="superscript"/>
              </w:rPr>
              <w:t>(2)</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(3)</w:t>
            </w:r>
          </w:p>
        </w:tc>
        <w:tc>
          <w:tcPr>
            <w:tcW w:w="17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w:t>
            </w:r>
            <w:r>
              <w:rPr>
                <w:rFonts w:ascii="Times New Roman" w:cs="Times New Roman" w:eastAsia="Times New Roman" w:hAnsi="Times New Roman"/>
                <w:sz w:val="12"/>
                <w:szCs w:val="12"/>
                <w:color w:val="auto"/>
              </w:rPr>
              <w:t>(5)</w:t>
            </w:r>
          </w:p>
        </w:tc>
        <w:tc>
          <w:tcPr>
            <w:tcW w:w="1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54,683</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Brian J. Underdown, Ph.D</w:t>
            </w:r>
            <w:r>
              <w:rPr>
                <w:rFonts w:ascii="Times New Roman" w:cs="Times New Roman" w:eastAsia="Times New Roman" w:hAnsi="Times New Roman"/>
                <w:sz w:val="24"/>
                <w:szCs w:val="24"/>
                <w:color w:val="auto"/>
                <w:vertAlign w:val="superscript"/>
              </w:rPr>
              <w:t>. (4)</w:t>
            </w:r>
          </w:p>
        </w:tc>
        <w:tc>
          <w:tcPr>
            <w:tcW w:w="17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12,000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32,267</w:t>
            </w:r>
            <w:r>
              <w:rPr>
                <w:rFonts w:ascii="Times New Roman" w:cs="Times New Roman" w:eastAsia="Times New Roman" w:hAnsi="Times New Roman"/>
                <w:sz w:val="12"/>
                <w:szCs w:val="12"/>
                <w:color w:val="auto"/>
              </w:rPr>
              <w:t>(5)</w:t>
            </w:r>
          </w:p>
        </w:tc>
        <w:tc>
          <w:tcPr>
            <w:tcW w:w="1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44,267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right="20" w:hanging="534"/>
        <w:spacing w:after="0" w:line="274"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of directors and audit committee during the fiscal year which we have accrued but have not paid to the director at March 31, 2014.</w:t>
      </w:r>
    </w:p>
    <w:p>
      <w:pPr>
        <w:spacing w:after="0" w:line="163" w:lineRule="exact"/>
        <w:rPr>
          <w:rFonts w:ascii="Times New Roman" w:cs="Times New Roman" w:eastAsia="Times New Roman" w:hAnsi="Times New Roman"/>
          <w:sz w:val="18"/>
          <w:szCs w:val="18"/>
          <w:color w:val="auto"/>
        </w:rPr>
      </w:pPr>
    </w:p>
    <w:p>
      <w:pPr>
        <w:jc w:val="both"/>
        <w:ind w:left="540" w:right="20" w:hanging="534"/>
        <w:spacing w:after="0" w:line="267" w:lineRule="auto"/>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Times New Roman" w:cs="Times New Roman" w:eastAsia="Times New Roman" w:hAnsi="Times New Roman"/>
          <w:sz w:val="17"/>
          <w:szCs w:val="17"/>
          <w:i w:val="1"/>
          <w:iCs w:val="1"/>
          <w:color w:val="auto"/>
        </w:rPr>
        <w:t>ASC 718</w:t>
      </w:r>
      <w:r>
        <w:rPr>
          <w:rFonts w:ascii="Times New Roman" w:cs="Times New Roman" w:eastAsia="Times New Roman" w:hAnsi="Times New Roman"/>
          <w:sz w:val="17"/>
          <w:szCs w:val="17"/>
          <w:color w:val="auto"/>
        </w:rPr>
        <w:t xml:space="preserve">”). The amounts in this column do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74" w:lineRule="exact"/>
        <w:rPr>
          <w:rFonts w:ascii="Times New Roman" w:cs="Times New Roman" w:eastAsia="Times New Roman" w:hAnsi="Times New Roman"/>
          <w:sz w:val="17"/>
          <w:szCs w:val="17"/>
          <w:color w:val="auto"/>
        </w:rPr>
      </w:pPr>
    </w:p>
    <w:p>
      <w:pPr>
        <w:jc w:val="both"/>
        <w:ind w:left="540" w:right="20" w:hanging="534"/>
        <w:spacing w:after="0" w:line="255"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81" w:lineRule="exact"/>
        <w:rPr>
          <w:rFonts w:ascii="Times New Roman" w:cs="Times New Roman" w:eastAsia="Times New Roman" w:hAnsi="Times New Roman"/>
          <w:sz w:val="18"/>
          <w:szCs w:val="18"/>
          <w:color w:val="auto"/>
        </w:rPr>
      </w:pPr>
    </w:p>
    <w:p>
      <w:pPr>
        <w:jc w:val="both"/>
        <w:ind w:left="540" w:right="20" w:hanging="53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Warrant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Grant</w:t>
            </w:r>
          </w:p>
        </w:tc>
        <w:tc>
          <w:tcPr>
            <w:tcW w:w="300" w:type="dxa"/>
            <w:vAlign w:val="bottom"/>
          </w:tcPr>
          <w:p>
            <w:pPr>
              <w:spacing w:after="0"/>
              <w:rPr>
                <w:sz w:val="18"/>
                <w:szCs w:val="18"/>
                <w:color w:val="auto"/>
              </w:rPr>
            </w:pPr>
          </w:p>
        </w:tc>
        <w:tc>
          <w:tcPr>
            <w:tcW w:w="254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Option Modification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Warrant Modification</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3/19/2014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3"/>
          </w:tcPr>
          <w:p>
            <w:pPr>
              <w:jc w:val="right"/>
              <w:ind w:right="572"/>
              <w:spacing w:after="0"/>
              <w:rPr>
                <w:sz w:val="20"/>
                <w:szCs w:val="20"/>
                <w:color w:val="auto"/>
              </w:rPr>
            </w:pPr>
            <w:r>
              <w:rPr>
                <w:rFonts w:ascii="Times New Roman" w:cs="Times New Roman" w:eastAsia="Times New Roman" w:hAnsi="Times New Roman"/>
                <w:sz w:val="18"/>
                <w:szCs w:val="18"/>
                <w:color w:val="auto"/>
              </w:rPr>
              <w:t>12/20/2013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12/20/2013</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Saxe</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18,928</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15,291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6,464</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Underdown</w:t>
            </w:r>
          </w:p>
        </w:tc>
        <w:tc>
          <w:tcPr>
            <w:tcW w:w="3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14,560</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11,243</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26,534</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12,928</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Before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After</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Before</w:t>
            </w:r>
          </w:p>
        </w:tc>
        <w:tc>
          <w:tcPr>
            <w:tcW w:w="400" w:type="dxa"/>
            <w:vAlign w:val="bottom"/>
          </w:tcPr>
          <w:p>
            <w:pPr>
              <w:spacing w:after="0"/>
              <w:rPr>
                <w:sz w:val="24"/>
                <w:szCs w:val="2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After</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 to $2.10</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 to 2.40%</w:t>
            </w:r>
          </w:p>
        </w:tc>
        <w:tc>
          <w:tcPr>
            <w:tcW w:w="1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 to 2.40%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80.57%</w:t>
            </w: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 to 97.62%</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78.9% to 97.62%</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 to 7.35</w:t>
            </w:r>
          </w:p>
        </w:tc>
        <w:tc>
          <w:tcPr>
            <w:tcW w:w="17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4.08 to 7.35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 to $0.27</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$0.21 to $0.32</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422,500</w:t>
            </w:r>
          </w:p>
        </w:tc>
        <w:tc>
          <w:tcPr>
            <w:tcW w:w="10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422,500</w:t>
            </w:r>
          </w:p>
        </w:tc>
        <w:tc>
          <w:tcPr>
            <w:tcW w:w="3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Director Compensation for Fiscal Year Ending March 31, 2015</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officers and employees to the fullest extent permitted by the Nevada Revised Statutes ("</w:t>
      </w:r>
      <w:r>
        <w:rPr>
          <w:rFonts w:ascii="Times New Roman" w:cs="Times New Roman" w:eastAsia="Times New Roman" w:hAnsi="Times New Roman"/>
          <w:sz w:val="18"/>
          <w:szCs w:val="18"/>
          <w:i w:val="1"/>
          <w:iCs w:val="1"/>
          <w:color w:val="auto"/>
        </w:rPr>
        <w:t>NRS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Relationships with Certain Individuals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Securities to Cato Holding Company</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the parent of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On October 10, 2012, we agreed with CHC to cancel the 2011 CHC Note and exchange it for a new unsecured promissory note in the principal amount of $310,400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restricted shares of our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rendered by CRL to us through December 31, 2012 with respect to the preclinical and clinical development of AV-101, and (ii) a five-year warrant to purchase, at a price of $1.00 per share, 1,009,000 restricted shares of our common stock. Total interest expense on notes payable to CHC and CRL was $167,900 and $101,700 for the fiscal years ended March 31, 2014 and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and Development Agreement with Cato Research Ltd.</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Receivable from Shawn K. Singh, JD and Advances to us by Mr. Singh</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Directors and Executive Officers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and our amended and restated bylaws provide that we shall indemnify our directors to the fullest extent permitted by the Nevada Revised Statutes. For more information regarding these agreements, see “Executive compensation—Limitations of Liability and Indemnification.”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30, 2014 and as adjusted to reflect the sale of common stock offered by us in this Offering for:</w:t>
      </w:r>
    </w:p>
    <w:p>
      <w:pPr>
        <w:spacing w:after="0" w:line="164" w:lineRule="exact"/>
        <w:rPr>
          <w:sz w:val="20"/>
          <w:szCs w:val="20"/>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4"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Applicable percentage ownership is based on 24,236,877 shares of capital stock outstanding at April 30,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April 30, 2014 and all shares of common stock issuable pursuant to promissory notes and related accrued interest convertible into shares of common stock at April 30,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April 30, 2014 and all shares of common stock issuable pursuant to promissory notes and related accrued interest convertible into shares of common stock at April 30, 2014. Unless otherwise noted below, the address of each beneficial owner listed in the table is c/o VistaGen Therapeutics, Inc., 343 Allerton Avenue, South San Francisco, California 94080.</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53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Percent of shares</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Percent of shares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0" w:type="dxa"/>
            <w:vAlign w:val="bottom"/>
          </w:tcPr>
          <w:p>
            <w:pPr>
              <w:spacing w:after="0"/>
              <w:rPr>
                <w:sz w:val="1"/>
                <w:szCs w:val="1"/>
                <w:color w:val="auto"/>
              </w:rPr>
            </w:pPr>
          </w:p>
        </w:tc>
      </w:tr>
      <w:tr>
        <w:trPr>
          <w:trHeight w:val="239"/>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19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00" w:type="dxa"/>
            <w:vAlign w:val="bottom"/>
          </w:tcPr>
          <w:p>
            <w:pPr>
              <w:spacing w:after="0"/>
              <w:rPr>
                <w:sz w:val="20"/>
                <w:szCs w:val="20"/>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before Offering</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after Offering</w:t>
            </w:r>
          </w:p>
        </w:tc>
        <w:tc>
          <w:tcPr>
            <w:tcW w:w="0" w:type="dxa"/>
            <w:vAlign w:val="bottom"/>
          </w:tcPr>
          <w:p>
            <w:pPr>
              <w:spacing w:after="0"/>
              <w:rPr>
                <w:sz w:val="1"/>
                <w:szCs w:val="1"/>
                <w:color w:val="auto"/>
              </w:rPr>
            </w:pPr>
          </w:p>
        </w:tc>
      </w:tr>
      <w:tr>
        <w:trPr>
          <w:trHeight w:val="212"/>
        </w:trPr>
        <w:tc>
          <w:tcPr>
            <w:tcW w:w="5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Shawn K. Singh, JD </w:t>
            </w:r>
            <w:r>
              <w:rPr>
                <w:rFonts w:ascii="Times New Roman" w:cs="Times New Roman" w:eastAsia="Times New Roman" w:hAnsi="Times New Roman"/>
                <w:sz w:val="24"/>
                <w:szCs w:val="24"/>
                <w:color w:val="auto"/>
                <w:vertAlign w:val="superscript"/>
              </w:rPr>
              <w:t>(1)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3,509,892</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H. Ralph Snodgrass, PhD </w:t>
            </w:r>
            <w:r>
              <w:rPr>
                <w:rFonts w:ascii="Times New Roman" w:cs="Times New Roman" w:eastAsia="Times New Roman" w:hAnsi="Times New Roman"/>
                <w:sz w:val="24"/>
                <w:szCs w:val="24"/>
                <w:color w:val="auto"/>
                <w:vertAlign w:val="superscript"/>
              </w:rPr>
              <w:t>(2)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2,464,996</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9.67%</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Jerrold D. Dotson </w:t>
            </w:r>
            <w:r>
              <w:rPr>
                <w:rFonts w:ascii="Times New Roman" w:cs="Times New Roman" w:eastAsia="Times New Roman" w:hAnsi="Times New Roman"/>
                <w:sz w:val="24"/>
                <w:szCs w:val="24"/>
                <w:color w:val="auto"/>
                <w:vertAlign w:val="superscript"/>
              </w:rPr>
              <w:t>(3)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304,714</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472,075</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362,083</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Cato BioVentures </w:t>
            </w:r>
            <w:r>
              <w:rPr>
                <w:rFonts w:ascii="Times New Roman" w:cs="Times New Roman" w:eastAsia="Times New Roman" w:hAnsi="Times New Roman"/>
                <w:sz w:val="24"/>
                <w:szCs w:val="24"/>
                <w:color w:val="auto"/>
                <w:vertAlign w:val="superscript"/>
              </w:rPr>
              <w:t>(6)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4,687,165</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18.30%</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Platinum Long Term Growth Fund VII </w:t>
            </w:r>
            <w:r>
              <w:rPr>
                <w:rFonts w:ascii="Times New Roman" w:cs="Times New Roman" w:eastAsia="Times New Roman" w:hAnsi="Times New Roman"/>
                <w:sz w:val="24"/>
                <w:szCs w:val="24"/>
                <w:color w:val="auto"/>
                <w:vertAlign w:val="superscript"/>
              </w:rPr>
              <w:t>(7)</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Morrison &amp; Foerster LLP </w:t>
            </w:r>
            <w:r>
              <w:rPr>
                <w:rFonts w:ascii="Times New Roman" w:cs="Times New Roman" w:eastAsia="Times New Roman" w:hAnsi="Times New Roman"/>
                <w:sz w:val="24"/>
                <w:szCs w:val="24"/>
                <w:color w:val="auto"/>
                <w:vertAlign w:val="superscript"/>
              </w:rPr>
              <w:t>(8)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2,199,567</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David Young </w:t>
            </w:r>
            <w:r>
              <w:rPr>
                <w:rFonts w:ascii="Times New Roman" w:cs="Times New Roman" w:eastAsia="Times New Roman" w:hAnsi="Times New Roman"/>
                <w:sz w:val="24"/>
                <w:szCs w:val="24"/>
                <w:color w:val="auto"/>
                <w:vertAlign w:val="superscript"/>
              </w:rPr>
              <w:t>(9)</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2,096,192</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University Health Network </w:t>
            </w:r>
            <w:r>
              <w:rPr>
                <w:rFonts w:ascii="Times New Roman" w:cs="Times New Roman" w:eastAsia="Times New Roman" w:hAnsi="Times New Roman"/>
                <w:sz w:val="24"/>
                <w:szCs w:val="24"/>
                <w:color w:val="auto"/>
                <w:vertAlign w:val="superscript"/>
              </w:rPr>
              <w:t>(10)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1,748,188</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(5 persons) </w:t>
            </w:r>
            <w:r>
              <w:rPr>
                <w:rFonts w:ascii="Times New Roman" w:cs="Times New Roman" w:eastAsia="Times New Roman" w:hAnsi="Times New Roman"/>
                <w:sz w:val="24"/>
                <w:szCs w:val="24"/>
                <w:color w:val="auto"/>
                <w:vertAlign w:val="superscript"/>
              </w:rPr>
              <w:t>(11)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7,113,760</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24.02%</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(1%) of the outstanding shares of our common stock.</w:t>
      </w:r>
    </w:p>
    <w:p>
      <w:pPr>
        <w:spacing w:after="0" w:line="199" w:lineRule="exact"/>
        <w:rPr>
          <w:sz w:val="20"/>
          <w:szCs w:val="20"/>
          <w:color w:val="auto"/>
        </w:rPr>
      </w:pPr>
    </w:p>
    <w:p>
      <w:pPr>
        <w:jc w:val="both"/>
        <w:ind w:left="700" w:right="20" w:hanging="694"/>
        <w:spacing w:after="0" w:line="26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1,686,666 restricted shares of common stock exercisable within 60 days of April 30, 2014; warrants to purchase 1,331,052 restricted shares of common stock exercisable within 60 days of April 30, 2014, and 80,000 restricted shares of common stock upon conversion of a currently convertible promissory note and accrued interest.</w:t>
      </w:r>
    </w:p>
    <w:p>
      <w:pPr>
        <w:spacing w:after="0" w:line="175"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410,528 restricted shares of common stock exercisable within 60 days of April 30, 2014 and warrants to purchase 850,000 restricted shares of common stock exercisable within 60 days of April 30, 2014.</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104,714 restricted shares of common stock exercisable within 60 days of April 30, 2014, including options to purchase 12,458 shares of common stock held by Mr. Dotson’s wife, and warrants to purchase 200,000 restricted shares of common stock exercisable within 60 days of April 30, 2014.</w:t>
      </w:r>
    </w:p>
    <w:p>
      <w:pPr>
        <w:spacing w:after="0" w:line="175"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239,583 restricted shares of common stock exercisable within 60 days of April 30, 2014 and warrants to purchase 195,000 restricted shares of common stock exercisable within 60 days of April 30, 2014.</w:t>
      </w:r>
    </w:p>
    <w:p>
      <w:pPr>
        <w:spacing w:after="0" w:line="163"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174,583 restricted shares of common stock exercisable within 60 days of April 30, 2014 and warrants to purchase 187,500 restricted shares of common stock exercisable within 60 days of April 30, 2014.</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Form 4 filed on January 9, 2012. Includes currently exercisable warrants to purchase 1,376,329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ind w:left="700" w:hanging="694"/>
        <w:spacing w:after="0" w:line="269" w:lineRule="auto"/>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information contained in Schedule 13G/A filed on February 14, 2014, we believe that Platinum has transferred or assigned 15% of its holdings of our common stock and other securities as of December 31, 2013 to another party. The figures reported in the table above and in this note reflect the impact of Platinum’s transfer or assignment and are adjusted for securities sold to Platinum in a transaction on April 1, 2014, including 250,000 restricted shares of our common stock, a currently exercisable warrant to purchase 250,000 shares of our restricted common stock (subject to beneficial ownership restrictions noted below); and a currently convertible promissory note (subject to beneficial ownership restrictions noted below). The number of beneficially owned shares reported at April 30, 2014 includes 1,040,000 restricted shares of common stock owned by Platinum.</w:t>
      </w:r>
    </w:p>
    <w:p>
      <w:pPr>
        <w:spacing w:after="0" w:line="170" w:lineRule="exact"/>
        <w:rPr>
          <w:rFonts w:ascii="Times New Roman" w:cs="Times New Roman" w:eastAsia="Times New Roman" w:hAnsi="Times New Roman"/>
          <w:sz w:val="17"/>
          <w:szCs w:val="17"/>
          <w:color w:val="auto"/>
        </w:rPr>
      </w:pPr>
    </w:p>
    <w:p>
      <w:pPr>
        <w:jc w:val="both"/>
        <w:ind w:left="7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Stock. Pursuant to the October 11, 2012 Note Exchange and Purchase Agreement by and between us and Platinum, there is a limitation on exchange such that the number of shares of our common stock that may be acquired by Platinum upon exchange of the Series A Preferred Stock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170" w:lineRule="exact"/>
        <w:rPr>
          <w:rFonts w:ascii="Times New Roman" w:cs="Times New Roman" w:eastAsia="Times New Roman" w:hAnsi="Times New Roman"/>
          <w:sz w:val="17"/>
          <w:szCs w:val="17"/>
          <w:color w:val="auto"/>
        </w:rPr>
      </w:pPr>
    </w:p>
    <w:p>
      <w:pPr>
        <w:jc w:val="both"/>
        <w:ind w:left="7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 the reported number of shares beneficially owned also excludes an aggregate of 10,631,851 restricted shares of our Common Stock that may be acquired by Platinum upon (i) conversion of various Senior Secured Convertible Promissory Notes in the aggregate face amount of $3,522,577 and a Subordinate Convertible Promissory Note in the face amount of $250,000 (together, the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plus accrued but unpaid interest or (ii) exercise of various common stock purchase warrants to purchase an aggregate of 3,244,190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88" w:lineRule="exact"/>
        <w:rPr>
          <w:rFonts w:ascii="Times New Roman" w:cs="Times New Roman" w:eastAsia="Times New Roman" w:hAnsi="Times New Roman"/>
          <w:sz w:val="17"/>
          <w:szCs w:val="17"/>
          <w:color w:val="auto"/>
        </w:rPr>
      </w:pPr>
    </w:p>
    <w:p>
      <w:pPr>
        <w:jc w:val="both"/>
        <w:ind w:left="70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Including the shares otherwise excluded due to the beneficial ownership restrictions noted above, Platinum beneficially owns 30,796,852 shares or 57.04% of our common stock prior to the Offering. The primary business address of Platinum Long Term Growth Fund VII is 152 West 57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54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10019. Mark Nordlicht has voting and investment control over the shares held by Platinum.</w:t>
      </w:r>
    </w:p>
    <w:p>
      <w:pPr>
        <w:spacing w:after="0" w:line="99" w:lineRule="exact"/>
        <w:rPr>
          <w:rFonts w:ascii="Times New Roman" w:cs="Times New Roman" w:eastAsia="Times New Roman" w:hAnsi="Times New Roman"/>
          <w:sz w:val="17"/>
          <w:szCs w:val="17"/>
          <w:color w:val="auto"/>
        </w:rPr>
      </w:pPr>
    </w:p>
    <w:p>
      <w:pPr>
        <w:ind w:left="700" w:right="20" w:hanging="694"/>
        <w:spacing w:after="0" w:line="274"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1,999,567 restricted shares of common stock. The primary business address of Morrison &amp; Foerster is 555 Market Street, San Francisco, California 94105.</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658,728 restricted shares of common stock and 533,250 restricted shares of common stock upon conversion of currently convertible promissory notes and accrued interest. Mr. Young’s primary business address is c/o Coldwell Banker Residential Brokerage, 580 El Camino Real, San Carlos, California 94070.</w:t>
      </w:r>
    </w:p>
    <w:p>
      <w:pPr>
        <w:spacing w:after="0" w:line="175"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610,133 restricted shares of common stock. The primary business address of University Health Network is 101 College Street, Suite 150, Toronto, Ontario Canada M5G 1L7.</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an aggregate of 2,763,552 restricted shares of common stock exercisable within 60 days of April 30, 2014, warrants to purchase an aggregate of 2,616,074 restricted shares of common stock exercisable within 60 days of April 30, 2014 and 80,000 restricted shares of common stock upon conversion of a currently convertible promissory note and accrued interest.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authorized capital stock consists of 200 million shares of our common stock, $0.001 par value per share, and 10.0 million shares of preferred stock, $0.001 par value per share. The following is a description of our capital stock and certain provisions of our articles of incorporation, as amended, and our amended and restated bylaws, and certain provisions of Nevada law. This summary does not purport to be complete and is qualified in its entirety by the provisions of our articles of incorporation, as amended, and our amended and restated bylaws, copies of which have been filed with the SEC as exhibits to our periodic filings under the Exchange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there were outstanding:</w:t>
      </w:r>
    </w:p>
    <w:p>
      <w:pPr>
        <w:spacing w:after="0" w:line="244" w:lineRule="exact"/>
        <w:rPr>
          <w:sz w:val="20"/>
          <w:szCs w:val="20"/>
          <w:color w:val="auto"/>
        </w:rPr>
      </w:pPr>
    </w:p>
    <w:p>
      <w:pPr>
        <w:ind w:left="640" w:hanging="33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24,236,877 shares of our common stock held by approximately 300 stockholders of record;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exchange of our Series A Preferred;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4,227,357 shares of our common stock issuable upon exercise of outstanding stock options;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25,345,633 shares of our common stock issuable upon exercise of outstanding warrants, including warrants to purchase 7,500,000 issuable upon exchange of our Series A Preferred for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as otherwise expressly provided in our articles of incorporation, as amended,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Each holder of our common stock is entitled to cast one vote for each share of common stock held on all matters submitted to a vote of stockholders. Cumulative voting for election of directors is not allowed under our articles of incorporation, as amended, which means that a plurality of the shares voted can elect all of the directors then outstanding for election. Except as otherwise provided under Nevada law or our articles of incorporation, as amended, and amended and restated bylaws, on matters other than election of directors, action on a matter is approved if the votes cast favoring the action exceed the votes cast opposing the 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for more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is not subject to conversion, redemption, sinking fund or similar provisions regarding the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for our common stock and related stockholder matters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June 21, 2011 our common stock began trading on the OTC Markets (OTCQB) under the symbol “VSTA.” There was no established trading market for our common stock prior to that date.</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Shown below is the range of high and low closing prices for our common stock for the periods indicated as reported by the OTCQB. The market quotations reflect inter-dealer prices, without retail mark-up, mark-down or commissions and may not necessarily represent actual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9"/>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Ending March 31, 2014</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ending September 30, 2013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ending December 31, 2013</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ending March 31, 2014</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March 31, 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ending September 30, 2012</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ending December 31, 2012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ending March 31, 2013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30, 2014 the closing price of our common stock on the OTCQB was $0.48 per share.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2011, our board of directors authorized the creation of a series of up to 500,000 shares of Series A Preferred. At April 30, 2014, there were 500,000 shares of Series A Preferred outstanding. By agreement with the sole holder thereof, each share of Series A Preferred is exchangeable at the option of the holder into thirty (30) shares of our common stock. The Series A Preferred ranks prior to our common stock for purposes of liquidation preference.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we had options to purchase 4,227,357 shares of our common stock outstanding pursuant to our 1999 Plan and our 2008 Plan.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April 30, 2014, warrants to purchase 17,845,633 shares of our common stock were outstanding, excluding warrants to purchase 7,500,000 shares of common stock issuable in connection with the exchange of our Series A Preferred for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transfer agent and registrar for our common stock is Registrar and Transfer Company. The transfer agent’s address is 10 Commerce Drive, Cranford, NJ 07016.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and Estate Tax Consequences to Non-United States Holders of our Common Stock</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and estate tax consequences to non- U.S. holders (as defined below) of the acquisition, ownership and disposition of our common stock issued pursuant to this Offering. This discussion is not a complete analysis of all the potential U.S. federal income tax consequences relating thereto, nor does it address any estate or gift tax consequences (except to the limited extent provided below under “U.S. federal estate tax”) or any tax consequences arising under any state, local or foreign tax laws or any other U.S. federal tax laws. This discussion is for general information only and does not constitute tax advice. This discussion is based on the Internal Revenue Code, Treasury Regulations promulgated thereunder, judicial decisions and published rulings and administrative pronouncements of the Internal Revenue Service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all as in effect as of the date of this Offering. These authorities may change, possibly with retroactive effect, resulting in U.S. federal income and estate tax consequences different from those discussed below. We have not sought, nor do we plan to seek a ruling from the IRS with respect to the matters discussed below, and there can be no assurance that the IRS will not take a contrary position regarding the tax consequences of the acquisition, ownership or disposition of our common stock, or that any such contrary position would not be sustained by a court.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issued pursuant to this Offering and who hold our common stock as a capital asset within the meaning of Section 1221 of the Internal Revenue Code (generally, property held for investment). This discussion does not address all U.S. federal income and estate tax considerations that may be relevant to a particular non-U.S. holder in light of that holder’s particular circumstances. This discussion also does not consider any specific facts or circumstances that may be relevant to holders subject to special rules under the U.S. federal income tax laws, including, without limitation, U.S. expatriates, partnerships and other pass-through entities, “controlled foreign corporations,” “passive foreign investment companies,” corporations that accumulate earnings to avoid U.S. federal income tax, financial institutions, insurance companies, brokers, dealers or traders in securities, commodities or currencies, tax-exempt organizations, tax-qualified retirement plans, persons subject to the alternative minimum tax and persons holding our common stock as part of a hedging or conversion transaction or straddle, or a constructive sale, or other risk reduction strategy.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tax advisors regarding the particular U.S. federal income tax consequences to them of acquiring, owning and disposing of our common stock, as well as any tax consequences arising under U.S. federal estate and gift tax laws, any state, local or foreign tax laws and any other U.S. federal tax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purposes of this discussion (except as otherwise provided in the estate tax discussion), a non-U.S. holder is any beneficial owner of our common stock that is an individual, corporation, estate or trust and is not a “United States Person.” A United States Person is any of the following:</w:t>
      </w:r>
    </w:p>
    <w:p>
      <w:pPr>
        <w:spacing w:after="0" w:line="296" w:lineRule="exact"/>
        <w:rPr>
          <w:sz w:val="20"/>
          <w:szCs w:val="20"/>
          <w:color w:val="auto"/>
        </w:rPr>
      </w:pPr>
    </w:p>
    <w:p>
      <w:pPr>
        <w:ind w:left="700" w:hanging="403"/>
        <w:spacing w:after="0" w:line="181" w:lineRule="auto"/>
        <w:tabs>
          <w:tab w:leader="none" w:pos="700" w:val="left"/>
        </w:tabs>
        <w:numPr>
          <w:ilvl w:val="0"/>
          <w:numId w:val="6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an individual who is a citizen or resident of the United States for U.S. federal income tax purposes, including an alien individual who is a lawful permanent resident of the United States or who meets the substantial presence test under Section 7701(b) of the Internal Revenue Code;</w:t>
      </w:r>
    </w:p>
    <w:p>
      <w:pPr>
        <w:spacing w:after="0" w:line="88" w:lineRule="exact"/>
        <w:rPr>
          <w:rFonts w:ascii="Times New Roman" w:cs="Times New Roman" w:eastAsia="Times New Roman" w:hAnsi="Times New Roman"/>
          <w:sz w:val="34"/>
          <w:szCs w:val="34"/>
          <w:color w:val="auto"/>
          <w:vertAlign w:val="superscript"/>
        </w:rPr>
      </w:pPr>
    </w:p>
    <w:p>
      <w:pPr>
        <w:ind w:left="700" w:hanging="403"/>
        <w:spacing w:after="0" w:line="257"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ind w:left="700" w:hanging="403"/>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5" w:lineRule="exact"/>
        <w:rPr>
          <w:rFonts w:ascii="Times New Roman" w:cs="Times New Roman" w:eastAsia="Times New Roman" w:hAnsi="Times New Roman"/>
          <w:sz w:val="18"/>
          <w:szCs w:val="18"/>
          <w:color w:val="auto"/>
        </w:rPr>
      </w:pPr>
    </w:p>
    <w:p>
      <w:pPr>
        <w:ind w:left="700" w:right="20" w:hanging="403"/>
        <w:spacing w:after="0" w:line="251"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U.S. persons or (2) has validly elected to be treated as a U.S. person for U.S. federal income tax purposes.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a partnership (or other entity taxed as a partnership for U.S. federal income tax purposes) holds our common stock, the tax treatment of a partner in the partnership generally will depend on the status of the partner and upon the activities of the partnership. Accordingly, partnerships that hold our common stock and partners in such partnerships are urged to consult their tax advisors regarding the specific U.S. federal income tax consequences to them.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expect to declare or pay any dividends on our common stock in the foreseeable future. However, if we do pay dividends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tax-free return of capital and will first be applied against and reduce a holder’s adjusted tax basis in the common stock but not below zero. Any distribution in excess of a holder’s adjusted basis will be treated as capital gain.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Dividends paid to a non-U.S. holder of our common stock that are not effectively connected with a United States trade or business conducted by such holder generally will be subject to U.S. federal withholding tax at a rate of 30% of the gross amount of the dividends or such lower rate specified by an applicable tax treaty. To receive the benefit of a reduced treaty rate, a non-U.S. holder must furnish to us or our paying agent a valid IRS Form W-8BEN (or applicable successor form) certifying such holder’s qualification for the reduced rate. This certification must be provided to us or our paying agent prior to the payment of dividends and must be updated periodically. Non-U.S. holders that do not timely provide us or our paying agent with the required certification, but which qualify for a reduced treaty rate, may obtain a refund of any excess amounts withheld by timely filing an appropriate claim for refund with the IRS.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If a non-U.S. holder holds our common stock in connection with the conduct of a trade or business in the United States and dividends paid on our common stock are effectively connected with such holder’s United States trade or business, the non-U.S. holder will generally be exempt from U.S. federal withholding tax. To claim the exemption, the non-U.S. holder must furnish to us or our paying agent a properly executed IRS Form W-8ECI (or other applicable form).</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dividends paid on our common stock that are effectively connected with a non-U.S. holder’s U.S. trade or business generally will be subject to U.S. federal income tax on a net income basis in the same manner as if such holder were a United States Person unless an applicable tax treaty provides otherwise. A non-U.S. holder that is a foreign corporation also may be subject to a branch profits tax equal to 30% (or such lower rate specified by an applicable tax treaty) of its effectively connected earnings and profits for the taxable year. Non-U.S. holders are urged to consult any applicable tax treaties that may provide for different rules.</w:t>
      </w:r>
    </w:p>
    <w:p>
      <w:pPr>
        <w:spacing w:after="0" w:line="20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A non-U.S. holder who claims the benefit of an applicable income tax treaty generally will be required to satisfy applicable certification and other requirements prior to the distribution date. Non-U.S. holders should consult their tax advisors regarding their entitlement to benefits under a relevant income tax treaty.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on any gain realized upon the sale, exchange, redemption or other taxable disposition of our common stock unless:</w:t>
      </w:r>
    </w:p>
    <w:p>
      <w:pPr>
        <w:spacing w:after="0" w:line="190" w:lineRule="exact"/>
        <w:rPr>
          <w:sz w:val="20"/>
          <w:szCs w:val="20"/>
          <w:color w:val="auto"/>
        </w:rPr>
      </w:pPr>
    </w:p>
    <w:p>
      <w:pPr>
        <w:ind w:left="700" w:hanging="403"/>
        <w:spacing w:after="0" w:line="274"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tax treaty, attributable to a permanent establishment maintained by the non-U.S. holder in the United States;</w:t>
      </w:r>
    </w:p>
    <w:p>
      <w:pPr>
        <w:spacing w:after="0" w:line="163" w:lineRule="exact"/>
        <w:rPr>
          <w:rFonts w:ascii="Times New Roman" w:cs="Times New Roman" w:eastAsia="Times New Roman" w:hAnsi="Times New Roman"/>
          <w:sz w:val="18"/>
          <w:szCs w:val="18"/>
          <w:color w:val="auto"/>
        </w:rPr>
      </w:pPr>
    </w:p>
    <w:p>
      <w:pPr>
        <w:ind w:left="700" w:right="20" w:hanging="403"/>
        <w:spacing w:after="0" w:line="274"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63" w:lineRule="exact"/>
        <w:rPr>
          <w:rFonts w:ascii="Times New Roman" w:cs="Times New Roman" w:eastAsia="Times New Roman" w:hAnsi="Times New Roman"/>
          <w:sz w:val="18"/>
          <w:szCs w:val="18"/>
          <w:color w:val="auto"/>
        </w:rPr>
      </w:pPr>
    </w:p>
    <w:p>
      <w:pPr>
        <w:jc w:val="both"/>
        <w:ind w:left="700" w:hanging="403"/>
        <w:spacing w:after="0" w:line="260"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(the applicable period).</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or exceeds 50% of the sum of the fair market value of its worldwide real property interests plus its other assets used or held for use in a trade or business. We believe that we currently are not and will not become a USRPHC. However, because the determination of whether we are a USRPHC depends on the fair market value of our United States real property interests relative to the fair market value of our other business assets, there can be no assurance that we will not become a USRPHC in the future. In the event we do become a USRPHC, as long as our common stock is regularly traded on an established securities market, our common stock will be treated as United States real property interests only with respect to a non-U.S. holder that actually or constructively holds more than 5% of our common stock at some time during the applicable period.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in this subsection will generally be subject to U.S. federal income tax on a net income basis in the same manner as if such holder were a United States Person. Non-U.S. holders that are foreign corporations also may be subject to a branch profits tax equal to 30% (or such lower rate specified by an applicable tax treaty) of their effectively connected earnings and profits for the taxable year. Non-U.S. holders are urged to consult any applicable tax treaties that may provide for different rules.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Gain described in the second bullet point above in this subsection will be subject to U.S. federal income tax at a flat 30% rate, but may be offset by U.S. source capital losses.</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Gain described in the third bullet point above in this subsection generally will be taxed in the same manner as gain described in the first bullet point above, except that the branch profits tax will not apply.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U.S. Federal Estate Tax</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of our common stock that is owned or treated as owned by an individual who is a non-U.S. holder (as defined for estate tax purposes) at the time of death will be included in the individual’s gross estate for U.S. federal estate tax purposes and may be subject to U.S. federal estate tax, unless an applicable estate tax treaty provides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Generally, we must report annually to the IRS and to each non-U.S. holder the amount of dividends paid to such holder and the amount of tax, if any, withheld with respect to such dividends. The IRS may make the information returns reporting such dividends and withholding available to the tax authorities in the country in which the non-U.S. holder is resident.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 non-U.S. holder may be subject to information reporting requirements and backup withholding tax with respect to dividends paid on, and the proceeds of disposition of (including a redemption), shares of our common stock, unless, generally, such holder certifies under penalties of perjury (usually on IRS Form W-8BEN) that such holder is not a United States person or such holder otherwise establishes an exemption from such reporting and withholding. Additional rules relating to information reporting requirements and backup withholding tax with respect to payments of the proceeds from the disposition of shares (including a redemption) of our common stock are as follows:</w:t>
      </w:r>
    </w:p>
    <w:p>
      <w:pPr>
        <w:spacing w:after="0" w:line="314" w:lineRule="exact"/>
        <w:rPr>
          <w:sz w:val="20"/>
          <w:szCs w:val="20"/>
          <w:color w:val="auto"/>
        </w:rPr>
      </w:pPr>
    </w:p>
    <w:p>
      <w:pPr>
        <w:jc w:val="both"/>
        <w:ind w:left="820" w:right="20" w:hanging="463"/>
        <w:spacing w:after="0" w:line="192" w:lineRule="auto"/>
        <w:tabs>
          <w:tab w:leader="none" w:pos="820" w:val="left"/>
        </w:tabs>
        <w:numPr>
          <w:ilvl w:val="0"/>
          <w:numId w:val="6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If the proceeds are paid to or through the United States office of a broker, they generally will be subject to information reporting requirements and backup withholding tax, unless the non-U.S. holder certifies under penalties of perjury (usually on IRS Form W-8BEN) that such holder is not a United States person or such holder otherwise establishes an exemption from such reporting and withholding.</w:t>
      </w:r>
    </w:p>
    <w:p>
      <w:pPr>
        <w:spacing w:after="0" w:line="200" w:lineRule="exact"/>
        <w:rPr>
          <w:rFonts w:ascii="Times New Roman" w:cs="Times New Roman" w:eastAsia="Times New Roman" w:hAnsi="Times New Roman"/>
          <w:sz w:val="35"/>
          <w:szCs w:val="35"/>
          <w:color w:val="auto"/>
          <w:vertAlign w:val="superscript"/>
        </w:rPr>
      </w:pPr>
    </w:p>
    <w:p>
      <w:pPr>
        <w:spacing w:after="0" w:line="207" w:lineRule="exact"/>
        <w:rPr>
          <w:rFonts w:ascii="Times New Roman" w:cs="Times New Roman" w:eastAsia="Times New Roman" w:hAnsi="Times New Roman"/>
          <w:sz w:val="35"/>
          <w:szCs w:val="35"/>
          <w:color w:val="auto"/>
          <w:vertAlign w:val="superscript"/>
        </w:rPr>
      </w:pPr>
    </w:p>
    <w:p>
      <w:pPr>
        <w:ind w:left="820" w:hanging="463"/>
        <w:spacing w:after="0" w:line="181" w:lineRule="auto"/>
        <w:tabs>
          <w:tab w:leader="none" w:pos="820" w:val="left"/>
        </w:tabs>
        <w:numPr>
          <w:ilvl w:val="0"/>
          <w:numId w:val="6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If the proceeds are paid to or through a non-United States office of a broker that is not a United States person and is not a foreign person with certain specified United States connections (a United States related person), information reporting and backup withholding tax will not apply.</w:t>
      </w:r>
    </w:p>
    <w:p>
      <w:pPr>
        <w:spacing w:after="0" w:line="200" w:lineRule="exact"/>
        <w:rPr>
          <w:rFonts w:ascii="Times New Roman" w:cs="Times New Roman" w:eastAsia="Times New Roman" w:hAnsi="Times New Roman"/>
          <w:sz w:val="34"/>
          <w:szCs w:val="34"/>
          <w:color w:val="auto"/>
          <w:vertAlign w:val="superscript"/>
        </w:rPr>
      </w:pPr>
    </w:p>
    <w:p>
      <w:pPr>
        <w:spacing w:after="0" w:line="206" w:lineRule="exact"/>
        <w:rPr>
          <w:rFonts w:ascii="Times New Roman" w:cs="Times New Roman" w:eastAsia="Times New Roman" w:hAnsi="Times New Roman"/>
          <w:sz w:val="34"/>
          <w:szCs w:val="34"/>
          <w:color w:val="auto"/>
          <w:vertAlign w:val="superscript"/>
        </w:rPr>
      </w:pPr>
    </w:p>
    <w:p>
      <w:pPr>
        <w:jc w:val="both"/>
        <w:ind w:left="820" w:hanging="463"/>
        <w:spacing w:after="0" w:line="192" w:lineRule="auto"/>
        <w:tabs>
          <w:tab w:leader="none" w:pos="820" w:val="left"/>
        </w:tabs>
        <w:numPr>
          <w:ilvl w:val="0"/>
          <w:numId w:val="6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If the proceeds are paid to or through a non-United States office of a broker that is a United States person or a United States related person, they generally will be subject to information reporting (but not to backup withholding tax), unless the broker has documentary evidence in its records that such holder is not a United States person or such holder otherwise establishes an exemption from such reporting.</w:t>
      </w:r>
    </w:p>
    <w:p>
      <w:pPr>
        <w:spacing w:after="0" w:line="32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tax rules may be allowed as a refund or a credit against a non-U.S. holder’s United States federal income tax liability, provided the required information is timely furnished by such holder to the IRS.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 under the Foreign Account Tax Compliance Act</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Foreign Account Tax Compliance Act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and administrative guidance, we or another withholding agent may be required to withhold a generally nonrefundable 30% tax on dividends paid after December 31, 2013 or the gross proceeds of a sale, exchange, redemption or other disposition of our common stock paid after December 31, 2016 to (i) certain “foreign financial institutions” unless such foreign financial institution agrees to verify, monitor and report to the IRS the identity of certain of its accountholders, among other things, and (ii) certain “non-financial foreign entities” unless such entity certifies to us that it does not have any substantial U.S. owners or provides the name, address and taxpayer identification number of each substantial U.S. owner, among other things. Non-U.S. holders are urged to consult their tax advisors regarding the application of this FATCA withholding tax to their investment in our common stock and the potential certification, compliance, due diligence, reporting and withholding obligations to which they may become subject in order to avoid this withholding tax.</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this Offering, there has a limited public market for shares of our common stock. Future sales of substantial amounts of shares of our common stock, including shares issued upon the exercise of outstanding options and warrants, in the public market after this Offering or the possibility of these sales occurring, could cause the prevailing market price for our common stock to fall or impair our ability to raise equity capital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completion of this Offering, based on the number of shares outstanding as of April 30, 2014, we will have ________ shares of common stock</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outstanding, assuming no exercise of outstanding options or warrants and no conversion of our preferred stock or convertible promissory notes. Of these outstanding shares, all ______ shares of common stock sold by us in this Offering will be freely tradable in the public market without restriction or further</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registration under the Securities Act, and 6,103,025 shares of common stock held by our affiliates, as that term is defined in Rule 144 under the Securities Act, and any shares purchased in this Offering by our existing shareholders and certain affiliates of us, certain existing stockholders and our directors, may only be sold in compliance with the limitations described below. The remaining ______ shares of common stock outstanding after this Offering will be deemed restricted because of securities laws.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22,072,990 shares of common stock that are subject to outstanding options and warrants as of April 30, 2014 will become eligible for sale in the public market to the extent permitted by the provisions of Rules 144 and 701 under the Securities Act and the vesting provisions of the options or warrants. “Restricted securities” as defined under Rule 144 were issued and sold by us in reliance on exemptions from registration requirements of the Securities Act. These shares may be sold in the public market only if registered or pursuant to an exemption from registration.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25" w:lineRule="exact"/>
        <w:rPr>
          <w:sz w:val="20"/>
          <w:szCs w:val="20"/>
          <w:color w:val="auto"/>
        </w:rPr>
      </w:pPr>
    </w:p>
    <w:p>
      <w:pPr>
        <w:ind w:left="700" w:hanging="403"/>
        <w:spacing w:after="0"/>
        <w:tabs>
          <w:tab w:leader="none" w:pos="700" w:val="left"/>
        </w:tabs>
        <w:numPr>
          <w:ilvl w:val="0"/>
          <w:numId w:val="69"/>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1% of the number of shares of common stock then outstanding, which will equal approximately 342,369 shares immediately after this Offering; or</w:t>
      </w:r>
    </w:p>
    <w:p>
      <w:pPr>
        <w:spacing w:after="0" w:line="298" w:lineRule="exact"/>
        <w:rPr>
          <w:rFonts w:ascii="Times New Roman" w:cs="Times New Roman" w:eastAsia="Times New Roman" w:hAnsi="Times New Roman"/>
          <w:sz w:val="35"/>
          <w:szCs w:val="35"/>
          <w:color w:val="auto"/>
          <w:vertAlign w:val="superscript"/>
        </w:rPr>
      </w:pPr>
    </w:p>
    <w:p>
      <w:pPr>
        <w:ind w:left="700" w:hanging="403"/>
        <w:spacing w:after="0" w:line="274"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during the four calendar weeks preceding the filing of a notice on Form 144 with respect to such sale.</w:t>
      </w:r>
    </w:p>
    <w:p>
      <w:pPr>
        <w:spacing w:after="0" w:line="1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options to purchase 4,227,357 shares of our common stock were outstanding.</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following this Offering, to register all of the shares of common stock subject to options outstanding or issued or reserved for issuance under our 1999 Plan and 2008 Plan. We expect to file this registration statement as soon as practicable after the effective date of this Offering. Shares covered by this registration statement will be eligible for sale in the public market, subject to any lock-up agreements we may enter into with option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warrants to purchase 17,845,633 shares of our common stock were outstanding.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up to ______ shares of our common stock on a self-underwritten basis.  The maximum Offering price is $____ per share. Funds from this</w:t>
      </w:r>
    </w:p>
    <w:p>
      <w:pPr>
        <w:spacing w:after="0" w:line="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Offering will not be placed in a separate bank account. We will have immediate use of the net proceeds. As a result, if we are sued for any reason and a judgment is rendered against us, your subscription could be seized in a garnishment proceeding and you could lose your investment. There are no finders involved in our distribution.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not have the right to withdraw your funds during the Offering.</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sell the shares in this Offering through our officers and directors. They will receive no commission from the sale of any shares. They will not register as a broker-dealer under Section 15 of the Exchange Act in reliance upon Rule 3a4-1. Rule 3a4-1 sets forth those conditions under which a person associated with an issuer may participate in the offering of the issuer’s securities and not be deemed to be a broker/dealer. The conditions are that:</w:t>
      </w:r>
    </w:p>
    <w:p>
      <w:pPr>
        <w:spacing w:after="0" w:line="176" w:lineRule="exact"/>
        <w:rPr>
          <w:sz w:val="20"/>
          <w:szCs w:val="20"/>
          <w:color w:val="auto"/>
        </w:rPr>
      </w:pPr>
    </w:p>
    <w:p>
      <w:pPr>
        <w:ind w:left="640" w:hanging="21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statutorily disqualified, as that term is defined in Section 3(a)(39) of the Securities Act, at the time of her participation;</w:t>
      </w:r>
    </w:p>
    <w:p>
      <w:pPr>
        <w:spacing w:after="0" w:line="217" w:lineRule="exact"/>
        <w:rPr>
          <w:rFonts w:ascii="Times New Roman" w:cs="Times New Roman" w:eastAsia="Times New Roman" w:hAnsi="Times New Roman"/>
          <w:sz w:val="18"/>
          <w:szCs w:val="18"/>
          <w:color w:val="auto"/>
        </w:rPr>
      </w:pPr>
    </w:p>
    <w:p>
      <w:pPr>
        <w:ind w:left="640" w:hanging="218"/>
        <w:spacing w:after="0" w:line="274"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compensated in connection with her participation by the payment of commissions or other remuneration based either directly or indirectly on transactions in securities;</w:t>
      </w:r>
    </w:p>
    <w:p>
      <w:pPr>
        <w:spacing w:after="0" w:line="163"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at the time of their participation, an associated person of a broker/dealer; and</w:t>
      </w:r>
    </w:p>
    <w:p>
      <w:pPr>
        <w:spacing w:after="0" w:line="217" w:lineRule="exact"/>
        <w:rPr>
          <w:rFonts w:ascii="Times New Roman" w:cs="Times New Roman" w:eastAsia="Times New Roman" w:hAnsi="Times New Roman"/>
          <w:sz w:val="18"/>
          <w:szCs w:val="18"/>
          <w:color w:val="auto"/>
        </w:rPr>
      </w:pPr>
    </w:p>
    <w:p>
      <w:pPr>
        <w:jc w:val="both"/>
        <w:ind w:left="640" w:hanging="218"/>
        <w:spacing w:after="0" w:line="255"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meets the conditions of Paragraph (a)(4)(ii) of Rule 3a4-1 of the Exchange Act, in that he (A) primarily performs, or is intended primarily to perform at the end of the Offering, substantial duties for or on behalf of the Issuer otherwise than in connection with transactions in securities; and (B) is not a broker or dealer, or an associated person of a broker or dealer, within the preceding twelve months; and (C) does not participate in selling and offering of securities for any Issuer more than once every twelve months other than in reliance on Paragraphs (a)(4)(i) or (a)(4)(iii).</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hereby confirm that our directors and officers are not statutorily disqualified, are not being compensated, and are not associated with a broker/dealer. They will continue to be our officers and directors at the end of the Offering and have not been, during the last twelve months a broker/dealer or associated with a broker/dealer. They will not participate in selling and offering securities for any issuer more than once every twelve months.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Only after our registration statement is declared effective by the SEC do we intend to advertise and hold investment meetings in various states where the Offering will be registered. Our officers and directors will also distribute the prospectus to potential investors at meetings, to business associates, and to friends and relatives who are interested in a possible investment in the Offering. No shares purchased in this Offering will be subject to a lock-up agreement.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reserve the right to sell the securities in this Offering though a placement agent, broker, dealer, finder, underwriter and/or wholesaler. We will provide an applicable prospectus supplement reflecting (i) the identity of any underwriter, dealer or agent, (ii) any compensation we will pay to underwriters, dealers or agents in connection with this Offering, (iii) any discounts, concessions or commissions allowed by underwriters to participating dealers, (iv) the amounts underwritten; and (v) the nature of the underwriter’s or underwriters’ obligation to take the securities.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officers and directors, who will promote the shares, is aware that he is required to comply with the provisions of Regulation M, promulgated under the Exchange Act. With certain exceptions, Regulation M precludes officers and/or directors, sales agents, any broker-dealers or other person who participate in the distribution of shares in this Offering from bidding for or purchasing, or attempting to induce any person to bid for or purchase any security which is the subject of the distribution until the entire distribution is complete.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Period and Expiration Date</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Offering will start on the date that this Registration Statement of which this prospectus is a part is declared effective by the SEC and continue for a period of 365 days, or sooner, if the Offering is completed or otherwise terminated by us.</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will not offer to sell through the use or medium of any prospectus or otherwise any security until the Registration Statement, of which this prospectus is a part, is declared effective by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Reject Subscriptions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the right to accept or reject subscriptions in whole or in part, for any reason or for no reason. All monies from rejected subscriptions will be returned immediately to the subscriber, without interest or deductions. Subscriptions for securities will be accepted or rejected within 48 hours after we receive them.</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will be approximately $90,800.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in electronic format may be made available on our website at www.vistagen.com.</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Prior to this Offering, there has been a limited public market for our common stock. We cannot assure investors that an active trading market will develop for our common stock, or that the shares will trade in the public market at or above the public offering price of the common stock in this Offering.</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prospectus does not constitute an offer to sell or a solicitation of an offer to buy any securities offered by this prospectus in any jurisdiction in which such an offer or a solicitation is unlawful.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Disclosure Law Group, San Diego, California, will pass upon the validity of the shares of common stock offered hereby. A partner of the Disclosure Law Group holds warrants to purchase 58,334 shares of our common stock.</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statements as of March 31, 2012 and 2013, and for the years then ended, included in this prospectus, have been audited by Odenberg, Ullakko, Muranishi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NAMED EXPERTS AND COUNSEL</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Registrant in connection with this registration statement. All amounts shown are estimates except for the SEC registration fee.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Filing fees</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2"/>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FINRA fees</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2"/>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2"/>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2"/>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2"/>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9"/>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2"/>
        </w:trPr>
        <w:tc>
          <w:tcPr>
            <w:tcW w:w="10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2"/>
        </w:trPr>
        <w:tc>
          <w:tcPr>
            <w:tcW w:w="1018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90,800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Officers and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officers and employees to the fullest extent permitted by the Nevada Revised Statutes (NRS).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May 2011, we have made the following sales of unregistered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 2014 Unit Private Placement</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April 30, 2014, we entered into securities purchase agreements with accredited investors pursuant to which we sold to such accredited investors units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consisting, in aggregate, of: (i) 10% convertible notes maturing on March 31, 2015 in the aggregate face amount of $500,000; (ii) an aggregate of 500,000 shares of our restricted common stock; and (iii) warrants exercisable through December 31, 2016 to purchase an aggregate of 500,000 restricted shares of our common stock at an exercise price of $0.50 per share. We received cash proceeds of $500,000 from the sale of the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License Settlement</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we issued to Icahn School of Medicine at Mount Sinai, the licensor of one of our technology licenses, (i) a 10% promissory note maturing on December 31, 2014 in the face amount of $300,000; (ii) 300,000 shares of our restricted common stock; and (iii) a warrant exercisable through March 31, 2019 to purchase an aggregate of 300,000 restricted shares of our common stock at an exercise price of $0.50 per share, in settlement of $288,400 of outstanding license fees and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Winter 2013/2014 Unit Private Placement: August 2013 – March 2014</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in the aggregate face amount of $1,007,500; (ii) an aggregate of 2,015,000 shares of our restricted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 June and October 2013</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June 2013 and October 2013, our Chief Executive Officer partially exercised a previously-outstanding warrant to purchase an aggregate of 60,000 shares of our restricted common stock at an exercise price of $0.64 per share and we received proceeds of $38,400 from his exercise.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Exercise of Warrants: June – July 2013</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June 2013, we offered certain accredited long-term warrant holders the opportunity to exercise outstanding warrants having an exercise price of $1.50 per share to purchase shares of our restricted common stock at a reduced exercise price of $0.50 per share. Through the closing of the offering in mid-July 2013, warrant holders exercised modified warrants to purchase an aggregate of 528,370 restricted shares of our common stock and we received cash proceeds of $264,185. In addition, certain accredited long-term warrant holders exercised modified warrants to purchase 16,646 shares of our restricted common stock in lieu of payment by us in satisfaction of amounts due for professional services in the aggregate amount of $8,323.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Autilion Financing: June 2013</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2013, we entered into a Securities Purchase Agreement (the “</w:t>
      </w:r>
      <w:r>
        <w:rPr>
          <w:rFonts w:ascii="Times New Roman" w:cs="Times New Roman" w:eastAsia="Times New Roman" w:hAnsi="Times New Roman"/>
          <w:sz w:val="18"/>
          <w:szCs w:val="18"/>
          <w:i w:val="1"/>
          <w:iCs w:val="1"/>
          <w:color w:val="auto"/>
        </w:rPr>
        <w:t>Autilion Agreement</w:t>
      </w:r>
      <w:r>
        <w:rPr>
          <w:rFonts w:ascii="Times New Roman" w:cs="Times New Roman" w:eastAsia="Times New Roman" w:hAnsi="Times New Roman"/>
          <w:sz w:val="18"/>
          <w:szCs w:val="18"/>
          <w:color w:val="auto"/>
        </w:rPr>
        <w:t>”) pursuant to which, as amended, we have agreed to sell, and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has agreed to purchase, 72.0 million restricted shares of our common stock for $0.50 per share resulting in aggregate gross proceeds to us of $36.0 million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Through the date of this prospectus, we have completed only a nominal initial closing of the Autilion Financing in which we have issued 50,000 restricted shares of our common stock and received $25,000 in cash proceeds.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Notes Issued to Platinum: July 2012 – July 2013</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 2012 and on August 31, 2012, we issued to Platinum Long Term Growth Fund VII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senior secured convertible promissory notes in the principal amount of $500,000 (the “</w:t>
      </w:r>
      <w:r>
        <w:rPr>
          <w:rFonts w:ascii="Times New Roman" w:cs="Times New Roman" w:eastAsia="Times New Roman" w:hAnsi="Times New Roman"/>
          <w:sz w:val="18"/>
          <w:szCs w:val="18"/>
          <w:i w:val="1"/>
          <w:iCs w:val="1"/>
          <w:color w:val="auto"/>
        </w:rPr>
        <w:t>July 2012 Platinum Note</w:t>
      </w:r>
      <w:r>
        <w:rPr>
          <w:rFonts w:ascii="Times New Roman" w:cs="Times New Roman" w:eastAsia="Times New Roman" w:hAnsi="Times New Roman"/>
          <w:sz w:val="18"/>
          <w:szCs w:val="18"/>
          <w:color w:val="auto"/>
        </w:rPr>
        <w:t>”) and $750,000 (the “</w:t>
      </w:r>
      <w:r>
        <w:rPr>
          <w:rFonts w:ascii="Times New Roman" w:cs="Times New Roman" w:eastAsia="Times New Roman" w:hAnsi="Times New Roman"/>
          <w:sz w:val="18"/>
          <w:szCs w:val="18"/>
          <w:i w:val="1"/>
          <w:iCs w:val="1"/>
          <w:color w:val="auto"/>
        </w:rPr>
        <w:t>August 2012 Platinum Note</w:t>
      </w:r>
      <w:r>
        <w:rPr>
          <w:rFonts w:ascii="Times New Roman" w:cs="Times New Roman" w:eastAsia="Times New Roman" w:hAnsi="Times New Roman"/>
          <w:sz w:val="18"/>
          <w:szCs w:val="18"/>
          <w:color w:val="auto"/>
        </w:rPr>
        <w:t>”), respectively. The July 2012 Platinum Note and the August 2012 Platinum Note each accrued interest at the rate of 10% per annum and were due and payable on July 2, 2015.</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11, 2012, we entered into a Note Exchange and Purchase Agreement with Platinum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in which the July 2012 Platinum Note and the August 2012 Platinum Note (together,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as well as the related accrued interest, were consolidated into and exchanged for a single senior secured convertible note in the amount of $1,272,600 (the “</w:t>
      </w:r>
      <w:r>
        <w:rPr>
          <w:rFonts w:ascii="Times New Roman" w:cs="Times New Roman" w:eastAsia="Times New Roman" w:hAnsi="Times New Roman"/>
          <w:sz w:val="18"/>
          <w:szCs w:val="18"/>
          <w:i w:val="1"/>
          <w:iCs w:val="1"/>
          <w:color w:val="auto"/>
        </w:rPr>
        <w:t>Exchange Note</w:t>
      </w:r>
      <w:r>
        <w:rPr>
          <w:rFonts w:ascii="Times New Roman" w:cs="Times New Roman" w:eastAsia="Times New Roman" w:hAnsi="Times New Roman"/>
          <w:sz w:val="18"/>
          <w:szCs w:val="18"/>
          <w:color w:val="auto"/>
        </w:rPr>
        <w:t>”) and Platinum agreed to purchase four additional 10% senior secured convertible promissory notes in the aggregate principal amount of $2.0 million ( the “</w:t>
      </w:r>
      <w:r>
        <w:rPr>
          <w:rFonts w:ascii="Times New Roman" w:cs="Times New Roman" w:eastAsia="Times New Roman" w:hAnsi="Times New Roman"/>
          <w:sz w:val="18"/>
          <w:szCs w:val="18"/>
          <w:i w:val="1"/>
          <w:iCs w:val="1"/>
          <w:color w:val="auto"/>
        </w:rPr>
        <w:t>Investment Notes</w:t>
      </w:r>
      <w:r>
        <w:rPr>
          <w:rFonts w:ascii="Times New Roman" w:cs="Times New Roman" w:eastAsia="Times New Roman" w:hAnsi="Times New Roman"/>
          <w:sz w:val="18"/>
          <w:szCs w:val="18"/>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November 14, 2012 and January 31, 2013, we entered into amendments to the October 2012 Agreement (the “</w:t>
      </w:r>
      <w:r>
        <w:rPr>
          <w:rFonts w:ascii="Times New Roman" w:cs="Times New Roman" w:eastAsia="Times New Roman" w:hAnsi="Times New Roman"/>
          <w:sz w:val="17"/>
          <w:szCs w:val="17"/>
          <w:i w:val="1"/>
          <w:iCs w:val="1"/>
          <w:color w:val="auto"/>
        </w:rPr>
        <w:t>NEPA Amendments</w:t>
      </w:r>
      <w:r>
        <w:rPr>
          <w:rFonts w:ascii="Times New Roman" w:cs="Times New Roman" w:eastAsia="Times New Roman" w:hAnsi="Times New Roman"/>
          <w:sz w:val="17"/>
          <w:szCs w:val="17"/>
          <w:color w:val="auto"/>
        </w:rPr>
        <w:t xml:space="preserve">”) with Platinum, pursuant to which the final two $500,000 tranches contemplated by the October 2012 Agreement were combined into a single Investment Note in the aggregate principal amount of $1.0 million (the </w:t>
      </w:r>
      <w:r>
        <w:rPr>
          <w:rFonts w:ascii="Times New Roman" w:cs="Times New Roman" w:eastAsia="Times New Roman" w:hAnsi="Times New Roman"/>
          <w:sz w:val="17"/>
          <w:szCs w:val="17"/>
          <w:i w:val="1"/>
          <w:iCs w:val="1"/>
          <w:color w:val="auto"/>
        </w:rPr>
        <w:t>“$1.0 Million Note</w:t>
      </w:r>
      <w:r>
        <w:rPr>
          <w:rFonts w:ascii="Times New Roman" w:cs="Times New Roman" w:eastAsia="Times New Roman" w:hAnsi="Times New Roman"/>
          <w:sz w:val="17"/>
          <w:szCs w:val="17"/>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(the “</w:t>
      </w:r>
      <w:r>
        <w:rPr>
          <w:rFonts w:ascii="Times New Roman" w:cs="Times New Roman" w:eastAsia="Times New Roman" w:hAnsi="Times New Roman"/>
          <w:sz w:val="17"/>
          <w:szCs w:val="17"/>
          <w:i w:val="1"/>
          <w:iCs w:val="1"/>
          <w:color w:val="auto"/>
        </w:rPr>
        <w:t>Additional Financing Requirement</w:t>
      </w:r>
      <w:r>
        <w:rPr>
          <w:rFonts w:ascii="Times New Roman" w:cs="Times New Roman" w:eastAsia="Times New Roman" w:hAnsi="Times New Roman"/>
          <w:sz w:val="17"/>
          <w:szCs w:val="17"/>
          <w:color w:val="auto"/>
        </w:rPr>
        <w:t>”). We satisfied the Additional Financing Requirement on February 12, 2013 (see 2012 Private Placement of Units, below). Effective February 22, 2013, we entered into an additional amendment to the October 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Exchange Note and each Investment Note (together,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accrue interest at a rate of 10% per annum and, subject to certain limitations and exceptions set forth in the Notes, unless converted earlier and voluntarily by Platinum, will be due and payable in restricted shares of our common stock on October 11, 2015, or three years from the date of issuance, as determined by the terms of the respective Investment Notes. At maturity, we will pay all principal and accrued interest under the Notes through the issuance of restricted shares of our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our common stock at a conversion price of $0.50 per share, subject to certain adjustments.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additional consideration for the purchase of the Investment Notes, we issued to Platinum warrants to purchase an aggregate of 2,000,000 shares of our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cs="Times New Roman" w:eastAsia="Times New Roman" w:hAnsi="Times New Roman"/>
          <w:sz w:val="18"/>
          <w:szCs w:val="18"/>
          <w:i w:val="1"/>
          <w:iCs w:val="1"/>
          <w:color w:val="auto"/>
        </w:rPr>
        <w:t>Investment Warrant</w:t>
      </w:r>
      <w:r>
        <w:rPr>
          <w:rFonts w:ascii="Times New Roman" w:cs="Times New Roman" w:eastAsia="Times New Roman" w:hAnsi="Times New Roman"/>
          <w:sz w:val="18"/>
          <w:szCs w:val="18"/>
          <w:color w:val="auto"/>
        </w:rPr>
        <w:t>”). In addition, we issued Platinum a warrant to purchase 1,272,577 shares of our common stock in connection with the issuance of the Exchange Note (the “</w:t>
      </w:r>
      <w:r>
        <w:rPr>
          <w:rFonts w:ascii="Times New Roman" w:cs="Times New Roman" w:eastAsia="Times New Roman" w:hAnsi="Times New Roman"/>
          <w:sz w:val="18"/>
          <w:szCs w:val="18"/>
          <w:i w:val="1"/>
          <w:iCs w:val="1"/>
          <w:color w:val="auto"/>
        </w:rPr>
        <w:t>Exchange Warrant</w:t>
      </w:r>
      <w:r>
        <w:rPr>
          <w:rFonts w:ascii="Times New Roman" w:cs="Times New Roman" w:eastAsia="Times New Roman" w:hAnsi="Times New Roman"/>
          <w:sz w:val="18"/>
          <w:szCs w:val="18"/>
          <w:color w:val="auto"/>
        </w:rPr>
        <w:t>”). At issuance, the Platinum Exchange Warrant and each Investment Warrant had a term of five years and an exercise price of $1.50 per share, subject to certain adjustments. We have subsequently reduced the exercise price of the Exchange and Investment Warrants to $0.50 per share.</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July 26, 2013, we issued an additional senior secured convertible promissory note in the principal amount of $250,000 to Platinum (the “</w:t>
      </w:r>
      <w:r>
        <w:rPr>
          <w:rFonts w:ascii="Times New Roman" w:cs="Times New Roman" w:eastAsia="Times New Roman" w:hAnsi="Times New Roman"/>
          <w:sz w:val="17"/>
          <w:szCs w:val="17"/>
          <w:i w:val="1"/>
          <w:iCs w:val="1"/>
          <w:color w:val="auto"/>
        </w:rPr>
        <w:t>July 2013 Note</w:t>
      </w:r>
      <w:r>
        <w:rPr>
          <w:rFonts w:ascii="Times New Roman" w:cs="Times New Roman" w:eastAsia="Times New Roman" w:hAnsi="Times New Roman"/>
          <w:sz w:val="17"/>
          <w:szCs w:val="17"/>
          <w:color w:val="auto"/>
        </w:rPr>
        <w:t>”).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Prior to maturity, the outstanding principal and any accrued interest on the July 2013 Note is convertible, in whole or in part, at Platinum’s option into shares of the Company’s restricted common stock at a conversion price of $0.50 per share, subject to certain adjustments. As additional consideration for the purchase of the July 2013 Note, we issued to Platinum a five-year warrant to purchase 250,000 restricted shares of our common stock at an exercise price of $0.50 per share (the “</w:t>
      </w:r>
      <w:r>
        <w:rPr>
          <w:rFonts w:ascii="Times New Roman" w:cs="Times New Roman" w:eastAsia="Times New Roman" w:hAnsi="Times New Roman"/>
          <w:sz w:val="17"/>
          <w:szCs w:val="17"/>
          <w:i w:val="1"/>
          <w:iCs w:val="1"/>
          <w:color w:val="auto"/>
        </w:rPr>
        <w:t>July 2013 Warrant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Private Placement of Units: September 2012 – March 2013</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Between September 2012 and March 2013, we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our common stock and a five year warrant to purchase one half of one restricted share of our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Convertible Notes and Warrants: February 2012</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28, 2012, we consummated a private placement of convertible promissory notes to accredited investors in the aggregate principal amount of $500,000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Each Note accrued interest at the rate of 12% per annum to be paid in kind quarterly, and was scheduled to mature on the earlier to occur of twenty-four months from the date of issuance or consummation of an equity, equity-based or series of equity-based financings resulting in gross proceeds to us of at least $4.0 million (a “</w:t>
      </w:r>
      <w:r>
        <w:rPr>
          <w:rFonts w:ascii="Times New Roman" w:cs="Times New Roman" w:eastAsia="Times New Roman" w:hAnsi="Times New Roman"/>
          <w:sz w:val="18"/>
          <w:szCs w:val="18"/>
          <w:i w:val="1"/>
          <w:iCs w:val="1"/>
          <w:color w:val="auto"/>
        </w:rPr>
        <w:t>Qualified Financing</w:t>
      </w:r>
      <w:r>
        <w:rPr>
          <w:rFonts w:ascii="Times New Roman" w:cs="Times New Roman" w:eastAsia="Times New Roman" w:hAnsi="Times New Roman"/>
          <w:sz w:val="18"/>
          <w:szCs w:val="18"/>
          <w:color w:val="auto"/>
        </w:rPr>
        <w:t>”). The holder of each Note could voluntarily convert the outstanding principal amount of the Notes, together with all accrued and unpaid interest thereon (“</w:t>
      </w:r>
      <w:r>
        <w:rPr>
          <w:rFonts w:ascii="Times New Roman" w:cs="Times New Roman" w:eastAsia="Times New Roman" w:hAnsi="Times New Roman"/>
          <w:sz w:val="18"/>
          <w:szCs w:val="18"/>
          <w:i w:val="1"/>
          <w:iCs w:val="1"/>
          <w:color w:val="auto"/>
        </w:rPr>
        <w:t>Outstanding Balance</w:t>
      </w:r>
      <w:r>
        <w:rPr>
          <w:rFonts w:ascii="Times New Roman" w:cs="Times New Roman" w:eastAsia="Times New Roman" w:hAnsi="Times New Roman"/>
          <w:sz w:val="18"/>
          <w:szCs w:val="18"/>
          <w:color w:val="auto"/>
        </w:rPr>
        <w:t>”) into that number of shares of our common stock equal to the Outstanding Balance, divided by $3.00 (the "</w:t>
      </w:r>
      <w:r>
        <w:rPr>
          <w:rFonts w:ascii="Times New Roman" w:cs="Times New Roman" w:eastAsia="Times New Roman" w:hAnsi="Times New Roman"/>
          <w:sz w:val="18"/>
          <w:szCs w:val="18"/>
          <w:i w:val="1"/>
          <w:iCs w:val="1"/>
          <w:color w:val="auto"/>
        </w:rPr>
        <w:t>Conversion Shares</w:t>
      </w:r>
      <w:r>
        <w:rPr>
          <w:rFonts w:ascii="Times New Roman" w:cs="Times New Roman" w:eastAsia="Times New Roman" w:hAnsi="Times New Roman"/>
          <w:sz w:val="18"/>
          <w:szCs w:val="18"/>
          <w:color w:val="auto"/>
        </w:rPr>
        <w:t>"). In addition, in the event we consummated a Qualified Financing in which the price per unit of the securities sold, or share of common stock issuable in connection with such Qualified Financing, was at least $2.00, the Outstanding Balance would automatically convert into such securities.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issued to the purchaser of each Note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Financial Capital Markets served as the lead placement agent for us in connection with the Note Offering and received cash fees totaling $21,000.</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15, 2012, the holders of the February 2012 Notes entered into an Exchange Agreement with us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Under the terms of the Exchange Agreement, the current amount due under the terms of the February 2012 Notes, $678,600, which amount included all accrued interest as well as additional consideration for the conversion, was exchanged for a total of 1,357,281 restricted shares of our common stock and five-year warrants to purchase 678,641 restricted shares of our common stock at an exercise price of $1.50 per share (the “</w:t>
      </w:r>
      <w:r>
        <w:rPr>
          <w:rFonts w:ascii="Times New Roman" w:cs="Times New Roman" w:eastAsia="Times New Roman" w:hAnsi="Times New Roman"/>
          <w:sz w:val="18"/>
          <w:szCs w:val="18"/>
          <w:i w:val="1"/>
          <w:iCs w:val="1"/>
          <w:color w:val="auto"/>
        </w:rPr>
        <w:t>Note Exchange Securities</w:t>
      </w:r>
      <w:r>
        <w:rPr>
          <w:rFonts w:ascii="Times New Roman" w:cs="Times New Roman" w:eastAsia="Times New Roman" w:hAnsi="Times New Roman"/>
          <w:sz w:val="18"/>
          <w:szCs w:val="18"/>
          <w:color w:val="auto"/>
        </w:rPr>
        <w:t>”). Additionally, we issued a five-year warrant to purchase 72,000 restricted shares of our common stock at an exercise price of $1.50 per share as partial compensation to Noble Financial Capital Markets, the investment bank that had placed certain of the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2011 Private Placement</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October 2011, we completed an additional private placement of Units to accredited investors. Each Unit was priced at $1.75 and consisted of one share of our common stock and a three-year warrant to purchase one-fourth of one share of our common stock at an exercise price of $2.50 per share. We sold a total of 63,570 Units and received aggregate cash proceeds of $111,248.</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Discounted Warrant Exercise Program: October – December 2011</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quarter ended December 31, 2011, certain accredited investors who were holders of outstanding warrants exercised such warrants to purchase an aggregate of 3,121,259 shares of our common stock at reduced exercise prices, including warrants to purchase 1,599,858 shares of common stock exercised by Platinum under the terms of the Note and Warrant Exchange Agreement, as described in Note 8 to our audited Financial Statements presented elsewhere in this prospectus. Platinum exercised warrants at reduced prices ranging from $0.75 per share to $1.25 per share, compared to original exercise prices ranging from $1.50 per share to $2.50 per share, resulting in proceeds to us of $1,719,823 which we applied to reduce the outstanding balance of the Platinum Note and accrued interest under the terms of the Note and Exchange Agreement.</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investors and service providers exercised warrants to purchase an aggregate of 1,028,860 shares of our common stock at reduced exercise prices ranging from $0.75 per share to $1.31 per share, compared to original exercise prices ranging from $1.50 per share to $2.625 per share. In conjunction with these exercises, we:</w:t>
      </w:r>
    </w:p>
    <w:p>
      <w:pPr>
        <w:spacing w:after="0" w:line="202" w:lineRule="exact"/>
        <w:rPr>
          <w:sz w:val="20"/>
          <w:szCs w:val="20"/>
          <w:color w:val="auto"/>
        </w:rPr>
      </w:pPr>
    </w:p>
    <w:p>
      <w:pPr>
        <w:ind w:left="800" w:hanging="418"/>
        <w:spacing w:after="0"/>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965,734 shares of our common stock and received cash proceeds of $1,106,129;</w:t>
      </w:r>
    </w:p>
    <w:p>
      <w:pPr>
        <w:spacing w:after="0" w:line="217" w:lineRule="exact"/>
        <w:rPr>
          <w:rFonts w:ascii="Times New Roman" w:cs="Times New Roman" w:eastAsia="Times New Roman" w:hAnsi="Times New Roman"/>
          <w:sz w:val="18"/>
          <w:szCs w:val="18"/>
          <w:color w:val="auto"/>
        </w:rPr>
      </w:pPr>
    </w:p>
    <w:p>
      <w:pPr>
        <w:ind w:left="800" w:hanging="418"/>
        <w:spacing w:after="0" w:line="274"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29,426 shares of our common stock to warrant holders who elected to exercise their warrants in lieu of payment by us in satisfaction of outstanding indebtedness to such holders totaling an aggregate of $30,128; and</w:t>
      </w:r>
    </w:p>
    <w:p>
      <w:pPr>
        <w:spacing w:after="0" w:line="163" w:lineRule="exact"/>
        <w:rPr>
          <w:rFonts w:ascii="Times New Roman" w:cs="Times New Roman" w:eastAsia="Times New Roman" w:hAnsi="Times New Roman"/>
          <w:sz w:val="18"/>
          <w:szCs w:val="18"/>
          <w:color w:val="auto"/>
        </w:rPr>
      </w:pPr>
    </w:p>
    <w:p>
      <w:pPr>
        <w:ind w:left="800" w:hanging="418"/>
        <w:spacing w:after="0" w:line="274"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33,700 shares of our common stock to warrant holders who elected to exercise their warrants in lieu of payment by us in satisfaction of payment for services in the aggregate amount of $41,343 to be performed in the future by such holders.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in December 2011, we entered into an Agreement Regarding Payment of Invoices and Warrant Exercises with 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and certain individual warrant holders affiliated with CHC and CRL (collectively, “</w:t>
      </w:r>
      <w:r>
        <w:rPr>
          <w:rFonts w:ascii="Times New Roman" w:cs="Times New Roman" w:eastAsia="Times New Roman" w:hAnsi="Times New Roman"/>
          <w:sz w:val="18"/>
          <w:szCs w:val="18"/>
          <w:i w:val="1"/>
          <w:iCs w:val="1"/>
          <w:color w:val="auto"/>
        </w:rPr>
        <w:t>CHC Affiliates</w:t>
      </w:r>
      <w:r>
        <w:rPr>
          <w:rFonts w:ascii="Times New Roman" w:cs="Times New Roman" w:eastAsia="Times New Roman" w:hAnsi="Times New Roman"/>
          <w:sz w:val="18"/>
          <w:szCs w:val="18"/>
          <w:color w:val="auto"/>
        </w:rPr>
        <w:t>”) under the terms of which CHC and the CHC Affiliates exercised warrants to purchase an aggregate of 492,541 shares of our common stock at reduced exercise prices ranging from $0.88 per share to $1.25 per share, compared to original exercise prices ranging from $1.75 per share to $2.50 per share. As a result of these warrant exercises, we received cash proceeds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2011 Common Stock Exchange Agreement with Platinum</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2011, we entered into a Common Stock Exchange Agreement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Platinum, pursuant to which Platinum converted 484,000 restricted shares of our common stock into 45,980 restricted shares of our then newly created Series A Preferred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Each restricted share of Series A Preferred issued to Platinum was then convertible into ten restricted shares of our common stock, subsequently modified to be convertible into thirty (30) shares of our common stock. In consideration for the Exchange, the Series A Preferred received by Platinum in connection with the Exchange was convertible into the equivalent of 0.95 restricted shares of common stock surrendered in connection with the Exchange.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2011 Note and Warrant Exchange Agreement with Platinum</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29, 2011, we entered into a Note and Warrant Exchange Agreement with Platinum pursuant to which the May 2011 Platinum Note and all outstanding warrants issued to Platinum to purchase an aggregate of 1,599,858 restricted shares of our common stock were cancelled in exchange for 391,075 restricted shares of our newly-created Series A Preferred . Each share of Series A Preferred was initially convertible into ten shares of our common stock. We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We issued an additional 159,985 restricted shares of Series A Preferred to Platinum in connection with the warrant exercise and exchange to acquire the common shares issued upon the warrant exercise.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Exchange Agreement with Platinum</w:t>
      </w:r>
    </w:p>
    <w:p>
      <w:pPr>
        <w:spacing w:after="0" w:line="2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June 29, 2012, we entered into an Exchange Agreement with Platinum (the “</w:t>
      </w:r>
      <w:r>
        <w:rPr>
          <w:rFonts w:ascii="Times New Roman" w:cs="Times New Roman" w:eastAsia="Times New Roman" w:hAnsi="Times New Roman"/>
          <w:sz w:val="17"/>
          <w:szCs w:val="17"/>
          <w:i w:val="1"/>
          <w:iCs w:val="1"/>
          <w:color w:val="auto"/>
        </w:rPr>
        <w:t>2012 Platinum Exchange Agreement</w:t>
      </w:r>
      <w:r>
        <w:rPr>
          <w:rFonts w:ascii="Times New Roman" w:cs="Times New Roman" w:eastAsia="Times New Roman" w:hAnsi="Times New Roman"/>
          <w:sz w:val="17"/>
          <w:szCs w:val="17"/>
          <w:color w:val="auto"/>
        </w:rPr>
        <w:t>”) pursuant to which we agreed to issue Platinum 62,945 restricted shares of Series A Preferred in exchange for 629,450 restricted shares of common stock then owned by Platinum, in consideration for Platinum’s agreement to purchase from us the July 2012 Platinum Note, as described above in the section entitled “</w:t>
      </w:r>
      <w:r>
        <w:rPr>
          <w:rFonts w:ascii="Times New Roman" w:cs="Times New Roman" w:eastAsia="Times New Roman" w:hAnsi="Times New Roman"/>
          <w:sz w:val="17"/>
          <w:szCs w:val="17"/>
          <w:i w:val="1"/>
          <w:iCs w:val="1"/>
          <w:color w:val="auto"/>
        </w:rPr>
        <w:t>Senior Secured Convertible Promissory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Issued to Platinum: July 2012 – July 2013. </w:t>
      </w:r>
      <w:r>
        <w:rPr>
          <w:rFonts w:ascii="Times New Roman" w:cs="Times New Roman" w:eastAsia="Times New Roman" w:hAnsi="Times New Roman"/>
          <w:sz w:val="17"/>
          <w:szCs w:val="17"/>
          <w:color w:val="auto"/>
        </w:rPr>
        <w:t>Under the terms of the 2012 Platinum Exchange Agreement, Platinum, at its option, could have exchanged all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 of its Series A Preferred for the securities issued in connection with a qualified financing, an equity or equity-based financing, or series of financing transactions resulting in gross proceeds to the Company of at least $3.0 million, based on the stated value of $15.00 per share of Series A Preferred.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Morrison &amp; Foerster: May 2011, restructured August 2012</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2011, we amended a previously-outstanding note (“</w:t>
      </w:r>
      <w:r>
        <w:rPr>
          <w:rFonts w:ascii="Times New Roman" w:cs="Times New Roman" w:eastAsia="Times New Roman" w:hAnsi="Times New Roman"/>
          <w:sz w:val="18"/>
          <w:szCs w:val="18"/>
          <w:i w:val="1"/>
          <w:iCs w:val="1"/>
          <w:color w:val="auto"/>
        </w:rPr>
        <w:t>Original Note</w:t>
      </w:r>
      <w:r>
        <w:rPr>
          <w:rFonts w:ascii="Times New Roman" w:cs="Times New Roman" w:eastAsia="Times New Roman" w:hAnsi="Times New Roman"/>
          <w:sz w:val="18"/>
          <w:szCs w:val="18"/>
          <w:color w:val="auto"/>
        </w:rPr>
        <w:t>”) issued to Morrison &amp; Foerster LLP (“</w:t>
      </w:r>
      <w:r>
        <w:rPr>
          <w:rFonts w:ascii="Times New Roman" w:cs="Times New Roman" w:eastAsia="Times New Roman" w:hAnsi="Times New Roman"/>
          <w:sz w:val="18"/>
          <w:szCs w:val="18"/>
          <w:i w:val="1"/>
          <w:iCs w:val="1"/>
          <w:color w:val="auto"/>
        </w:rPr>
        <w:t>Morrison &amp; Foerster</w:t>
      </w:r>
      <w:r>
        <w:rPr>
          <w:rFonts w:ascii="Times New Roman" w:cs="Times New Roman" w:eastAsia="Times New Roman" w:hAnsi="Times New Roman"/>
          <w:sz w:val="18"/>
          <w:szCs w:val="18"/>
          <w:color w:val="auto"/>
        </w:rPr>
        <w:t>”), our intellectual property counsel, that we had issued in payment of legal services (the “</w:t>
      </w:r>
      <w:r>
        <w:rPr>
          <w:rFonts w:ascii="Times New Roman" w:cs="Times New Roman" w:eastAsia="Times New Roman" w:hAnsi="Times New Roman"/>
          <w:sz w:val="18"/>
          <w:szCs w:val="18"/>
          <w:i w:val="1"/>
          <w:iCs w:val="1"/>
          <w:color w:val="auto"/>
        </w:rPr>
        <w:t>Amended Note</w:t>
      </w:r>
      <w:r>
        <w:rPr>
          <w:rFonts w:ascii="Times New Roman" w:cs="Times New Roman" w:eastAsia="Times New Roman" w:hAnsi="Times New Roman"/>
          <w:sz w:val="18"/>
          <w:szCs w:val="18"/>
          <w:color w:val="auto"/>
        </w:rPr>
        <w:t>”)). Under the Amended Note, the principal balance of the Original Note was increased to $2,200,000, interest accrued at the rate of 7.5% per annum, and we were required to make an additional payment of $100,000 within three business days of the date of the Amended Note, which we made in a timely manner.</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August 31, 2012, we restructured the Amended Note (“</w:t>
      </w:r>
      <w:r>
        <w:rPr>
          <w:rFonts w:ascii="Times New Roman" w:cs="Times New Roman" w:eastAsia="Times New Roman" w:hAnsi="Times New Roman"/>
          <w:sz w:val="17"/>
          <w:szCs w:val="17"/>
          <w:i w:val="1"/>
          <w:iCs w:val="1"/>
          <w:color w:val="auto"/>
        </w:rPr>
        <w:t>Restructuring Agreement</w:t>
      </w:r>
      <w:r>
        <w:rPr>
          <w:rFonts w:ascii="Times New Roman" w:cs="Times New Roman" w:eastAsia="Times New Roman" w:hAnsi="Times New Roman"/>
          <w:sz w:val="17"/>
          <w:szCs w:val="17"/>
          <w:color w:val="auto"/>
        </w:rPr>
        <w:t>”). Pursuant to the Restructuring Agreement, we issued to Morrison &amp; Foerster two new unsecured promissory notes to replace the Amended Note, one in the principal amount of $1,000,000 (“</w:t>
      </w:r>
      <w:r>
        <w:rPr>
          <w:rFonts w:ascii="Times New Roman" w:cs="Times New Roman" w:eastAsia="Times New Roman" w:hAnsi="Times New Roman"/>
          <w:sz w:val="17"/>
          <w:szCs w:val="17"/>
          <w:i w:val="1"/>
          <w:iCs w:val="1"/>
          <w:color w:val="auto"/>
        </w:rPr>
        <w:t>Replacement Note A</w:t>
      </w:r>
      <w:r>
        <w:rPr>
          <w:rFonts w:ascii="Times New Roman" w:cs="Times New Roman" w:eastAsia="Times New Roman" w:hAnsi="Times New Roman"/>
          <w:sz w:val="17"/>
          <w:szCs w:val="17"/>
          <w:color w:val="auto"/>
        </w:rPr>
        <w:t>”) and the other in the principal amount of $1,379,400 (“</w:t>
      </w:r>
      <w:r>
        <w:rPr>
          <w:rFonts w:ascii="Times New Roman" w:cs="Times New Roman" w:eastAsia="Times New Roman" w:hAnsi="Times New Roman"/>
          <w:sz w:val="17"/>
          <w:szCs w:val="17"/>
          <w:i w:val="1"/>
          <w:iCs w:val="1"/>
          <w:color w:val="auto"/>
        </w:rPr>
        <w:t>Replacement Note B</w:t>
      </w:r>
      <w:r>
        <w:rPr>
          <w:rFonts w:ascii="Times New Roman" w:cs="Times New Roman" w:eastAsia="Times New Roman" w:hAnsi="Times New Roman"/>
          <w:sz w:val="17"/>
          <w:szCs w:val="17"/>
          <w:color w:val="auto"/>
        </w:rPr>
        <w:t>”) (together, the “</w:t>
      </w:r>
      <w:r>
        <w:rPr>
          <w:rFonts w:ascii="Times New Roman" w:cs="Times New Roman" w:eastAsia="Times New Roman" w:hAnsi="Times New Roman"/>
          <w:sz w:val="17"/>
          <w:szCs w:val="17"/>
          <w:i w:val="1"/>
          <w:iCs w:val="1"/>
          <w:color w:val="auto"/>
        </w:rPr>
        <w:t>Replacement Notes</w:t>
      </w:r>
      <w:r>
        <w:rPr>
          <w:rFonts w:ascii="Times New Roman" w:cs="Times New Roman" w:eastAsia="Times New Roman" w:hAnsi="Times New Roman"/>
          <w:sz w:val="17"/>
          <w:szCs w:val="17"/>
          <w:color w:val="auto"/>
        </w:rPr>
        <w:t>”); amended an outstanding warrant to purchase 425,000 restricted shares of our common stock (the “</w:t>
      </w:r>
      <w:r>
        <w:rPr>
          <w:rFonts w:ascii="Times New Roman" w:cs="Times New Roman" w:eastAsia="Times New Roman" w:hAnsi="Times New Roman"/>
          <w:sz w:val="17"/>
          <w:szCs w:val="17"/>
          <w:i w:val="1"/>
          <w:iCs w:val="1"/>
          <w:color w:val="auto"/>
        </w:rPr>
        <w:t>Amended M&amp;F Warrant”</w:t>
      </w:r>
      <w:r>
        <w:rPr>
          <w:rFonts w:ascii="Times New Roman" w:cs="Times New Roman" w:eastAsia="Times New Roman" w:hAnsi="Times New Roman"/>
          <w:sz w:val="17"/>
          <w:szCs w:val="17"/>
          <w:color w:val="auto"/>
        </w:rPr>
        <w:t>); and issued a new warrant to purchase 1,379,376 restricted shares of our common stock (“</w:t>
      </w:r>
      <w:r>
        <w:rPr>
          <w:rFonts w:ascii="Times New Roman" w:cs="Times New Roman" w:eastAsia="Times New Roman" w:hAnsi="Times New Roman"/>
          <w:sz w:val="17"/>
          <w:szCs w:val="17"/>
          <w:i w:val="1"/>
          <w:iCs w:val="1"/>
          <w:color w:val="auto"/>
        </w:rPr>
        <w:t>New M&amp;F Warrant</w:t>
      </w:r>
      <w:r>
        <w:rPr>
          <w:rFonts w:ascii="Times New Roman" w:cs="Times New Roman" w:eastAsia="Times New Roman" w:hAnsi="Times New Roman"/>
          <w:sz w:val="17"/>
          <w:szCs w:val="17"/>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we have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As of the date of this prospectus, the aggregate principal and accrued interest of Replacement Note A and Replacement Note B is approximately $2.5 million.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University Health Network (UHN): October 2012</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Times New Roman" w:cs="Times New Roman" w:eastAsia="Times New Roman" w:hAnsi="Times New Roman"/>
          <w:sz w:val="18"/>
          <w:szCs w:val="18"/>
          <w:i w:val="1"/>
          <w:iCs w:val="1"/>
          <w:color w:val="auto"/>
        </w:rPr>
        <w:t>UHN Note</w:t>
      </w:r>
      <w:r>
        <w:rPr>
          <w:rFonts w:ascii="Times New Roman" w:cs="Times New Roman" w:eastAsia="Times New Roman" w:hAnsi="Times New Roman"/>
          <w:sz w:val="18"/>
          <w:szCs w:val="18"/>
          <w:color w:val="auto"/>
        </w:rPr>
        <w:t>”), and (ii) a five-year warrant to purchase, at a price of $1.00 per share, 549,500 restricted shares of our common stock, the amount equal to the sum of the principal amount of the UHN Note, plus all accrued interest thereon, divided by $1.00 per share (the “</w:t>
      </w:r>
      <w:r>
        <w:rPr>
          <w:rFonts w:ascii="Times New Roman" w:cs="Times New Roman" w:eastAsia="Times New Roman" w:hAnsi="Times New Roman"/>
          <w:sz w:val="18"/>
          <w:szCs w:val="18"/>
          <w:i w:val="1"/>
          <w:iCs w:val="1"/>
          <w:color w:val="auto"/>
        </w:rPr>
        <w:t>UHN Warrant</w:t>
      </w:r>
      <w:r>
        <w:rPr>
          <w:rFonts w:ascii="Times New Roman" w:cs="Times New Roman" w:eastAsia="Times New Roman" w:hAnsi="Times New Roman"/>
          <w:sz w:val="18"/>
          <w:szCs w:val="18"/>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As of the date of this prospectus, the aggregate principal and accrued interest of the UHN Note is approximately $0.6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Holding Company: April 2011, Restructured October 2012</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2011, all amounts we owed to CHC, a related party, and its affiliates, were consolidated into a single note, in the principal amount of $352,300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10, 2012, we agreed with CHC to cancel the 2011 CHC Note in exchange for a new unsecured promissory note in the principal amount of $310,400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shares of our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The 2012 CHC Note accrues interest at a rate of 7.5% per annum and is due and payable in monthly installments of $10,000, beginning November 1, 2012 and continuing until the outstanding balance is paid in full. As of the date of this prospectus, the aggregate principal and accrued interest of the 2012 CHC Note is approximately $0.3 million.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Research Ltd: October 2012</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October 10, 2012, we issued to CLR, a related party: (i) an unsecured promissory note in the initial principal amount of $1,009,000, which is payable solely in restricted shares of our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w:t>
      </w:r>
      <w:r>
        <w:rPr>
          <w:rFonts w:ascii="Times New Roman" w:cs="Times New Roman" w:eastAsia="Times New Roman" w:hAnsi="Times New Roman"/>
          <w:sz w:val="18"/>
          <w:szCs w:val="18"/>
          <w:i w:val="1"/>
          <w:iCs w:val="1"/>
          <w:color w:val="auto"/>
        </w:rPr>
        <w:t>CRO Services</w:t>
      </w:r>
      <w:r>
        <w:rPr>
          <w:rFonts w:ascii="Times New Roman" w:cs="Times New Roman" w:eastAsia="Times New Roman" w:hAnsi="Times New Roman"/>
          <w:sz w:val="18"/>
          <w:szCs w:val="18"/>
          <w:color w:val="auto"/>
        </w:rPr>
        <w:t>”) rendered by CRL to us and our affiliates through December 31, 2012 with respect to the preclinical and clinical development of AV-101, and (ii) a five-year warrant to purchase, at a price of $1.00 per share, 1,009,000 restricted shares of our common stock, the amount equal to the sum of the principal amount of the CRL Note, plus all accrued interest thereon, divided by $1.00 per share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The principal amount of the CRL Note may, at our option, be automatically increased as a result of future CRO Services rendered by CRL to us and our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As of the date of this prospectus, the aggregate principal and accrued interest of the CRL Note is approximately $1.1 million.</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Proceeds from each of the offerings were used for general corporate purposes. All of the above sales were made in reliance on Section 4(2)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Exhibits</w:t>
            </w:r>
          </w:p>
        </w:tc>
        <w:tc>
          <w:tcPr>
            <w:tcW w:w="10420" w:type="dxa"/>
            <w:vAlign w:val="bottom"/>
          </w:tcPr>
          <w:p>
            <w:pPr>
              <w:spacing w:after="0"/>
              <w:rPr>
                <w:sz w:val="20"/>
                <w:szCs w:val="20"/>
                <w:color w:val="auto"/>
              </w:rPr>
            </w:pPr>
          </w:p>
        </w:tc>
      </w:tr>
      <w:tr>
        <w:trPr>
          <w:trHeight w:val="4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420" w:type="dxa"/>
            <w:vAlign w:val="bottom"/>
          </w:tcPr>
          <w:p>
            <w:pPr>
              <w:spacing w:after="0"/>
              <w:rPr>
                <w:sz w:val="24"/>
                <w:szCs w:val="24"/>
                <w:color w:val="auto"/>
              </w:rPr>
            </w:pPr>
          </w:p>
        </w:tc>
      </w:tr>
      <w:tr>
        <w:trPr>
          <w:trHeight w:val="23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12"/>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 *</w:t>
            </w:r>
          </w:p>
        </w:tc>
        <w:tc>
          <w:tcPr>
            <w:tcW w:w="10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by and among Excaliber Enterprises, Ltd., VistaGen Therapeutics, Inc. and Excaliber Merger Subsidiary, Inc.</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 1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Articles of Incorporation</w:t>
            </w:r>
          </w:p>
        </w:tc>
      </w:tr>
      <w:tr>
        <w:trPr>
          <w:trHeight w:val="194"/>
        </w:trPr>
        <w:tc>
          <w:tcPr>
            <w:tcW w:w="20" w:type="dxa"/>
            <w:vAlign w:val="bottom"/>
          </w:tcPr>
          <w:p>
            <w:pPr>
              <w:spacing w:after="0"/>
              <w:rPr>
                <w:sz w:val="16"/>
                <w:szCs w:val="16"/>
                <w:color w:val="auto"/>
              </w:rPr>
            </w:pPr>
          </w:p>
        </w:tc>
        <w:tc>
          <w:tcPr>
            <w:tcW w:w="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3. 2 *</w:t>
            </w:r>
          </w:p>
        </w:tc>
        <w:tc>
          <w:tcPr>
            <w:tcW w:w="104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8"/>
              </w:rPr>
              <w:t>Amended and Restated Bylaws as of February 5, 2014, incorporated by reference from the Company’s Report on Form 8-K filed on February 7,</w:t>
            </w:r>
          </w:p>
        </w:tc>
      </w:tr>
      <w:tr>
        <w:trPr>
          <w:trHeight w:val="231"/>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2014.</w:t>
            </w:r>
          </w:p>
        </w:tc>
      </w:tr>
      <w:tr>
        <w:trPr>
          <w:trHeight w:val="194"/>
        </w:trPr>
        <w:tc>
          <w:tcPr>
            <w:tcW w:w="20" w:type="dxa"/>
            <w:vAlign w:val="bottom"/>
          </w:tcPr>
          <w:p>
            <w:pPr>
              <w:spacing w:after="0"/>
              <w:rPr>
                <w:sz w:val="16"/>
                <w:szCs w:val="16"/>
                <w:color w:val="auto"/>
              </w:rPr>
            </w:pPr>
          </w:p>
        </w:tc>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104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Certificate of Designations Series A Preferred, incorporated by reference from the Company’s Current Report on Form 8-K/A filed on</w:t>
            </w:r>
          </w:p>
        </w:tc>
      </w:tr>
      <w:tr>
        <w:trPr>
          <w:trHeight w:val="23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22, 2011.</w:t>
            </w:r>
          </w:p>
        </w:tc>
      </w:tr>
      <w:tr>
        <w:trPr>
          <w:trHeight w:val="194"/>
        </w:trPr>
        <w:tc>
          <w:tcPr>
            <w:tcW w:w="20" w:type="dxa"/>
            <w:vAlign w:val="bottom"/>
          </w:tcPr>
          <w:p>
            <w:pPr>
              <w:spacing w:after="0"/>
              <w:rPr>
                <w:sz w:val="16"/>
                <w:szCs w:val="16"/>
                <w:color w:val="auto"/>
              </w:rPr>
            </w:pPr>
          </w:p>
        </w:tc>
        <w:tc>
          <w:tcPr>
            <w:tcW w:w="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4.1 *</w:t>
            </w:r>
          </w:p>
        </w:tc>
        <w:tc>
          <w:tcPr>
            <w:tcW w:w="104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Fourth Amended and Restated Investors’ Rights Agreement, dated August 1, 2005, by and among VistaGen and certain (former) holders of</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of VistaGen, as amended by that certain Amendment No. 1 to Fourth Amended and Restated Investors’ Rights Agreement,</w:t>
            </w:r>
          </w:p>
        </w:tc>
      </w:tr>
      <w:tr>
        <w:trPr>
          <w:trHeight w:val="231"/>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dated July 10, 2010.</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the Disclosure Law Group (to be filed by amendment).</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VistaGen’s 1999 Stock Incentive Plan.</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Option Agreement under VistaGen’s 1999 Stock Incentive Plan.</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VistaGen’s Scientific Advisory Board 1998 Stock Incentive Plan.</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Option Agreement under VistaGen’s Scientific Advisory Board 1998 Stock Incentive Plan.</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VistaGen’s 2008 Stock Incentive Plan.</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Option Agreement under VistaGen’s 2008 Stock Incentive Plan.</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October 30, 2009, by and between VistaGen and Cato BioVentures.</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April 27, 2011, by and between VistaGen and Cato BioVentures.</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November 5, 2009, by and between VistaGen and Platinum Long Term Growth Fund.</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December 2, 2009, by and between VistaGen and University Health Network.</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April 25, 2011, by and between VistaGen and University Health Network.</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w w:val="98"/>
              </w:rPr>
              <w:t>Table of Contents</w:t>
            </w:r>
          </w:p>
        </w:tc>
        <w:tc>
          <w:tcPr>
            <w:tcW w:w="10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1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Subscription Agreement, dated May 11, 2011, by and between VistaGen and certain investors.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10.18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Industrial Lease, dated March 5, 2007, by and between Oyster Point LLC and VistaGen, as amended by that certain First Amendment to Lease,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as of April 24, 2009, and as further amended by that certain Second Amendment o Lease, dated as of October 19, 2010, and that certain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Lease, dated as of April 1,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10.19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Study Agreement, dated April 15, 2010, by and between VistaGen and Progressive Medical Concepts, LLC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Development Services Agreement, dated February 26, 2007, by and between VistaGen and Cato Research Ltd.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10.21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License Agreement by and between National Jewish Medical and Research Center and VistaGen, dated July 12, 1999, as amended by that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certain Amendment to License Agreement dated January 25, 2001, as amended by that certain Second Amendment to License Agreement 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6, 2002, as amended by that certain Third Amendment to License Agreement dated March 1, 2003, and as amended by that certain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Amendment to License Agreement dated April 15, 2010.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10.23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10.24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Sponsored Research Collaboration Agreement, dated September 18, 2007, between VistaGen and University Health Network, as amended 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certain Amendment No. 1, Amendment No. 2 and Amendment No. 3 dated April 19, 2010, December 15, 2010 and April, 25, 2011,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10.25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Agreement, dated Feb 12, 2010, by and between VistaGen and The Regents of the University of California.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10.26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License Agreement, dated October 24, 2001, by and between the University of Maryland, Baltimore, Cornell Research Foundation and Artemis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Neuroscience, Inc.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10.27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Non-exclusive License Agreement, dated September 1, 2010, by and between VistaGen and TET Systems GmbH &amp; Co. KG.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10.28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Amended and Restated Senior Convertible Promissory Bridge Note dated June 19, 2007 issued by VistaGen to Platinum Long Term Growth</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 LLC.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10.29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Second Amended and Restated Letter Loan Agreement dated May 16, 2008, by and between VistaGen and Platinum Long Term Growth VII,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LLC, as amended by that certain Amendment No. 1 to Second Amended and Restated Letter Loan Agreement dated October 16 2009, as further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by that certain Amendment to Letter Loan Agreement dated May 5,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dated April 29, 2011 issued by VistaGen to Cato Holding 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10.31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Desjardins Securities.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10.32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McCarthy Tetrault LLP.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10.33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Morrison &amp; Foerster LLP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10.34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dated February 25, 2010 issued by VistaGen to The Regents of the University of California.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10.35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Note and Warrant Purchase Agreement dated August 4, 2010, by and between VistaGen and certain investors, as amended by that certain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1 to Note and Warrant Purchase Agreement, dated November 10, 2010.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10.36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Conversion Agreement, dated April 29, 2011, by and among VistaGen and certain holders of unsecured promissory notes issued pursuant to that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Note and Warrant Purchase Agreement, dated August 4, 2010, by and between VistaGen and such note holders.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10.37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Agreement regarding Conversion of Unsecured Promissory Note, dated April 29, 2011, by and between VistaGen and The Dillon Family Trust.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601(a)(4) of Reg S-K would seem to indicate we need to file Letter Agreement of Sept 7, 2011 and subsequent agreement regarding</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extension of term.</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II-10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EE"/>
                <w:w w:val="98"/>
              </w:rPr>
              <w:t>Table of Contents</w:t>
            </w:r>
          </w:p>
        </w:tc>
        <w:tc>
          <w:tcPr>
            <w:tcW w:w="10280" w:type="dxa"/>
            <w:vAlign w:val="bottom"/>
          </w:tcPr>
          <w:p>
            <w:pPr>
              <w:spacing w:after="0"/>
              <w:rPr>
                <w:sz w:val="16"/>
                <w:szCs w:val="16"/>
                <w:color w:val="auto"/>
              </w:rPr>
            </w:pPr>
          </w:p>
        </w:tc>
      </w:tr>
      <w:tr>
        <w:trPr>
          <w:trHeight w:val="452"/>
        </w:trPr>
        <w:tc>
          <w:tcPr>
            <w:tcW w:w="11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10.38 *</w:t>
            </w:r>
          </w:p>
        </w:tc>
        <w:tc>
          <w:tcPr>
            <w:tcW w:w="2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 and Warrant Purchase Agreement dated August 13, 2006, by and between VistaGen and certain investors, as amended by that</w:t>
            </w: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certain Amendment No. 1 to Senior Convertible Bridge Note and Warrant Purchase Agreement dated January 31, 2007, as further amended by</w:t>
            </w: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that certain Amendment No. 2 to Senior Convertible Bridge Note and Warrant Purchase Agreement dated June 11, 2007, as further amended 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certain Omnibus Amendment dated April 28, 2011 .</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10.39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Senior Note and Warrant Purchase Agreement dated May 16, 2008, by and between VistaGen and certain investors, as amended by that certain</w:t>
            </w:r>
          </w:p>
        </w:tc>
      </w:tr>
      <w:tr>
        <w:trPr>
          <w:trHeight w:val="212"/>
        </w:trPr>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1 to Senior Convertible Bridge Note and Warrant Purchase Agreement dated November 2, 2009, as further amended by that</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Omnibus Amendment dated April 28, 2011.</w:t>
            </w:r>
          </w:p>
        </w:tc>
      </w:tr>
      <w:tr>
        <w:trPr>
          <w:trHeight w:val="2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10.40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VistaGen and Shawn K. Singh, dated April 28, 2010, as amended May 9, 2011.</w:t>
            </w:r>
          </w:p>
        </w:tc>
      </w:tr>
      <w:tr>
        <w:trPr>
          <w:trHeight w:val="212"/>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10.41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VistaGen and H. Ralph Snodgrass, PhD, dated April 28, 2010, as amended May 9,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10.43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Agreement Regarding Sale of Shares of Common Stock dated May 9, 2011 by and between Excaliber and Stephanie Y. Jones, whereby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Excaliber purchased from Mrs. Jones 4,982,103 shares of Excaliber common stock for $10.</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10.44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Agreement Regarding Sale of Shares of Common Stock dated May 9, 2011 by and between Excaliber and Nicole Jones, whereby Excaliber</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from Nicole Jones 82,104 shares of Excaliber common stock for $10.</w:t>
            </w:r>
          </w:p>
        </w:tc>
      </w:tr>
      <w:tr>
        <w:trPr>
          <w:trHeight w:val="2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10.45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May 11, 2011 by and between Excaliber, Platinum Long Term Growth VII, LLC and VistaGen</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Notice of Award by National Institutes of Health, Small Business Innovation Research Program, to VistaGen Therapeutics, Inc. for project,</w:t>
            </w:r>
          </w:p>
        </w:tc>
      </w:tr>
      <w:tr>
        <w:trPr>
          <w:trHeight w:val="212"/>
        </w:trPr>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Clinical Development of 4-CI-KYN to Treat Pain dated June 22, 2009, with revisions dated July 19, 2010 and August 9, 2011, incorporated by</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from the Company’s Current Report on Form 8-K/A filed on December 20,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Notice of Grant Award by California Institute of Regenerative Medicine and VistaGen Therapeutics, Inc. for Project: Development of an hES</w:t>
            </w: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Cell-Based Assay System for Hepatocyte Differentiation Studies and Predictive Toxicology Drug Screening, dated April 1, 2009, incorporated</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from the Company’s Current Report on Form 8-K/A filed on December 20, 2011.</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10.48</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7"/>
              </w:rPr>
              <w:t>Amendment No. 4, dated October 24, 2011, to Sponsored Research Collaboration Agreement between VistaGen and University Health Network,</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8-K/A filed on November 30,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License Agreement No. 1, dated as of October 24, 2011 between University Health Network and VistaGen Therapeutics, Inc., incorporated 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from the Company’s Current Report on Form 8-K/A filed on November 30, 2011.</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10.50</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Strategic Medicinal Chemistry Services Agreement, dated as of December 6, 2011, between Synterys, Inc. and VistaGen Therapeutics, Inc.,</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8-K/A filed on December 7,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Exchange Agreement, dated as of December 22, 2011 between Platinum Long Term Growth VII, LLC and VistaGen</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Therapeutics, Inc., incorporated by reference from the Company’s Current Report on Form 8-K/A filed on December 23, 2011.</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10.52</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Note and Warrant Exchange Agreement, dated as of December 28, 2011 between Platinum Long Term Growth VII, LLC and VistaGen</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Therapeutics, Inc., incorporated by reference from the Current Report on Form 8-K/A filed on January 4, 2012.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Convertible Note and Warrant Purchase Agreement, dated as of February 28, 2012, by and between VistaGen and certain investors,</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Current Report on Form 8-K/A filed on March 2, 2012.</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10.54</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Form of Convertible Promissory Note, dated as of February 28, 2012, incorporated by reference from the Company’s Current Report on Form 8-</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 filed on March 2, 2012.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Form of Warrant to Purchase Common Stock, dated as of February 28, 2012, incorporated by reference from the Company’s Current Report on</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8-K/A filed on March 2, 2012.</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10.56</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Registration Rights Agreement, dated as of February 28, 2012, by and between VistaGen and certain investors, incorporated by</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from the Company’s Current Report on Form 8-K/A filed on March 2, 2012.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License Agreement No. 2, dated as of March 19, 2012 between University Health Network and VistaGen Therapeutics, Inc., incorporated 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from the Company’s Annual Report on Form 10-K filed on July 2, 2012.</w:t>
            </w:r>
          </w:p>
        </w:tc>
      </w:tr>
      <w:tr>
        <w:trPr>
          <w:trHeight w:val="5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II-11</w:t>
            </w:r>
          </w:p>
        </w:tc>
      </w:tr>
      <w:tr>
        <w:trPr>
          <w:trHeight w:val="115"/>
        </w:trPr>
        <w:tc>
          <w:tcPr>
            <w:tcW w:w="1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3"/>
              </w:rPr>
              <w:t>10.58</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Exchange Agreement dated as of June 29, 2012 between Platinum Long Term Growth VII, LLC and VistaGen Therapeutics. Inc., incorporated</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by reference from the Company’s Annual Report on Form 10-K filed on July 2,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10.59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Secured Convertible Promissory Note, Dated as of July 2, 2012, issued to Platinum Long Term Growth VII, LLC.,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Annual Report on Form 10-K filed on July 2,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Security Agreement between Platinum Long Term Growth VII, LLC and VistaGen Therapeutics. Inc., dated as of July 2, 2012, incorporated by</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reference from the Company’s Annual Report on Form 10-K filed on July 2,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Secured Convertible Promissory Note, Dated as of August 30, 2012, issued to Platinum Long Term Growth VII, LLC., incorporated by</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from the Company’s Current Report on Form 8-K filed on September 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Amendment to Security Agreement between Platinum Long Term Growth VII, LLC and VistaGen Therapeutics. Inc.as of August 30, 2012,</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September 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Unsecured Promissory Note in the face amount of $1,000,000 issued to Morrison &amp; Foerster LLP on August 31, 2012 (Replacement Note A),</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September 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Unsecured Promissory Note in the face amount of $1,379,376 issued to Morrison &amp; Foerster LLP on August 31, 2012 (Replacement Note B),</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September 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10.65</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Stock Purchase Warrant issued to Morrison &amp; Foerster LLP on August 31, 2012 to purchase 1,379,376 shares of the Company’s common stock</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(New Morrison &amp; Foerster Warrant), incorporated by reference from the Company’s Current Report on Form 8-K filed on September 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10.66</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Warrant to Purchase Common Stock issued to Morrison &amp; Foerster LLP on August 31, 2012 to purchase 425,000 shares of the Company’s</w:t>
            </w:r>
          </w:p>
        </w:tc>
      </w:tr>
      <w:tr>
        <w:trPr>
          <w:trHeight w:val="212"/>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 (Amended Morrison &amp; Foerster Warrant), incorporated by reference from the Company’s Current Report on Form 8-K filed on</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10.67</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Note Exchange and Purchase Agreement dated as of October 11, 2012 by and between VistaGen Therapeutics, Inc. and Platinum Long Term</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October 16,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10.68</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Form of Senior Secured Convertible Promissory Note issued to Platinum Long Term Growth VII, LLP under the Note Exchange and Purchase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Agreement, incorporated by reference from the Company’s Current Report on Form 8-K filed on October 16,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Form of Warrant to Purchase Shares of Common Stock issued to Platinum Long Term Growth VII, LLP under the Note Exchange and Purchase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incorporated by reference from the Company’s Current Report on Form 8-K filed on October 16,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Amended and Restated Security Agreement as of October 11, 2012 between VistaGen Therapeutics, Inc. and Platinum Long Term Growth VII,</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LLP, incorporated by reference from the Company’s Current Report on Form 8-K filed on October 16,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Intellectual Property Security and Stock Pledge Agreement as of October 11, 2012 between VistaGen California and Platinum Long Term</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October 16,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Negative Covenant Agreement dated October 11, 2012 between VistaGen California, Artemis Neuroscience, Inc. and Platinum Long Term</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October 16,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7"/>
              </w:rPr>
              <w:t>Amendment to Note Exchange and Purchase Agreement as of November 14, 2012 between VistaGen Therapeutics Inc. and Platinum Long Term</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November 20,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Form of Note Exchange Agreement between VistaGen Therapeutics, Inc. and Holders of the Company’s Promissory Notes dated February 28,</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2012, incorporated by reference from the Company’s Current Report on Form 8-K filed on November 20,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10.75</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Amendment No. 2 to Note Exchange and Purchase Agreement as of January 31, 2013 between VistaGen Therapeutics Inc. and Platinum Long</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Growth VII, LLP, incorporated by reference from the Company’s Quarterly Report on Form 10-Q filed on February 14, 2013.</w:t>
            </w:r>
          </w:p>
        </w:tc>
      </w:tr>
      <w:tr>
        <w:trPr>
          <w:trHeight w:val="597"/>
        </w:trPr>
        <w:tc>
          <w:tcPr>
            <w:tcW w:w="780" w:type="dxa"/>
            <w:vAlign w:val="bottom"/>
          </w:tcPr>
          <w:p>
            <w:pPr>
              <w:spacing w:after="0"/>
              <w:rPr>
                <w:sz w:val="24"/>
                <w:szCs w:val="24"/>
                <w:color w:val="auto"/>
              </w:rPr>
            </w:pPr>
          </w:p>
        </w:tc>
        <w:tc>
          <w:tcPr>
            <w:tcW w:w="106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II-12</w:t>
            </w:r>
          </w:p>
        </w:tc>
      </w:tr>
      <w:tr>
        <w:trPr>
          <w:trHeight w:val="115"/>
        </w:trPr>
        <w:tc>
          <w:tcPr>
            <w:tcW w:w="78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3"/>
              </w:rPr>
              <w:t>10.76</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Amendment No. 3 to Note Exchange and Purchase Agreement as of February 22, 2013 between VistaGen Therapeutics Inc. and Platinum Long</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Growth VII, LLP, incorporated by reference from the Company’s Current Report on Form 8-K filed on February 28,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10.77</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Form of Warrant to Purchase Common Stock issued to independent members of the Company’s Board of Directors and its executive officers on</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 2013, incorporated by reference from the Company’s Current Report on Form 8-K filed on March 6,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10.78</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Securities Purchase Agreement between VistaGen Therapeutics, Inc., and Autilion AG dated April 8, 2013,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April 10,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Voting Agreement between VistaGen Therapeutics, Inc., and Autilion AG dated April 8, 2013, incorporated by reference from the Company’s</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Report on Form 8-K filed on April 10,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Note Conversion Agreement as of April 4, 2013 between VistaGen Therapeutics Inc. and Platinum Long Term Growth VII, LLP, incorporated</w:t>
            </w:r>
          </w:p>
        </w:tc>
      </w:tr>
      <w:tr>
        <w:trPr>
          <w:trHeight w:val="212"/>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by reference from the Company’s Current Report on Form 8-K filed on April 10, 2013, incorporated by reference from the Company’s Annual</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Assignment and Assumption Agreement between Autilion AG and Bergamo Acquisition Corp. PTE LTD dated April 12, 2013, incorporated by</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from the Company’s 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Amendment No. 1 to Securities Purchase Agreement dated April 30, 2013 between VistaGen Therapeutics, Inc. and Bergamo Acquisition Corp.</w:t>
            </w:r>
          </w:p>
        </w:tc>
      </w:tr>
      <w:tr>
        <w:trPr>
          <w:trHeight w:val="212"/>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PTE LTD, incorporated by reference from the Company’s Current Report on Form 8-K filed on May 1, 2013,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Lease between Bayside Area Development, LLC and VistaGen Therapeutics, Inc. (California) dated April 24, 2013,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Jon S. Saxe, incorporated by reference from the Company’s</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10.85</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Indemnification Agreement effective May 20, 2013 between the Company and Shawn K. Singh, incorporated by reference from the Company’s</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10.86</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H. Ralph Snodgrass,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10.87</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Brian J. Underdown, incorporated by reference from the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10.88</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Jerrold D. Dotson,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Amendment and Waiver effective May 24, 2013 between the Company and Platinum Long Term Growth VII, LLC,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Current Report on Form 8-K filed on June 3,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Amendment No 2 to Securities Purchase Agreement dated June 27, 2013 between the Company, Autilion AG and Bergamo Acquisition Corp.</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PTE LTD, incorporated by reference from the Company’s Current Report on Form 8-K filed on June 28,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Senior Secured Convertible Promissory Note, dated July 26, 2013 issued to Platinum Long Term Growth VII, LLP,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Current Report on Form 8-K filed on August 2,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Common Stock Warrant, dated July 26, 2013 issued to Platinum Long Term Growth VII, LLP, incorporated by reference from the Company’s</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Report on Form 8-K filed on August 2,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Form of Unit Subscription Agreement between the Company and investors in the Spring 2014 Unit Private Placement dated April 1, 2014,</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April 8, 2014.</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Form of Subordinate Convertible Promissory Note between the Company and investors in the Spring 2014 Unit Private Placement dated April</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 2014, incorporated by reference from the Company’s Current Report on Form 8-K filed on April 8, 2014.</w:t>
            </w:r>
          </w:p>
        </w:tc>
      </w:tr>
      <w:tr>
        <w:trPr>
          <w:trHeight w:val="598"/>
        </w:trPr>
        <w:tc>
          <w:tcPr>
            <w:tcW w:w="780" w:type="dxa"/>
            <w:vAlign w:val="bottom"/>
          </w:tcPr>
          <w:p>
            <w:pPr>
              <w:spacing w:after="0"/>
              <w:rPr>
                <w:sz w:val="24"/>
                <w:szCs w:val="24"/>
                <w:color w:val="auto"/>
              </w:rPr>
            </w:pPr>
          </w:p>
        </w:tc>
        <w:tc>
          <w:tcPr>
            <w:tcW w:w="106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II-13</w:t>
            </w:r>
          </w:p>
        </w:tc>
      </w:tr>
      <w:tr>
        <w:trPr>
          <w:trHeight w:val="115"/>
        </w:trPr>
        <w:tc>
          <w:tcPr>
            <w:tcW w:w="78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EE"/>
                <w:w w:val="98"/>
              </w:rPr>
              <w:t>Table of Contents</w:t>
            </w:r>
          </w:p>
        </w:tc>
        <w:tc>
          <w:tcPr>
            <w:tcW w:w="10280" w:type="dxa"/>
            <w:vAlign w:val="bottom"/>
          </w:tcPr>
          <w:p>
            <w:pPr>
              <w:spacing w:after="0"/>
              <w:rPr>
                <w:sz w:val="16"/>
                <w:szCs w:val="16"/>
                <w:color w:val="auto"/>
              </w:rPr>
            </w:pPr>
          </w:p>
        </w:tc>
      </w:tr>
      <w:tr>
        <w:trPr>
          <w:trHeight w:val="452"/>
        </w:trPr>
        <w:tc>
          <w:tcPr>
            <w:tcW w:w="11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Form of Common Stock Purchase Warrant between the Company and investors in the Spring 2014 Unit Private Placement dated April 1, 2014,</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April 8, 2014.</w:t>
            </w:r>
          </w:p>
        </w:tc>
      </w:tr>
      <w:tr>
        <w:trPr>
          <w:trHeight w:val="212"/>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regarding change in certifying accountant.</w:t>
            </w:r>
          </w:p>
        </w:tc>
      </w:tr>
      <w:tr>
        <w:trPr>
          <w:trHeight w:val="2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12"/>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Consent of OUM, LLP, independent registered public accounting firm (filed herewith)</w:t>
            </w: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signature page to this registration statement)</w:t>
            </w:r>
          </w:p>
        </w:tc>
      </w:tr>
    </w:tbl>
    <w:p>
      <w:pPr>
        <w:spacing w:after="0" w:line="174" w:lineRule="exact"/>
        <w:rPr>
          <w:sz w:val="20"/>
          <w:szCs w:val="20"/>
          <w:color w:val="auto"/>
        </w:rPr>
      </w:pPr>
    </w:p>
    <w:p>
      <w:pPr>
        <w:ind w:left="5540" w:right="2820" w:hanging="5534"/>
        <w:spacing w:after="0" w:line="720" w:lineRule="auto"/>
        <w:tabs>
          <w:tab w:leader="none" w:pos="1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like-numbered exhibit filed with our Current Report on Form 8-K on May 16, 2011. 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financial schedules have been omitted because they are not applicable or the information is included in the Registrant’s financial statements or related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44" w:lineRule="exact"/>
        <w:rPr>
          <w:sz w:val="20"/>
          <w:szCs w:val="20"/>
          <w:color w:val="auto"/>
        </w:rPr>
      </w:pPr>
    </w:p>
    <w:p>
      <w:pPr>
        <w:ind w:left="260" w:hanging="254"/>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4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l0 (a)(3) of the Securities Act:</w:t>
      </w:r>
    </w:p>
    <w:p>
      <w:pPr>
        <w:spacing w:after="0" w:line="244" w:lineRule="exact"/>
        <w:rPr>
          <w:sz w:val="20"/>
          <w:szCs w:val="20"/>
          <w:color w:val="auto"/>
        </w:rPr>
      </w:pPr>
    </w:p>
    <w:p>
      <w:pPr>
        <w:jc w:val="both"/>
        <w:ind w:firstLine="6"/>
        <w:spacing w:after="0" w:line="253" w:lineRule="auto"/>
        <w:tabs>
          <w:tab w:leader="none" w:pos="2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8" w:lineRule="exact"/>
        <w:rPr>
          <w:rFonts w:ascii="Times New Roman" w:cs="Times New Roman" w:eastAsia="Times New Roman" w:hAnsi="Times New Roman"/>
          <w:sz w:val="18"/>
          <w:szCs w:val="18"/>
          <w:color w:val="auto"/>
        </w:rPr>
      </w:pPr>
    </w:p>
    <w:p>
      <w:pPr>
        <w:ind w:firstLine="6"/>
        <w:spacing w:after="0" w:line="274" w:lineRule="auto"/>
        <w:tabs>
          <w:tab w:leader="none" w:pos="3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0" w:lineRule="exact"/>
        <w:rPr>
          <w:sz w:val="20"/>
          <w:szCs w:val="20"/>
          <w:color w:val="auto"/>
        </w:rPr>
      </w:pPr>
    </w:p>
    <w:p>
      <w:pPr>
        <w:jc w:val="both"/>
        <w:ind w:firstLine="6"/>
        <w:spacing w:after="0" w:line="260" w:lineRule="auto"/>
        <w:tabs>
          <w:tab w:leader="none" w:pos="2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that remain unsold at the termination of the offering.</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l933 (the “</w:t>
      </w:r>
      <w:r>
        <w:rPr>
          <w:rFonts w:ascii="Times New Roman" w:cs="Times New Roman" w:eastAsia="Times New Roman" w:hAnsi="Times New Roman"/>
          <w:sz w:val="17"/>
          <w:szCs w:val="17"/>
          <w:i w:val="1"/>
          <w:iCs w:val="1"/>
          <w:color w:val="auto"/>
        </w:rPr>
        <w:t>Act</w:t>
      </w:r>
      <w:r>
        <w:rPr>
          <w:rFonts w:ascii="Times New Roman" w:cs="Times New Roman" w:eastAsia="Times New Roman" w:hAnsi="Times New Roman"/>
          <w:sz w:val="17"/>
          <w:szCs w:val="17"/>
          <w:color w:val="auto"/>
        </w:rPr>
        <w: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260" w:hanging="254"/>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4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Registrant is relying on Rule 430B:</w:t>
      </w:r>
    </w:p>
    <w:p>
      <w:pPr>
        <w:spacing w:after="0" w:line="244" w:lineRule="exact"/>
        <w:rPr>
          <w:sz w:val="20"/>
          <w:szCs w:val="20"/>
          <w:color w:val="auto"/>
        </w:rPr>
      </w:pPr>
    </w:p>
    <w:p>
      <w:pPr>
        <w:ind w:firstLine="6"/>
        <w:spacing w:after="0" w:line="274" w:lineRule="auto"/>
        <w:tabs>
          <w:tab w:leader="none" w:pos="29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0" w:lineRule="exact"/>
        <w:rPr>
          <w:rFonts w:ascii="Times New Roman" w:cs="Times New Roman" w:eastAsia="Times New Roman" w:hAnsi="Times New Roman"/>
          <w:sz w:val="18"/>
          <w:szCs w:val="18"/>
          <w:color w:val="auto"/>
        </w:rPr>
      </w:pPr>
    </w:p>
    <w:p>
      <w:pPr>
        <w:jc w:val="both"/>
        <w:ind w:firstLine="6"/>
        <w:spacing w:after="0" w:line="249" w:lineRule="auto"/>
        <w:tabs>
          <w:tab w:leader="none" w:pos="2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13" w:lineRule="exact"/>
        <w:rPr>
          <w:sz w:val="20"/>
          <w:szCs w:val="20"/>
          <w:color w:val="auto"/>
        </w:rPr>
      </w:pPr>
    </w:p>
    <w:p>
      <w:pPr>
        <w:jc w:val="both"/>
        <w:ind w:firstLine="6"/>
        <w:spacing w:after="0" w:line="269" w:lineRule="auto"/>
        <w:tabs>
          <w:tab w:leader="none" w:pos="26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That, for the purpose of determining liability of the Registrant under the Securities Act of 1933 to any purchaser in the initial distribution of the securities:</w:t>
      </w:r>
    </w:p>
    <w:p>
      <w:pPr>
        <w:spacing w:after="0" w:line="244"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sz w:val="20"/>
          <w:szCs w:val="20"/>
          <w:color w:val="auto"/>
        </w:rPr>
      </w:pPr>
    </w:p>
    <w:p>
      <w:pPr>
        <w:ind w:left="860" w:hanging="218"/>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4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Registrant;</w:t>
      </w:r>
    </w:p>
    <w:p>
      <w:pPr>
        <w:spacing w:after="0" w:line="224" w:lineRule="exact"/>
        <w:rPr>
          <w:rFonts w:ascii="Times New Roman" w:cs="Times New Roman" w:eastAsia="Times New Roman" w:hAnsi="Times New Roman"/>
          <w:sz w:val="17"/>
          <w:szCs w:val="17"/>
          <w:color w:val="auto"/>
        </w:rPr>
      </w:pPr>
    </w:p>
    <w:p>
      <w:pPr>
        <w:ind w:firstLine="642"/>
        <w:spacing w:after="0" w:line="274" w:lineRule="auto"/>
        <w:tabs>
          <w:tab w:leader="none" w:pos="96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0" w:lineRule="exact"/>
        <w:rPr>
          <w:rFonts w:ascii="Times New Roman" w:cs="Times New Roman" w:eastAsia="Times New Roman" w:hAnsi="Times New Roman"/>
          <w:sz w:val="18"/>
          <w:szCs w:val="18"/>
          <w:color w:val="auto"/>
        </w:rPr>
      </w:pPr>
    </w:p>
    <w:p>
      <w:pPr>
        <w:ind w:left="940" w:hanging="298"/>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l933, the registrant has duly caused this Registration Statement to be signed on its behalf by the undersigned, thereunto duly authorized, in the City of South San Francisco, California on the 12th day of May 2014.</w:t>
      </w:r>
    </w:p>
    <w:p>
      <w:pPr>
        <w:spacing w:after="0" w:line="1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Shawn K. Singh, JD</w:t>
      </w:r>
    </w:p>
    <w:p>
      <w:pPr>
        <w:spacing w:after="0" w:line="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each person whose signature appears below hereby constitutes and appoints Shawn K. Singh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true and lawful attorney-in-fact and agent, with full power of substitution and re-substitution, for him and in his name, place and stead, in any and all capacities, to sign any and all amendments to this Registration Statement, and any additional related registration statement filed pursuant to Rule 462(b) under the Securities Act of 1933, as amended (including post-effective amendments to the registration statement and any such related registration statements),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l933, this Registration Statement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Signature</w:t>
            </w:r>
          </w:p>
        </w:tc>
        <w:tc>
          <w:tcPr>
            <w:tcW w:w="2580" w:type="dxa"/>
            <w:vAlign w:val="bottom"/>
          </w:tcPr>
          <w:p>
            <w:pPr>
              <w:spacing w:after="0"/>
              <w:rPr>
                <w:sz w:val="17"/>
                <w:szCs w:val="17"/>
                <w:color w:val="auto"/>
              </w:rPr>
            </w:pPr>
          </w:p>
        </w:tc>
        <w:tc>
          <w:tcPr>
            <w:tcW w:w="244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color w:val="auto"/>
                <w:w w:val="93"/>
              </w:rPr>
              <w:t>Title</w:t>
            </w:r>
          </w:p>
        </w:tc>
        <w:tc>
          <w:tcPr>
            <w:tcW w:w="1360" w:type="dxa"/>
            <w:vAlign w:val="bottom"/>
          </w:tcPr>
          <w:p>
            <w:pPr>
              <w:spacing w:after="0"/>
              <w:rPr>
                <w:sz w:val="17"/>
                <w:szCs w:val="17"/>
                <w:color w:val="auto"/>
              </w:rPr>
            </w:pPr>
          </w:p>
        </w:tc>
        <w:tc>
          <w:tcPr>
            <w:tcW w:w="2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4"/>
              </w:rPr>
              <w:t>Date</w:t>
            </w:r>
          </w:p>
        </w:tc>
      </w:tr>
      <w:tr>
        <w:trPr>
          <w:trHeight w:val="20"/>
        </w:trPr>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04"/>
        </w:trPr>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w w:val="97"/>
              </w:rPr>
              <w:t>/s/ Shawn K. Singh, JD</w:t>
            </w:r>
          </w:p>
        </w:tc>
        <w:tc>
          <w:tcPr>
            <w:tcW w:w="1340" w:type="dxa"/>
            <w:vAlign w:val="bottom"/>
            <w:gridSpan w:val="3"/>
          </w:tcPr>
          <w:p>
            <w:pPr>
              <w:spacing w:after="0"/>
              <w:rPr>
                <w:sz w:val="24"/>
                <w:szCs w:val="24"/>
                <w:color w:val="auto"/>
              </w:rPr>
            </w:pP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12, 2014</w:t>
            </w:r>
          </w:p>
        </w:tc>
      </w:tr>
      <w:tr>
        <w:trPr>
          <w:trHeight w:val="233"/>
        </w:trPr>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84"/>
        </w:trPr>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/s/ Jerrold D. Dotson</w:t>
            </w: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3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12, 2014</w:t>
            </w:r>
          </w:p>
        </w:tc>
      </w:tr>
      <w:tr>
        <w:trPr>
          <w:trHeight w:val="233"/>
        </w:trPr>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1480" w:type="dxa"/>
            <w:vAlign w:val="bottom"/>
            <w:gridSpan w:val="4"/>
          </w:tcPr>
          <w:p>
            <w:pPr>
              <w:spacing w:after="0"/>
              <w:rPr>
                <w:sz w:val="20"/>
                <w:szCs w:val="20"/>
                <w:color w:val="auto"/>
              </w:rPr>
            </w:pP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84"/>
        </w:trPr>
        <w:tc>
          <w:tcPr>
            <w:tcW w:w="2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i w:val="1"/>
                <w:iCs w:val="1"/>
                <w:color w:val="auto"/>
                <w:w w:val="97"/>
              </w:rPr>
              <w:t>/s/ H. Ralph Snodgrass, Ph.D.</w:t>
            </w:r>
          </w:p>
        </w:tc>
        <w:tc>
          <w:tcPr>
            <w:tcW w:w="840" w:type="dxa"/>
            <w:vAlign w:val="bottom"/>
            <w:gridSpan w:val="2"/>
          </w:tcPr>
          <w:p>
            <w:pPr>
              <w:spacing w:after="0"/>
              <w:rPr>
                <w:sz w:val="24"/>
                <w:szCs w:val="24"/>
                <w:color w:val="auto"/>
              </w:rPr>
            </w:pP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President and Chief Scientific Officer and</w:t>
            </w:r>
          </w:p>
        </w:tc>
        <w:tc>
          <w:tcPr>
            <w:tcW w:w="3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12, 2014</w:t>
            </w:r>
          </w:p>
        </w:tc>
      </w:tr>
      <w:tr>
        <w:trPr>
          <w:trHeight w:val="233"/>
        </w:trPr>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84"/>
        </w:trPr>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/s/ Jon S. Saxe</w:t>
            </w: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12, 2014</w:t>
            </w:r>
          </w:p>
        </w:tc>
      </w:tr>
      <w:tr>
        <w:trPr>
          <w:trHeight w:val="233"/>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Jon S. Saxe</w:t>
            </w:r>
          </w:p>
        </w:tc>
        <w:tc>
          <w:tcPr>
            <w:tcW w:w="1960" w:type="dxa"/>
            <w:vAlign w:val="bottom"/>
            <w:gridSpan w:val="5"/>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84"/>
        </w:trPr>
        <w:tc>
          <w:tcPr>
            <w:tcW w:w="2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i w:val="1"/>
                <w:iCs w:val="1"/>
                <w:color w:val="auto"/>
                <w:w w:val="97"/>
              </w:rPr>
              <w:t>/s/ Brian J. Underdown, Ph.D.</w:t>
            </w:r>
          </w:p>
        </w:tc>
        <w:tc>
          <w:tcPr>
            <w:tcW w:w="820" w:type="dxa"/>
            <w:vAlign w:val="bottom"/>
          </w:tcPr>
          <w:p>
            <w:pPr>
              <w:spacing w:after="0"/>
              <w:rPr>
                <w:sz w:val="24"/>
                <w:szCs w:val="24"/>
                <w:color w:val="auto"/>
              </w:rPr>
            </w:pPr>
          </w:p>
        </w:tc>
        <w:tc>
          <w:tcPr>
            <w:tcW w:w="5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12, 2014</w:t>
            </w:r>
          </w:p>
        </w:tc>
      </w:tr>
      <w:tr>
        <w:trPr>
          <w:trHeight w:val="233"/>
        </w:trPr>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Brian J. Underdown</w:t>
            </w: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97"/>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2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II-17</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6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for the years ended March 31, 2013 and 2012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Preferred Stock</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Deficit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 for the three and nine month periods ended December 31, 2013 and 2012 (Unaudited)</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 at December 31, 2013 and March 31, 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and nine months ended December 31, 2013 and 2012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December 31, 2013 and 2012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F-58</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106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development stage company)</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VistaGen Therapeutics, Inc. (a development stage company) as of March 31, 2013 and 2012 and the related consolidated statements of operations and comprehensive loss, cash flows, preferred stock, and stockholders’ deficit for the years then ended, and for the period from May 26, 1998 (inception) through March 31, 2013. These financial statements are the responsibility of the Company's management. Our responsibility is to express an opinion on these consolidated financial statements based on our audits.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VistaGen Therapeutics, Inc. (a development stage company) at March 31, 2013 and 2012, and the consolidated results of its operations and its cash flows for the years then ended, and for the period from May 26, 1998 (inception) through March 31, 2013, in conformity with U.S. generally accepted accounting principles.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2013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4"/>
        </w:trPr>
        <w:tc>
          <w:tcPr>
            <w:tcW w:w="90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920" w:type="dxa"/>
            <w:vAlign w:val="bottom"/>
          </w:tcPr>
          <w:p>
            <w:pPr>
              <w:jc w:val="center"/>
              <w:ind w:left="119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20" w:type="dxa"/>
            <w:vAlign w:val="bottom"/>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20" w:type="dxa"/>
            <w:vAlign w:val="bottom"/>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20" w:type="dxa"/>
            <w:vAlign w:val="bottom"/>
          </w:tcPr>
          <w:p>
            <w:pPr>
              <w:jc w:val="center"/>
              <w:ind w:left="1192"/>
              <w:spacing w:after="0"/>
              <w:rPr>
                <w:sz w:val="20"/>
                <w:szCs w:val="20"/>
                <w:color w:val="auto"/>
              </w:rPr>
            </w:pPr>
            <w:r>
              <w:rPr>
                <w:rFonts w:ascii="Times New Roman" w:cs="Times New Roman" w:eastAsia="Times New Roman" w:hAnsi="Times New Roman"/>
                <w:sz w:val="18"/>
                <w:szCs w:val="18"/>
                <w:b w:val="1"/>
                <w:bCs w:val="1"/>
                <w:color w:val="auto"/>
                <w:w w:val="98"/>
              </w:rPr>
              <w:t>(Amounts in dollars, except share amounts)</w:t>
            </w:r>
          </w:p>
        </w:tc>
        <w:tc>
          <w:tcPr>
            <w:tcW w:w="160" w:type="dxa"/>
            <w:vAlign w:val="bottom"/>
          </w:tcPr>
          <w:p>
            <w:pPr>
              <w:spacing w:after="0"/>
              <w:rPr>
                <w:sz w:val="20"/>
                <w:szCs w:val="20"/>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920" w:type="dxa"/>
            <w:vAlign w:val="bottom"/>
          </w:tcPr>
          <w:p>
            <w:pPr>
              <w:jc w:val="center"/>
              <w:ind w:right="1132"/>
              <w:spacing w:after="0" w:line="194"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contract payments receivable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920" w:type="dxa"/>
            <w:vAlign w:val="bottom"/>
            <w:shd w:val="clear" w:color="auto" w:fill="CCEEFF"/>
          </w:tcPr>
          <w:p>
            <w:pPr>
              <w:jc w:val="center"/>
              <w:ind w:right="1152"/>
              <w:spacing w:after="0"/>
              <w:rPr>
                <w:sz w:val="20"/>
                <w:szCs w:val="20"/>
                <w:color w:val="auto"/>
              </w:rPr>
            </w:pPr>
            <w:r>
              <w:rPr>
                <w:rFonts w:ascii="Times New Roman" w:cs="Times New Roman" w:eastAsia="Times New Roman" w:hAnsi="Times New Roman"/>
                <w:sz w:val="18"/>
                <w:szCs w:val="18"/>
                <w:b w:val="1"/>
                <w:bCs w:val="1"/>
                <w:color w:val="auto"/>
                <w:w w:val="98"/>
              </w:rPr>
              <w:t>LIABILITIES AND STOCKHOLDERS’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accrued interest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and accrued interest to related parties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2,414,300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Senior secured convertible promissory notes, net of discount of $1,963,100 at March 31, 2013</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accrued interest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net of discount of $499,300 at March 31, 2012 and accrued interest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discount of $1,142,600 at March 31, 2013 and $228,900 at March 31, 2012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Notes payable to related parties, net of discount of $147,200 at March 31, 2013 and $24,300 at</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2012 and accrued interest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officers’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11,023,600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13,437,900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Preferred stock, $0.001 par value; 10,000,000 shares, including 500,000 Series A shares, authorized</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March 31, 2013 and 2012; 500,000 and 437,055 Series A shares issued and outstanding at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2013 and 2012, respectively</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$0.001 par value; 200,000,000 shares authorized at March 31, 2013 and 2012;</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23,480,169 and 18,704,267 shares issued at March 31, 2013 and March 31, 2012,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59,266,000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52,539,50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Treasury stock, at cost, 2,713,308 and 2,083,858 shares of common stock held at March 31, 2013</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March 31, 2012,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 from sale of common stock</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during development stage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(67,669,200)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(12,556,400)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(5,705,60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14" w:right="1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72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6160" w:type="dxa"/>
            <w:vAlign w:val="bottom"/>
          </w:tcPr>
          <w:p>
            <w:pPr>
              <w:jc w:val="center"/>
              <w:ind w:left="295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jc w:val="center"/>
              <w:ind w:left="2932"/>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60" w:type="dxa"/>
            <w:vAlign w:val="bottom"/>
            <w:gridSpan w:val="7"/>
          </w:tcPr>
          <w:p>
            <w:pPr>
              <w:jc w:val="center"/>
              <w:ind w:left="1152"/>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 AND COMPREHENSIVE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20" w:type="dxa"/>
            <w:vAlign w:val="bottom"/>
            <w:gridSpan w:val="5"/>
          </w:tcPr>
          <w:p>
            <w:pPr>
              <w:jc w:val="center"/>
              <w:ind w:left="1492"/>
              <w:spacing w:after="0"/>
              <w:rPr>
                <w:sz w:val="20"/>
                <w:szCs w:val="20"/>
                <w:color w:val="auto"/>
              </w:rPr>
            </w:pPr>
            <w:r>
              <w:rPr>
                <w:rFonts w:ascii="Times New Roman" w:cs="Times New Roman" w:eastAsia="Times New Roman" w:hAnsi="Times New Roman"/>
                <w:sz w:val="18"/>
                <w:szCs w:val="18"/>
                <w:b w:val="1"/>
                <w:bCs w:val="1"/>
                <w:color w:val="auto"/>
                <w:w w:val="98"/>
              </w:rPr>
              <w:t>(Amounts in dollars, except share and per share amounts)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Fiscal Years Ended 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200,400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1,342,200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12,963,100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16,370,200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3,430,800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29,555,700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6,993,500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10,385,600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(6,793,100)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(9,043,400)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(51,389,800)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(1,893,200)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(10,362,200)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warrant and put and note extension option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(1,635,800)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(1,217,300)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(3,567,800)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(4,761,300)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(12,207,900)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(67,648,700)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(12,886,700)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(12,209,500)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(10,193,200)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(23,079,900)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(77,862,400)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2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common stockholders per common share</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18,108,444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14,736,651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(12,886,700)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(12,209,500)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20" w:type="dxa"/>
            <w:vAlign w:val="bottom"/>
            <w:gridSpan w:val="5"/>
          </w:tcPr>
          <w:p>
            <w:pPr>
              <w:jc w:val="center"/>
              <w:ind w:left="1492"/>
              <w:spacing w:after="0"/>
              <w:rPr>
                <w:sz w:val="20"/>
                <w:szCs w:val="20"/>
                <w:color w:val="auto"/>
              </w:rPr>
            </w:pPr>
            <w:r>
              <w:rPr>
                <w:rFonts w:ascii="Times New Roman" w:cs="Times New Roman" w:eastAsia="Times New Roman" w:hAnsi="Times New Roman"/>
                <w:sz w:val="18"/>
                <w:szCs w:val="18"/>
                <w:color w:val="auto"/>
                <w:w w:val="98"/>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tcPr>
          <w:p>
            <w:pPr>
              <w:jc w:val="center"/>
              <w:ind w:left="2952"/>
              <w:spacing w:after="0"/>
              <w:rPr>
                <w:sz w:val="20"/>
                <w:szCs w:val="20"/>
                <w:color w:val="auto"/>
              </w:rPr>
            </w:pPr>
            <w:r>
              <w:rPr>
                <w:rFonts w:ascii="Times New Roman" w:cs="Times New Roman" w:eastAsia="Times New Roman" w:hAnsi="Times New Roman"/>
                <w:sz w:val="18"/>
                <w:szCs w:val="18"/>
                <w:color w:val="auto"/>
                <w:w w:val="95"/>
              </w:rPr>
              <w:t>F-4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1" w:name="page152"/>
    <w:bookmarkEnd w:id="151"/>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Period From</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(12,886,700)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(12,209,500)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imputed discount on non-interest bearing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on 7%, 7.5% and 10%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on Platinum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on August 2010 short-term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on February 2012 12% convertible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3,567,800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settlements of accounts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 in warrant and put and note term extension option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1,635,800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1,241,300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1,591,300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related to modification of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741,700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C preferred stock, common stock,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for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 granted for services prior to the Merger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2,225,500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granted for services following the Merger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granted for services and interest following the Merger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564,500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additional warrants granted pursuant to exercises of modified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(fiscal year 2013) and under Discounted Warrant Exercise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(fiscal year 2012)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138,100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 issued for note term modification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 receivable for stock purchase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services by related parties settled by issuing promissory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contract payments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1,432,200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15,918,500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(65,600)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(3,565,800)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(20,971,700)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1,185,100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2,679,200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preferred stock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modified warrants (fiscal 2013) and under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Discounted Warrant Exercise Program (fiscal 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1,166,300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notes under line of credit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7% note payable to founding stockholder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7% convertible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10% convertible notes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Platinum notes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3,222,100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2008/2010 notes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2006/2007 notes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7% notes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August 2010 short-term notes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February 2012 12% convertible notes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466,500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(757,600)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638,100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225,900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665,600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3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8" w:orient="portrait"/>
          <w:cols w:equalWidth="0" w:num="1">
            <w:col w:w="11420"/>
          </w:cols>
          <w:pgMar w:left="240" w:top="124" w:right="239" w:bottom="0"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360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Period From</w:t>
            </w: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39"/>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9"/>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Forgiveness of accrued compensation and accrued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officers transferred to equity</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and options in exchange for debt cancellation</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accrued and prepaid interest by issuance of</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10% notes payable, net of discount,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related accrued interest of $408,600 into Series C Preferred stock</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B-1 Preferred stock for acquired in-process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7% notes payable, net of discount,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related accrued interest of $3,800 into Series B Preferred stock</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508,000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accounts payable into convertible promissory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893,700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accounts payable into note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1,558,500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4,368,800</w:t>
            </w: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accounts payable into common stock</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1,927,300</w:t>
            </w: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accrued interest on convertible promissory</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notes into common stock</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921,400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sale of common stock to related parties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 of options and warrants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put option and note term extension option liabilities upon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Original Platinum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 put option and note term extension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 liabilities from debt modifications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479,400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fair value of note conversion option from debt modification</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1,891,200</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Incremental fair value of warrant from debt modifications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warrant liability upon adoption of new accounting standard</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with August 2010 short term notes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 upon issuance of August 2010 short term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with February 2012 12 % convertible notes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 upon issuance of February 2012 12% convertible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2006/2007 and 2008/2010 Notes into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including accrued interest of $1,365,600</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6,174,800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6,174,800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all series of pre-Merger preferred stock into Units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14,534,800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14,534,800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2011 Platinum Note into Series A Preferred stock,</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including accrued interest of $611,100 and conversion premium</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5,763,900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5,763,900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7% note payable and accrued interest of $11,500 into common stock and warrants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accounts payable to Morrison &amp; Foerster, McCarthy Tetrault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and Desjardins into notes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1,603,400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cancellation premium converted into 2011 Private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Units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Cato Holding Company note converted to note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settled in December 2011 and May/June 2012 warrant exercises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267,600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280,100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110,100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accrued interest and fees on February 2012 Notes into 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Units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Accrued interest on July and August 2012 Notes to Platinum converted into</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Note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settled by issuance of stock or notes payable and stock</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converted into 2012 Private Placement Units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to Platinum of October 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Note and October 2012, February 2013 and March 2013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1,690,000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Recognition of warrant liability for potential issuance to Platinum of Series 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Warrant under the terms of the October 2012 Agreement</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3,068,200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3,068,200</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PREFERRED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Series B-1</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Series C</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Preferred</w:t>
            </w: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Preferred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39"/>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May 26, 1998 (inception)</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Issuance of Series A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$2.302 per share for cash,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of $24,000</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964,200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964,200</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2000</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964,200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964,200</w:t>
            </w: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Issuance of Series A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$2.302 per share for cash,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of $5,500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$5.545 per share for cash,</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conversion of $575,000 face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7% convertible notes plus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of $3,800, net of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 of $70,800 and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$39,800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316,282</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2001</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748,212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1,643,300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$5.545 per share for cash, net of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$97,200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199,286</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2002 and 2003</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B-1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$5.545 for acquired in-process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1,356,750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2004</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2,304,248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7,523,200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11,139,000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C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$6.00 per share for cash, including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$1,655,000 face value of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convertible notes plus accrued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7"/>
              </w:rPr>
              <w:t>interest of $408,600, net of unamortized note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of $13,200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issuance costs of $27,200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2,301,500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2,301,500</w:t>
            </w: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 issued in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Series C preferred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2005</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964,700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2,651,100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13,415,000</w:t>
            </w: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Issuance of Series C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$6.00 per share for cash,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of $20,700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143,331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839,300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839,300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C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$6.00 per share for services and in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interest on line of credit</w:t>
            </w: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280,500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280,500</w:t>
            </w:r>
          </w:p>
        </w:tc>
      </w:tr>
      <w:tr>
        <w:trPr>
          <w:trHeight w:val="194"/>
        </w:trPr>
        <w:tc>
          <w:tcPr>
            <w:tcW w:w="20" w:type="dxa"/>
            <w:vAlign w:val="bottom"/>
          </w:tcPr>
          <w:p>
            <w:pPr>
              <w:spacing w:after="0"/>
              <w:rPr>
                <w:sz w:val="16"/>
                <w:szCs w:val="16"/>
                <w:color w:val="auto"/>
              </w:rPr>
            </w:pPr>
          </w:p>
        </w:tc>
        <w:tc>
          <w:tcPr>
            <w:tcW w:w="32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color w:val="auto"/>
              </w:rPr>
              <w:t>Balances at March 31, 2006 through</w:t>
            </w: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2011</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2,884,655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7,523,200</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3,395,800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14,534,800</w:t>
            </w:r>
          </w:p>
        </w:tc>
      </w:tr>
      <w:tr>
        <w:trPr>
          <w:trHeight w:val="194"/>
        </w:trPr>
        <w:tc>
          <w:tcPr>
            <w:tcW w:w="20" w:type="dxa"/>
            <w:vAlign w:val="bottom"/>
          </w:tcPr>
          <w:p>
            <w:pPr>
              <w:spacing w:after="0"/>
              <w:rPr>
                <w:sz w:val="16"/>
                <w:szCs w:val="16"/>
                <w:color w:val="auto"/>
              </w:rPr>
            </w:pPr>
          </w:p>
        </w:tc>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Conversion of all series of preferred stock</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into VistaGen common stock in</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the Merger</w:t>
            </w: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(7,523,200)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(3,395,800)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(14,534,800)</w:t>
            </w:r>
          </w:p>
        </w:tc>
      </w:tr>
      <w:tr>
        <w:trPr>
          <w:trHeight w:val="212"/>
        </w:trPr>
        <w:tc>
          <w:tcPr>
            <w:tcW w:w="20" w:type="dxa"/>
            <w:vAlign w:val="bottom"/>
          </w:tcPr>
          <w:p>
            <w:pPr>
              <w:spacing w:after="0"/>
              <w:rPr>
                <w:sz w:val="18"/>
                <w:szCs w:val="18"/>
                <w:color w:val="auto"/>
              </w:rPr>
            </w:pPr>
          </w:p>
        </w:tc>
        <w:tc>
          <w:tcPr>
            <w:tcW w:w="3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at March 31, 2012 and 2013</w:t>
            </w: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gridSpan w:val="13"/>
          </w:tcPr>
          <w:p>
            <w:pPr>
              <w:jc w:val="right"/>
              <w:ind w:right="9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80" w:type="dxa"/>
            <w:vAlign w:val="bottom"/>
          </w:tcPr>
          <w:p>
            <w:pPr>
              <w:spacing w:after="0"/>
              <w:rPr>
                <w:sz w:val="17"/>
                <w:szCs w:val="17"/>
                <w:color w:val="auto"/>
              </w:rPr>
            </w:pPr>
          </w:p>
        </w:tc>
        <w:tc>
          <w:tcPr>
            <w:tcW w:w="10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Series A Preferred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20"/>
                <w:szCs w:val="20"/>
                <w:color w:val="auto"/>
              </w:rPr>
            </w:pP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26, 1998</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(inception)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Initial sale of</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cash to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Founder</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Effect of the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1,600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1999</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(230,900)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1999</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2,600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Sale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cash</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for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2,877,375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(930,900)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Common stock issued upon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1999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0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 convertible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91,200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2,991,375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225,700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(2,739,900)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Common stock issued upon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1,511</w:t>
            </w: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Proceeds allocated to warrants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in connection with</w:t>
      </w:r>
    </w:p>
    <w:p>
      <w:pPr>
        <w:sectPr>
          <w:pgSz w:w="11900" w:h="16838" w:orient="portrait"/>
          <w:cols w:equalWidth="0" w:num="1">
            <w:col w:w="11420"/>
          </w:cols>
          <w:pgMar w:left="240" w:top="124" w:right="239" w:bottom="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convertible</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 fiscal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2002</w:t>
            </w:r>
          </w:p>
        </w:tc>
        <w:tc>
          <w:tcPr>
            <w:tcW w:w="66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at</w:t>
            </w: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2002</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2,992,886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convertible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2003</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2003</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3,007,886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convertible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2004</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2004</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3,010,811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10,708</w:t>
            </w: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2005</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2005</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3,021,519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14,604</w:t>
            </w: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2006</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2006</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3,036,123</w:t>
            </w:r>
          </w:p>
        </w:tc>
        <w:tc>
          <w:tcPr>
            <w:tcW w:w="220" w:type="dxa"/>
            <w:vAlign w:val="bottom"/>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(continued)</w:t>
            </w:r>
          </w:p>
        </w:tc>
        <w:tc>
          <w:tcPr>
            <w:tcW w:w="76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5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-9337040</wp:posOffset>
            </wp:positionV>
            <wp:extent cx="7249160" cy="269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91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-8933180</wp:posOffset>
            </wp:positionV>
            <wp:extent cx="7249160" cy="539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-7990205</wp:posOffset>
            </wp:positionV>
            <wp:extent cx="7249160" cy="5391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-7164705</wp:posOffset>
            </wp:positionV>
            <wp:extent cx="724916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-6760845</wp:posOffset>
            </wp:positionV>
            <wp:extent cx="7249160" cy="13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-6087110</wp:posOffset>
            </wp:positionV>
            <wp:extent cx="7249160" cy="403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-4723130</wp:posOffset>
            </wp:positionV>
            <wp:extent cx="7249160" cy="269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91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-4319270</wp:posOffset>
            </wp:positionV>
            <wp:extent cx="7249160" cy="539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-3241675</wp:posOffset>
            </wp:positionV>
            <wp:extent cx="7249160" cy="403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-2550795</wp:posOffset>
            </wp:positionV>
            <wp:extent cx="7249160" cy="134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-2146935</wp:posOffset>
            </wp:positionV>
            <wp:extent cx="7249160" cy="134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-1473200</wp:posOffset>
            </wp:positionV>
            <wp:extent cx="7249160" cy="403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-782955</wp:posOffset>
            </wp:positionV>
            <wp:extent cx="7249160" cy="134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-9758045</wp:posOffset>
            </wp:positionV>
            <wp:extent cx="7249160" cy="286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91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-5144135</wp:posOffset>
            </wp:positionV>
            <wp:extent cx="7249160" cy="286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9160" cy="286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64770</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7,300</w:t>
            </w:r>
          </w:p>
        </w:tc>
        <w:tc>
          <w:tcPr>
            <w:tcW w:w="480" w:type="dxa"/>
            <w:vAlign w:val="bottom"/>
          </w:tcPr>
          <w:p>
            <w:pPr>
              <w:spacing w:after="0"/>
              <w:rPr>
                <w:sz w:val="20"/>
                <w:szCs w:val="20"/>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7,300</w:t>
            </w:r>
          </w:p>
        </w:tc>
      </w:tr>
      <w:tr>
        <w:trPr>
          <w:trHeight w:val="635"/>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(2,113,000)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(2,113,000)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266,600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(4,852,900)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(4,583,300)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46,500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46,500</w:t>
            </w:r>
          </w:p>
        </w:tc>
      </w:tr>
      <w:tr>
        <w:trPr>
          <w:trHeight w:val="849"/>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86,800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86,800</w:t>
            </w: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(502,600)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(502,600)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404,900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(5,355,500)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(4,947,600)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r>
      <w:tr>
        <w:trPr>
          <w:trHeight w:val="849"/>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60" w:type="dxa"/>
            <w:vAlign w:val="bottom"/>
          </w:tcPr>
          <w:p>
            <w:pPr>
              <w:spacing w:after="0"/>
              <w:rPr>
                <w:sz w:val="24"/>
                <w:szCs w:val="24"/>
                <w:color w:val="auto"/>
              </w:rPr>
            </w:pP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(8,755,500)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(8,755,500)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419,100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(14,111,000)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(13,688,900)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4,800</w:t>
            </w:r>
          </w:p>
        </w:tc>
      </w:tr>
      <w:tr>
        <w:trPr>
          <w:trHeight w:val="849"/>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25,500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25,500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(1,082,800)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(1,082,800)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450,900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(15,193,800)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(14,739,900)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3,300</w:t>
            </w: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(1,772,100)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(1,772,100)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u w:val="single" w:color="auto"/>
                <w:color w:val="auto"/>
                <w:w w:val="95"/>
              </w:rPr>
              <w:t>460,800</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 (16,965,900)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(16,502,100)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-6819265</wp:posOffset>
            </wp:positionV>
            <wp:extent cx="5727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2770" cy="171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-2205355</wp:posOffset>
            </wp:positionV>
            <wp:extent cx="57277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2770" cy="171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-436880</wp:posOffset>
            </wp:positionV>
            <wp:extent cx="5727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2770" cy="17145"/>
                    </a:xfrm>
                    <a:prstGeom prst="rect">
                      <a:avLst/>
                    </a:prstGeom>
                    <a:noFill/>
                  </pic:spPr>
                </pic:pic>
              </a:graphicData>
            </a:graphic>
          </wp:anchor>
        </w:drawing>
      </w:r>
    </w:p>
    <w:p>
      <w:pPr>
        <w:sectPr>
          <w:pgSz w:w="11900" w:h="16838" w:orient="portrait"/>
          <w:cols w:equalWidth="0" w:num="2">
            <w:col w:w="5840" w:space="220"/>
            <w:col w:w="5320"/>
          </w:cols>
          <w:pgMar w:left="240" w:top="121" w:right="279" w:bottom="342"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2006</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3,036,123</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3,000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460,800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(16,965,900)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(16,502,100)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1999 Stock Incentive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and warrants for: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33,465</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cancellation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108,418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204,498</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(149,800)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Sale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cash</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Forgiveness of accrued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(1,999,800)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(1,999,800)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3,392,504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3,400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1,664,500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(18,965,700)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(17,447,600)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employment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20,000</w:t>
            </w: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247,600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Platinum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2008</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(5,446,700)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(5,446,700)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2008</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3,414,738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3,400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(24,412,400)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(22,167,000)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exercise of options from 2008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and Scientific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Plan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in connection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Platinum Notes 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fair value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warrant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split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2009</w:t>
            </w:r>
          </w:p>
        </w:tc>
        <w:tc>
          <w:tcPr>
            <w:tcW w:w="68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3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2009</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3,418,232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405"/>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adopting new</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upon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issued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cancellation of accounts payable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accrued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1,646,792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Incremental fair value of note conversion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from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Fair value of warrants issued for services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 in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 Notes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2010</w:t>
            </w:r>
          </w:p>
        </w:tc>
        <w:tc>
          <w:tcPr>
            <w:tcW w:w="68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3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5,241,110</w:t>
            </w:r>
          </w:p>
        </w:tc>
        <w:tc>
          <w:tcPr>
            <w:tcW w:w="220" w:type="dxa"/>
            <w:vAlign w:val="bottom"/>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(continued)</w:t>
            </w: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31"/>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72,700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(4,696,200)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(4,696,200)</w:t>
            </w:r>
          </w:p>
        </w:tc>
      </w:tr>
      <w:tr>
        <w:trPr>
          <w:trHeight w:val="27"/>
        </w:trPr>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2,588,200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(166,900)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(29,108,600)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(26,683,900)</w:t>
            </w:r>
          </w:p>
        </w:tc>
      </w:tr>
      <w:tr>
        <w:trPr>
          <w:trHeight w:val="1273"/>
        </w:trPr>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(293,700)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(151,400)</w:t>
            </w: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2,468,600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2,470,200</w:t>
            </w:r>
          </w:p>
        </w:tc>
        <w:tc>
          <w:tcPr>
            <w:tcW w:w="60" w:type="dxa"/>
            <w:vAlign w:val="bottom"/>
          </w:tcPr>
          <w:p>
            <w:pPr>
              <w:spacing w:after="0"/>
              <w:rPr>
                <w:sz w:val="24"/>
                <w:szCs w:val="24"/>
                <w:color w:val="auto"/>
              </w:rPr>
            </w:pP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828,500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262,500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668,500</w:t>
            </w:r>
          </w:p>
        </w:tc>
      </w:tr>
      <w:tr>
        <w:trPr>
          <w:trHeight w:val="1061"/>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110,100</w:t>
            </w: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291,200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(8,400)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(4,124,500)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(4,124,500)</w:t>
            </w:r>
          </w:p>
        </w:tc>
      </w:tr>
      <w:tr>
        <w:trPr>
          <w:trHeight w:val="27"/>
        </w:trPr>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$ 6,923,800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(175,300)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 (33,090,800)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(26,337,100)</w:t>
            </w:r>
          </w:p>
        </w:tc>
      </w:tr>
      <w:tr>
        <w:trPr>
          <w:trHeight w:val="27"/>
        </w:trPr>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-7458710</wp:posOffset>
            </wp:positionV>
            <wp:extent cx="7249160" cy="403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-6650355</wp:posOffset>
            </wp:positionV>
            <wp:extent cx="7249160" cy="403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-5960110</wp:posOffset>
            </wp:positionV>
            <wp:extent cx="7249160" cy="134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-5556250</wp:posOffset>
            </wp:positionV>
            <wp:extent cx="7249160" cy="134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-4747895</wp:posOffset>
            </wp:positionV>
            <wp:extent cx="7249160" cy="5391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-3670300</wp:posOffset>
            </wp:positionV>
            <wp:extent cx="7249160" cy="539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-2727325</wp:posOffset>
            </wp:positionV>
            <wp:extent cx="7249160" cy="403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-1649730</wp:posOffset>
            </wp:positionV>
            <wp:extent cx="7249160" cy="539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-706755</wp:posOffset>
            </wp:positionV>
            <wp:extent cx="7249160" cy="286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9160" cy="28638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-285750</wp:posOffset>
            </wp:positionV>
            <wp:extent cx="7249160" cy="286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9160" cy="28638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80010</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80"/>
            <w:col w:w="5780"/>
          </w:cols>
          <w:pgMar w:left="240" w:top="121" w:right="27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84"/>
        </w:trPr>
        <w:tc>
          <w:tcPr>
            <w:tcW w:w="218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80" w:type="dxa"/>
            <w:vAlign w:val="bottom"/>
            <w:gridSpan w:val="13"/>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13"/>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gridSpan w:val="1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STOCKHOLDERS’ DEFICIT (continued)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from May 26, 1998 (inception) through March 31, 2013</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14"/>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(Amounts in dollars, except share and per share amounts)</w:t>
            </w: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Borders>
              <w:bottom w:val="single" w:sz="8" w:color="auto"/>
            </w:tcBorders>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5,241,110</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$ 6,923,800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(175,300)</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(33,090,800)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(26,337,100)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1,628,800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interest 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issued in connection with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August 2010 Short-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 note conversion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from</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1,062,800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Net loss for fiscal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2011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(9,482,200)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(9,482,200)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2011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5,241,110</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9,867,400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(184,100)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(42,573,000)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(32,884,500)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1,591,300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interest 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Reclassification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warrant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liability to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424,100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value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Platinum note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1,070,600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Incremental value of Morrison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&amp; Foerster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in May 2011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net of</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fees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2,216,106</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3,674,000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Payments on note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receivable for sale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9"/>
              </w:rPr>
              <w:t>Stock issued upon conversion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convertible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3,528,290</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6,171,300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Stock issued upon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conversion of all series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2,884,655</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14,531,900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14,534,800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for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prior to</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Merger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1,371,743</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2,224,100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Forgiveness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notes at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Merger</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upon exercise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modified warrants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(includes Platinum</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3,121,259</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3,426,200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Incremental value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warrant modifications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modification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Platinum warrants)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1,028,900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bonus warrants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Discounted Warrant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Program</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issued in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63,570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111,200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111,300</w:t>
            </w: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Fall 2011 Follow-</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Offering</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upon exercise of</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options from the 1999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113,979</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issued for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 the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155,555</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451,800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564,500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beneficial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conversion feature in connection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12% convertible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461,700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in</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note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extension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Stock issued upon</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of</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Platinum Note to</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of Platinum</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exercise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reflected above)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231,090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3,387,700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exchanged for</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under</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 with</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Platinum:</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Common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Exchange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750,600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(750,600)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Note and Warrant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159,985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2,480,900</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(2,481,100)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 fiscal</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2012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(12,209,500)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(12,209,500)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2012</w:t>
            </w: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437,055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18,704,267</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52,539,500</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(3,231,700)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(54,782,500)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(5,705,600)</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(continued)</w:t>
            </w: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3"/>
            <w:vMerge w:val="restart"/>
          </w:tcPr>
          <w:p>
            <w:pPr>
              <w:jc w:val="right"/>
              <w:ind w:right="880"/>
              <w:spacing w:after="0"/>
              <w:rPr>
                <w:sz w:val="20"/>
                <w:szCs w:val="20"/>
                <w:color w:val="auto"/>
              </w:rPr>
            </w:pPr>
            <w:r>
              <w:rPr>
                <w:rFonts w:ascii="Times New Roman" w:cs="Times New Roman" w:eastAsia="Times New Roman" w:hAnsi="Times New Roman"/>
                <w:sz w:val="18"/>
                <w:szCs w:val="18"/>
                <w:color w:val="auto"/>
                <w:w w:val="93"/>
              </w:rPr>
              <w:t>F-10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60" w:type="dxa"/>
            <w:vAlign w:val="bottom"/>
          </w:tcPr>
          <w:p>
            <w:pPr>
              <w:spacing w:after="0"/>
              <w:rPr>
                <w:sz w:val="17"/>
                <w:szCs w:val="17"/>
                <w:color w:val="auto"/>
              </w:rPr>
            </w:pPr>
          </w:p>
        </w:tc>
        <w:tc>
          <w:tcPr>
            <w:tcW w:w="13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Series A Preferred Stock</w:t>
            </w:r>
          </w:p>
        </w:tc>
        <w:tc>
          <w:tcPr>
            <w:tcW w:w="10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18,704,267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$52,539,500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(3,231,700)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(250,000)</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(54,782,500)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(5,705,600)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for services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Shares issued upon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exercise of modified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549,056</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fair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modified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warrants issued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upon exercise of</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modified warrants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35,900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shares issued in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103,235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exchanged for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A Preferred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2012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Platinum</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736,300</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(736,400)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Payment on note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receivable from sale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stock</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66,900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Modification of note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 from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stock</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warrant and fair</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value of warrant issued in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6"/>
              </w:rPr>
              <w:t>Morrison &amp; Foerster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 issued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Cato Holding 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connection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 issued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Cato Research, Ltd. 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accounts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restructure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 issued to University</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Network</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connection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warrants issued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 Morrison &amp; Foerster,</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Cato Research Ltd.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University Health Network</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 connection with</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notes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Units in</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2,366,330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Winter 2012 Private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for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1,357,281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Fair value of warrants issued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to banker in connection with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Premium of fair value over face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Exchange Note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to Platinum</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Fair value of Series A 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issuable to</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Platinum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recorded as 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31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9"/>
              </w:rPr>
              <w:t>Proceeds allocated to beneficial conversion</w:t>
            </w: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1"/>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feature of</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4"/>
        </w:trPr>
        <w:tc>
          <w:tcPr>
            <w:tcW w:w="20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Investment Notes issued to</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Platinum in October 2012,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March 2013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modifications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 fiscal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year 2013</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ind w:left="200"/>
        <w:spacing w:after="0"/>
        <w:tabs>
          <w:tab w:leader="none" w:pos="1940" w:val="left"/>
          <w:tab w:leader="none" w:pos="3060" w:val="left"/>
          <w:tab w:leader="none" w:pos="4400" w:val="left"/>
          <w:tab w:leader="none" w:pos="5000" w:val="left"/>
        </w:tabs>
        <w:rPr>
          <w:sz w:val="20"/>
          <w:szCs w:val="20"/>
          <w:color w:val="auto"/>
        </w:rPr>
      </w:pPr>
      <w:r>
        <w:rPr>
          <w:rFonts w:ascii="Times New Roman" w:cs="Times New Roman" w:eastAsia="Times New Roman" w:hAnsi="Times New Roman"/>
          <w:sz w:val="18"/>
          <w:szCs w:val="18"/>
          <w:color w:val="auto"/>
        </w:rPr>
        <w:t>1,246,600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1,249,000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284480</wp:posOffset>
            </wp:positionV>
            <wp:extent cx="7249160" cy="539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916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tabs>
          <w:tab w:leader="none" w:pos="1940" w:val="left"/>
          <w:tab w:leader="none" w:pos="3060" w:val="left"/>
          <w:tab w:leader="none" w:pos="4400" w:val="left"/>
          <w:tab w:leader="none" w:pos="5000" w:val="left"/>
        </w:tabs>
        <w:rPr>
          <w:sz w:val="20"/>
          <w:szCs w:val="20"/>
          <w:color w:val="auto"/>
        </w:rPr>
      </w:pPr>
      <w:r>
        <w:rPr>
          <w:rFonts w:ascii="Times New Roman" w:cs="Times New Roman" w:eastAsia="Times New Roman" w:hAnsi="Times New Roman"/>
          <w:sz w:val="18"/>
          <w:szCs w:val="18"/>
          <w:color w:val="auto"/>
        </w:rPr>
        <w:t>1,214,200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1,215,600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12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28,200</w:t>
            </w: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w:t>
            </w:r>
          </w:p>
        </w:tc>
      </w:tr>
      <w:tr>
        <w:trPr>
          <w:trHeight w:val="636"/>
        </w:trPr>
        <w:tc>
          <w:tcPr>
            <w:tcW w:w="12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94"/>
              </w:rPr>
              <w:t>1,083,200</w:t>
            </w: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-403860</wp:posOffset>
            </wp:positionV>
            <wp:extent cx="7249160" cy="403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9160"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tabs>
          <w:tab w:leader="none" w:pos="1940" w:val="left"/>
          <w:tab w:leader="none" w:pos="3060" w:val="left"/>
          <w:tab w:leader="none" w:pos="4400" w:val="left"/>
          <w:tab w:leader="none" w:pos="4960" w:val="left"/>
        </w:tabs>
        <w:rPr>
          <w:sz w:val="20"/>
          <w:szCs w:val="20"/>
          <w:color w:val="auto"/>
        </w:rPr>
      </w:pPr>
      <w:r>
        <w:rPr>
          <w:rFonts w:ascii="Times New Roman" w:cs="Times New Roman" w:eastAsia="Times New Roman" w:hAnsi="Times New Roman"/>
          <w:sz w:val="18"/>
          <w:szCs w:val="18"/>
          <w:color w:val="auto"/>
        </w:rPr>
        <w:t>(3,068,200)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(3,068,200)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7249160" cy="808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916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958,500</w:t>
            </w:r>
          </w:p>
        </w:tc>
        <w:tc>
          <w:tcPr>
            <w:tcW w:w="60" w:type="dxa"/>
            <w:vAlign w:val="bottom"/>
          </w:tcPr>
          <w:p>
            <w:pPr>
              <w:spacing w:after="0"/>
              <w:rPr>
                <w:sz w:val="20"/>
                <w:szCs w:val="20"/>
                <w:color w:val="auto"/>
              </w:rPr>
            </w:pPr>
          </w:p>
        </w:tc>
      </w:tr>
      <w:tr>
        <w:trPr>
          <w:trHeight w:val="636"/>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67,500</w:t>
            </w: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(12,886,700)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(12,886,700)</w:t>
            </w:r>
          </w:p>
        </w:tc>
      </w:tr>
      <w:tr>
        <w:trPr>
          <w:trHeight w:val="27"/>
        </w:trPr>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-285750</wp:posOffset>
            </wp:positionV>
            <wp:extent cx="7249160" cy="286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9160" cy="28638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420" w:space="200"/>
            <w:col w:w="580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March 31, 2013</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rPr>
              <w:t>500,000</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u w:val="single" w:color="auto"/>
                <w:color w:val="auto"/>
              </w:rPr>
              <w:t>23,480,169</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rPr>
              <w:t>23,500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u w:val="single" w:color="auto"/>
                <w:color w:val="auto"/>
              </w:rPr>
              <w:t>$59,266,000</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 (3,968,100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(209,100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(67,669,200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(12,556,400</w:t>
            </w: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7249160" cy="3028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9160" cy="30289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w:t>
      </w:r>
      <w:r>
        <w:rPr>
          <w:rFonts w:ascii="Times New Roman" w:cs="Times New Roman" w:eastAsia="Times New Roman" w:hAnsi="Times New Roman"/>
          <w:sz w:val="18"/>
          <w:szCs w:val="18"/>
          <w:color w:val="auto"/>
        </w:rPr>
        <w:t>y”), is a biotechnology company with expertise in human pluripotent stem cell technology (“</w:t>
      </w:r>
      <w:r>
        <w:rPr>
          <w:rFonts w:ascii="Times New Roman" w:cs="Times New Roman" w:eastAsia="Times New Roman" w:hAnsi="Times New Roman"/>
          <w:sz w:val="18"/>
          <w:szCs w:val="18"/>
          <w:i w:val="1"/>
          <w:iCs w:val="1"/>
          <w:color w:val="auto"/>
        </w:rPr>
        <w:t>hPSC technology</w:t>
      </w:r>
      <w:r>
        <w:rPr>
          <w:rFonts w:ascii="Times New Roman" w:cs="Times New Roman" w:eastAsia="Times New Roman" w:hAnsi="Times New Roman"/>
          <w:sz w:val="18"/>
          <w:szCs w:val="18"/>
          <w:color w:val="auto"/>
        </w:rPr>
        <w:t xml:space="preserve">”). The Company is currently applying its hPSC technology for drug rescue, predictive toxicology and drug metabolism screening. The Company’s primary goal is to use its hPSC technology platform, which it also refers to as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the novel pharmaceutical assay systems developed using its hPSC technology expertise and network of strategic relationships, to generate novel, proprietary, safer variants (Drug Rescue Variants) of once-promising small molecule drug candidates originally discovered, developed and ultimately discontinued by large pharmaceutical or biotechnology companies prior to market approval due to unexpected safety concerns relating to heart toxicity, liver toxicity or adverse drug-drug interactions. The Company’s strategy is to leverage substantial prior third-party investment in drug discovery and drug development and to generate early indications, or predictions, of how humans will ultimately respond to new drug candidates, including Drug Rescue Variants, before they are ever tested in humans, bringing human biology to the front end of the drug development process..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VistaGen's orally-available, small molecule drug candidate, AV-101, has successfully completed Phase 1 development in the Unites States for treatment of neuropathic pain. Neuropathic pain, a serious and chronic condition causing pain after an injury or disease of the peripheral or central nervous system, affects millions of people worldwide. The NIH awarded VistaGen approximately $8.8 million for preclinical and clinical development of AV-101.</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VistaGen is in the development stage and, since inception, has devoted substantially all of its time and efforts to hPSC research and bioassay development, small molecule drug development, creating, protecting and patenting intellectual property, recruiting personnel and raising working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VistaGen Therapeutics, Inc., a 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is a wholly-owned subsidiary of the Company. VistaGen California was incorporated in California on May 26, 1998. Excaliber Enterprises, Ltd. (“</w:t>
      </w:r>
      <w:r>
        <w:rPr>
          <w:rFonts w:ascii="Times New Roman" w:cs="Times New Roman" w:eastAsia="Times New Roman" w:hAnsi="Times New Roman"/>
          <w:sz w:val="18"/>
          <w:szCs w:val="18"/>
          <w:i w:val="1"/>
          <w:iCs w:val="1"/>
          <w:color w:val="auto"/>
        </w:rPr>
        <w:t>Excaliber</w:t>
      </w:r>
      <w:r>
        <w:rPr>
          <w:rFonts w:ascii="Times New Roman" w:cs="Times New Roman" w:eastAsia="Times New Roman" w:hAnsi="Times New Roman"/>
          <w:sz w:val="18"/>
          <w:szCs w:val="18"/>
          <w:color w:val="auto"/>
        </w:rPr>
        <w:t>”), a publicly-held company (formerly OTCBB: EXCA) was incorporated under the laws of the State of Nevada on October 6, 2005. After being unable to generate material revenues based on its original business plan, Excaliber became inactive in 2007. In May 2011, after assessing the prospects associated with its original business plan and the business opportunities associated with a strategic merger with an established, privately-held, biotechnology company seeking the potential advantages of being a publicly-held company, Excaliber’s Board of Directors agreed to pursue a strategic merger with VistaGen California, as described below.</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11, 2011, pursuant to a strategic merger transaction with VistaGen California, Excaliber acquired all outstanding shares of VistaGen California in exchange for 6,836,452 shares of Excaliber common stock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Excaliber assumed all of VistaGen California’s pre-Merger obligations to contingently issue shares of common stock in accordance with VistaGen California’s stock option agreements, warrant agreements, and a convertible promissory note. In connection with the Merger, Excaliber repurchased 5,064,207 shares of its common stock from two of its stockholders for a nominal amount, resulting in a total of 784,500 shares of Excaliber common stock outstanding at the date of the Merger. The 6,836,452 shares issued to VistaGen California stockholders in connection with the Merger represented approximately ninety percent (90%) of the outstanding shares of Excaliber’s common stock after the closing of the Merger. As a result of the Merger, the business of VistaGen California became the operating business of Excaliber.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and concurrent with the Merger:</w:t>
      </w:r>
    </w:p>
    <w:p>
      <w:pPr>
        <w:spacing w:after="0" w:line="2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VistaGen California sold 2,216,106 Units, consisting of one share of VistaGen California restricted common stock and a three-year warrant to purchase</w:t>
      </w:r>
    </w:p>
    <w:p>
      <w:pPr>
        <w:spacing w:after="0" w:line="36" w:lineRule="exact"/>
        <w:rPr>
          <w:sz w:val="20"/>
          <w:szCs w:val="20"/>
          <w:color w:val="auto"/>
        </w:rPr>
      </w:pPr>
    </w:p>
    <w:p>
      <w:pPr>
        <w:jc w:val="both"/>
        <w:ind w:left="580" w:hanging="336"/>
        <w:spacing w:after="0" w:line="187" w:lineRule="auto"/>
        <w:tabs>
          <w:tab w:leader="none" w:pos="580" w:val="left"/>
        </w:tabs>
        <w:numPr>
          <w:ilvl w:val="0"/>
          <w:numId w:val="8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one-fourth (1/4) of one share of VistaGen California restricted common stock at an exercise price of $2.50 per share, at a price of $1.75 per Unit in a private placement for aggregate gross offering proceeds of $3,878,200, including $2,369,200 in cash (the “</w:t>
      </w:r>
      <w:r>
        <w:rPr>
          <w:rFonts w:ascii="Times New Roman" w:cs="Times New Roman" w:eastAsia="Times New Roman" w:hAnsi="Times New Roman"/>
          <w:sz w:val="18"/>
          <w:szCs w:val="18"/>
          <w:i w:val="1"/>
          <w:iCs w:val="1"/>
          <w:color w:val="auto"/>
        </w:rPr>
        <w:t>2011 Private Placement</w:t>
      </w:r>
      <w:r>
        <w:rPr>
          <w:rFonts w:ascii="Times New Roman" w:cs="Times New Roman" w:eastAsia="Times New Roman" w:hAnsi="Times New Roman"/>
          <w:sz w:val="18"/>
          <w:szCs w:val="18"/>
          <w:color w:val="auto"/>
        </w:rPr>
        <w:t xml:space="preserve">”).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 further description;</w:t>
      </w:r>
    </w:p>
    <w:p>
      <w:pPr>
        <w:spacing w:after="0" w:line="193" w:lineRule="exact"/>
        <w:rPr>
          <w:rFonts w:ascii="Times New Roman" w:cs="Times New Roman" w:eastAsia="Times New Roman" w:hAnsi="Times New Roman"/>
          <w:sz w:val="35"/>
          <w:szCs w:val="35"/>
          <w:color w:val="auto"/>
          <w:vertAlign w:val="subscript"/>
        </w:rPr>
      </w:pPr>
    </w:p>
    <w:p>
      <w:pPr>
        <w:ind w:left="58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7"/>
          <w:szCs w:val="17"/>
          <w:color w:val="auto"/>
        </w:rPr>
        <w:t>Holders of certain promissory notes issued by VistaGen California from 2006 through 2010 converted notes totaling $6,174,793, including principal and</w:t>
      </w:r>
    </w:p>
    <w:p>
      <w:pPr>
        <w:spacing w:after="0" w:line="35" w:lineRule="exact"/>
        <w:rPr>
          <w:rFonts w:ascii="Times New Roman" w:cs="Times New Roman" w:eastAsia="Times New Roman" w:hAnsi="Times New Roman"/>
          <w:sz w:val="35"/>
          <w:szCs w:val="35"/>
          <w:color w:val="auto"/>
          <w:vertAlign w:val="subscript"/>
        </w:rPr>
      </w:pPr>
    </w:p>
    <w:p>
      <w:pPr>
        <w:ind w:left="580" w:hanging="336"/>
        <w:spacing w:after="0" w:line="251" w:lineRule="auto"/>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but unpaid interest, into 3,528,290 Units at $1.75 per Unit. These Units were the same Units issued in connection with the 2011 Private Placement. See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ind w:left="580" w:hanging="336"/>
        <w:spacing w:after="0" w:line="181" w:lineRule="auto"/>
        <w:tabs>
          <w:tab w:leader="none" w:pos="580" w:val="left"/>
        </w:tabs>
        <w:numPr>
          <w:ilvl w:val="0"/>
          <w:numId w:val="8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 xml:space="preserve">All holders of VistaGen California's then-outstanding 2,884,655 shares of restricted preferred stock converted all of their preferred shares into 2,884,655 shares of VistaGen California restricted common stock.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Shortly after the Merger:</w:t>
      </w:r>
    </w:p>
    <w:p>
      <w:pPr>
        <w:spacing w:after="0" w:line="244" w:lineRule="exact"/>
        <w:rPr>
          <w:sz w:val="20"/>
          <w:szCs w:val="20"/>
          <w:color w:val="auto"/>
        </w:rPr>
      </w:pPr>
    </w:p>
    <w:p>
      <w:pPr>
        <w:ind w:left="580" w:hanging="336"/>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VistaGen California's pre-Merger directors was appointed as a director of Excaliber;</w:t>
      </w:r>
    </w:p>
    <w:p>
      <w:pPr>
        <w:spacing w:after="0" w:line="24"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pre-Merger directors and officers of Excaliber resigned as officers and directors of Excaliber;</w:t>
      </w:r>
    </w:p>
    <w:p>
      <w:pPr>
        <w:spacing w:after="0" w:line="5"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VistaGen California’s pre-Merger officers was appointed an officer of like tenor of Excalber;</w:t>
      </w:r>
    </w:p>
    <w:p>
      <w:pPr>
        <w:spacing w:after="0" w:line="5" w:lineRule="exact"/>
        <w:rPr>
          <w:rFonts w:ascii="Times New Roman" w:cs="Times New Roman" w:eastAsia="Times New Roman" w:hAnsi="Times New Roman"/>
          <w:sz w:val="18"/>
          <w:szCs w:val="18"/>
          <w:color w:val="auto"/>
        </w:rPr>
      </w:pPr>
    </w:p>
    <w:p>
      <w:pPr>
        <w:ind w:left="580" w:hanging="336"/>
        <w:spacing w:after="0" w:line="180" w:lineRule="auto"/>
        <w:tabs>
          <w:tab w:leader="none" w:pos="580" w:val="left"/>
        </w:tabs>
        <w:numPr>
          <w:ilvl w:val="0"/>
          <w:numId w:val="8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The post-Merger directors of Excaliber (consisting of the pre-Merger directors of VistaGen California) approved a two-for-one (2:1) forward stock split of Excaliber’s common stock;</w:t>
      </w:r>
    </w:p>
    <w:p>
      <w:pPr>
        <w:spacing w:after="0" w:line="1" w:lineRule="exact"/>
        <w:rPr>
          <w:rFonts w:ascii="Times New Roman" w:cs="Times New Roman" w:eastAsia="Times New Roman" w:hAnsi="Times New Roman"/>
          <w:sz w:val="32"/>
          <w:szCs w:val="32"/>
          <w:color w:val="auto"/>
          <w:vertAlign w:val="subscript"/>
        </w:rPr>
      </w:pPr>
    </w:p>
    <w:p>
      <w:pPr>
        <w:ind w:left="580" w:hanging="336"/>
        <w:spacing w:after="0" w:line="180" w:lineRule="auto"/>
        <w:tabs>
          <w:tab w:leader="none" w:pos="580" w:val="left"/>
        </w:tabs>
        <w:numPr>
          <w:ilvl w:val="0"/>
          <w:numId w:val="8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 xml:space="preserve">The post-Merger directors of Excaliber approved an increase in the number of shares of common stock Excaliber was authorized to issue from 200 million to 400 million shares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32"/>
          <w:szCs w:val="32"/>
          <w:color w:val="auto"/>
          <w:vertAlign w:val="subscript"/>
        </w:rPr>
      </w:pPr>
    </w:p>
    <w:p>
      <w:pPr>
        <w:ind w:left="580" w:hanging="336"/>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Excaliber’s name was changed to “VistaGen Therapeutics, Inc.”;</w:t>
      </w:r>
    </w:p>
    <w:p>
      <w:pPr>
        <w:spacing w:after="0" w:line="5"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VistaGen’s common stock began trading on the OTC Bulletin Board under the symbol “VSTA” effective on June 21, 2011; and</w:t>
      </w:r>
    </w:p>
    <w:p>
      <w:pPr>
        <w:spacing w:after="0" w:line="5"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VistaGen adopted VistaGen California's fiscal year-end of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 California, as the accounting acquirer in the Merger, recorded the Merger as the issuance of common stock for the net monetary assets of Excaliber, accompanied by a recapitalization. This accounting for the Merger was identical to that resulting from a reverse acquisition, except that no goodwill or other intangible assets were recorded. A total of 1,569,000 shares of common stock, representing the shares held by stockholders of Excaliber immediately prior to the Merger and effected for the post-Merger two-for-one (2:1) stock split noted above,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 and the two-for one (2:1) stock split after the Merger.</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October 2011, the Company’s stockholders amended the Company’s Articles of Incorporation to (1) reduce the number of shares of common stock the Company is authorized to issue from 400 million shares to 200 million shares; (2) authorize the Company to issue up to 10 million shares of preferred stock; and</w:t>
      </w:r>
    </w:p>
    <w:p>
      <w:pPr>
        <w:spacing w:after="0" w:line="1" w:lineRule="exact"/>
        <w:rPr>
          <w:sz w:val="20"/>
          <w:szCs w:val="20"/>
          <w:color w:val="auto"/>
        </w:rPr>
      </w:pPr>
    </w:p>
    <w:p>
      <w:pPr>
        <w:jc w:val="both"/>
        <w:ind w:firstLine="6"/>
        <w:spacing w:after="0" w:line="246" w:lineRule="auto"/>
        <w:tabs>
          <w:tab w:leader="none" w:pos="2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Pursuant to the Note Exchange and Purchase Agreement of October 11, 2012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as amended, between the Company and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xml:space="preserve">”), currently the Company’s largest institutional security holder, Platinum has the right and option to exchange 500,000 shares of the Company’s Series A Preferred held by Platinum for (i) a total of 15,000,000 restricted shares of the Company’s common stock, and (ii) a five-year warrant to purchase 7,500,000 restricted shares of the Company’s common stock at an exercise price of $1.50 per share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also include the accounts of VistaGen California’s two wholly-owned subsidiaries, Artemis Neuroscience, Inc., a Maryland corporation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and VistaStem Canada, Inc., an Ontario corporation (“</w:t>
      </w:r>
      <w:r>
        <w:rPr>
          <w:rFonts w:ascii="Times New Roman" w:cs="Times New Roman" w:eastAsia="Times New Roman" w:hAnsi="Times New Roman"/>
          <w:sz w:val="18"/>
          <w:szCs w:val="18"/>
          <w:i w:val="1"/>
          <w:iCs w:val="1"/>
          <w:color w:val="auto"/>
        </w:rPr>
        <w:t>VistaStem Canada</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Going Concern</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2013, VistaGen has a deficit accumulated during its development stage of $67.7 million. The Company expects these conditions to continue for the foreseeable future as it expands its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platform and executes its drug rescue and regenerative cell therapy business programs.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At March 31, 2013, the Company had approximately $638,100 in cash and cash equivalents. Such cash and cash equivalents are not sufficient to enable the Company to fund its operations, including expected cash expenditures of approximately $5 million, through the next twelve months. However, in April 2013, the Company entered into a securities purchase agreement, as amended, with an institutional investor involving the Company’s private issuance and sale of its restricted common stock in a transaction involving a series of closings scheduled to occur between June 27, 2013 and September 30, 2013, which financing transaction is expected to generate aggregate cash proceeds to the Company of $36.0 million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 further description of this private placement). Additionally, the Company expects that its participation in strategic collaborations, including licensing transactions, may provide additional cash in support of its future working capital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the assumptions used to value warrants, warrant modifications and put option, note term extension, and warrant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Company’s accounts, and the accounts of VistaGen California’s wholly-owned inactive subsidiaries, Artemis, and VistaStem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Authorized Number of Shares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Effective with the Merger, the Company was authorized to issue up to 400,000,000 shares of common stock, $0.001 par value and no shares of preferred stock. On October 28, 2011, the Company held a special meeting of its stockholders at which the stockholders approved a proposal to amend the Company’s Articles of Incorporation to (1) reduce the number of authorized shares of the Company’s common stock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generates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jc w:val="both"/>
        <w:ind w:left="700"/>
        <w:spacing w:after="0" w:line="262" w:lineRule="auto"/>
        <w:rPr>
          <w:sz w:val="20"/>
          <w:szCs w:val="20"/>
          <w:color w:val="auto"/>
        </w:rPr>
      </w:pPr>
      <w:r>
        <w:rPr>
          <w:rFonts w:ascii="Times New Roman" w:cs="Times New Roman" w:eastAsia="Times New Roman" w:hAnsi="Times New Roman"/>
          <w:sz w:val="17"/>
          <w:szCs w:val="17"/>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ind w:left="700" w:hanging="380"/>
        <w:spacing w:after="0" w:line="248"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188" w:lineRule="exact"/>
        <w:rPr>
          <w:rFonts w:ascii="Times New Roman" w:cs="Times New Roman" w:eastAsia="Times New Roman" w:hAnsi="Times New Roman"/>
          <w:sz w:val="18"/>
          <w:szCs w:val="18"/>
          <w:color w:val="auto"/>
        </w:rPr>
      </w:pPr>
    </w:p>
    <w:p>
      <w:pPr>
        <w:ind w:left="700" w:hanging="380"/>
        <w:spacing w:after="0" w:line="274"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AV-101. All such research and development costs are charged to expense as incurred.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compensation cost for all share-based awards to employees in its financial statements based on their grant date fair value. Share-based compensation expense is recognized over the period during which the employee is required to perform service in exchange for the award, which generally represents the scheduled vesting period of options and warrants to purchase common stock of the Company. The Company has no awards with market or performance conditions. For share-based awards to non-employees, the Company re-measures the fair value of such awards as they vest and the resulting value is recognized as an expense during the period over which applicable services are performed by the recipient.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no components of other comprehensive loss other than net loss, and accordingly the Company’s comprehensive loss is equivalent to its net loss for the periods presented.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Basic loss per share of common stock excludes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 A total of 1,569,000 shares of common stock, representing the 784,500 shares held by stockholders of Excaliber immediately prior to the Merger and effected for the post-Merger two-for-one (2:1) stock split described in Note 1,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have been retroactively reflected as outstanding for the period prior to the Merger in the fiscal year ended March 31, 2012 for purposes of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and diluted loss per common share in the accompanying 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per common share are as follows:</w:t>
            </w:r>
          </w:p>
        </w:tc>
        <w:tc>
          <w:tcPr>
            <w:tcW w:w="168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68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Common stock warants issuable to Platinum upon exchange of Series A preferred stock under the terms of the October 11,</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 Note Purchase and Exchange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under the 2008 and 1999 Stock Incentive 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14,660,335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 convertible Exchange Note and Investment Notes issued to Platinum in October 2012, February 2013 and March</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2013, including accrued interest through March 31, 2013 </w:t>
            </w:r>
            <w:r>
              <w:rPr>
                <w:rFonts w:ascii="Times New Roman" w:cs="Times New Roman" w:eastAsia="Times New Roman" w:hAnsi="Times New Roman"/>
                <w:sz w:val="24"/>
                <w:szCs w:val="24"/>
                <w:color w:val="auto"/>
                <w:vertAlign w:val="superscript"/>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6,775,682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48,848,621</w:t>
            </w: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13,302,910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249160" cy="168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ind w:left="200" w:hanging="194"/>
        <w:spacing w:after="0" w:line="230" w:lineRule="auto"/>
        <w:tabs>
          <w:tab w:leader="none" w:pos="20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at March 31, 2013, assumes exchange under the terms of the October 11, 2012 Note Exchange and Purchase Agreement with Platinum</w:t>
      </w:r>
    </w:p>
    <w:p>
      <w:pPr>
        <w:spacing w:after="0" w:line="1" w:lineRule="exact"/>
        <w:rPr>
          <w:rFonts w:ascii="Times New Roman" w:cs="Times New Roman" w:eastAsia="Times New Roman" w:hAnsi="Times New Roman"/>
          <w:sz w:val="24"/>
          <w:szCs w:val="24"/>
          <w:color w:val="auto"/>
          <w:vertAlign w:val="superscript"/>
        </w:rPr>
      </w:pPr>
    </w:p>
    <w:p>
      <w:pPr>
        <w:ind w:left="200" w:hanging="194"/>
        <w:spacing w:after="0" w:line="183" w:lineRule="auto"/>
        <w:tabs>
          <w:tab w:leader="none" w:pos="20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conversion under the terms of the October 11, 2012 Note Exchange and Purchase Agreement with Platinum and the terms of the individual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June 2011, the FASB issued ASU No. 2011-05, </w:t>
      </w:r>
      <w:r>
        <w:rPr>
          <w:rFonts w:ascii="Times New Roman" w:cs="Times New Roman" w:eastAsia="Times New Roman" w:hAnsi="Times New Roman"/>
          <w:sz w:val="18"/>
          <w:szCs w:val="18"/>
          <w:i w:val="1"/>
          <w:iCs w:val="1"/>
          <w:color w:val="auto"/>
        </w:rPr>
        <w:t>Presentation of Comprehensive Income,</w:t>
      </w:r>
      <w:r>
        <w:rPr>
          <w:rFonts w:ascii="Times New Roman" w:cs="Times New Roman" w:eastAsia="Times New Roman" w:hAnsi="Times New Roman"/>
          <w:sz w:val="18"/>
          <w:szCs w:val="18"/>
          <w:color w:val="auto"/>
        </w:rPr>
        <w:t xml:space="preserve"> which was issued to enhance comparability between entities that report under U.S. GAAP and International Financial Reporting Standards (“IFRS”), and to provide a more consistent method of presenting non-owner transactions that affect an entity’s equity.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became effective for fiscal years beginning after December 15, 2011. The Company’s adoption of this ASU effective April 1, 2012 did not have any impact on its consolidated results of operations or financial position; however it required modification of the format of the former “Consolidated Statements of Operations” to include total comprehensive loss and changing the title of the statements to “Consolidated Statements of Operations and Comprehensive Loss.”</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2011, the FASB issued ASU No. 2011-04, </w:t>
      </w:r>
      <w:r>
        <w:rPr>
          <w:rFonts w:ascii="Times New Roman" w:cs="Times New Roman" w:eastAsia="Times New Roman" w:hAnsi="Times New Roman"/>
          <w:sz w:val="18"/>
          <w:szCs w:val="18"/>
          <w:i w:val="1"/>
          <w:iCs w:val="1"/>
          <w:color w:val="auto"/>
        </w:rPr>
        <w:t>Amendments to Achieve Common Fair Value Measurement and Disclosure Requirements in U.S. GAAP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International Financial Reporting Standards (“IFRS”). </w:t>
      </w:r>
      <w:r>
        <w:rPr>
          <w:rFonts w:ascii="Times New Roman" w:cs="Times New Roman" w:eastAsia="Times New Roman" w:hAnsi="Times New Roman"/>
          <w:sz w:val="18"/>
          <w:szCs w:val="18"/>
          <w:color w:val="auto"/>
        </w:rPr>
        <w:t>This pronouncement was issued to provide a consistent definition of fair value and ensure that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and disclosure requirements are similar between U.S. GAAP and IFRS. ASU 2011-04 changes certain fair value measurement principles and enhances the disclosure requirements particularly for Level 3 fair value measurements. The Company’s adoption of ASU No. 2011-04 effective April 1, 2012 did not have a material impact on its consolidated results of operations or financial condition.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30"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fiscal year ended March 31, 2013 that are of significance, or of potential significance,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211" w:lineRule="exact"/>
        <w:rPr>
          <w:sz w:val="20"/>
          <w:szCs w:val="20"/>
          <w:color w:val="auto"/>
        </w:rPr>
      </w:pPr>
    </w:p>
    <w:p>
      <w:pPr>
        <w:ind w:left="660" w:right="20" w:hanging="353"/>
        <w:spacing w:after="0" w:line="27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86" w:lineRule="exact"/>
        <w:rPr>
          <w:rFonts w:ascii="Times New Roman" w:cs="Times New Roman" w:eastAsia="Times New Roman" w:hAnsi="Times New Roman"/>
          <w:sz w:val="18"/>
          <w:szCs w:val="18"/>
          <w:color w:val="auto"/>
        </w:rPr>
      </w:pPr>
    </w:p>
    <w:p>
      <w:pPr>
        <w:jc w:val="both"/>
        <w:ind w:left="660" w:hanging="360"/>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that are observable or can be corroborated by observable market data for substantially the full term of the assets or liabilities.</w:t>
      </w:r>
    </w:p>
    <w:p>
      <w:pPr>
        <w:spacing w:after="0" w:line="199" w:lineRule="exact"/>
        <w:rPr>
          <w:rFonts w:ascii="Times New Roman" w:cs="Times New Roman" w:eastAsia="Times New Roman" w:hAnsi="Times New Roman"/>
          <w:sz w:val="18"/>
          <w:szCs w:val="18"/>
          <w:color w:val="auto"/>
        </w:rPr>
      </w:pPr>
    </w:p>
    <w:p>
      <w:pPr>
        <w:jc w:val="both"/>
        <w:ind w:left="660" w:hanging="360"/>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 would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estimating the fair value of an asset or liability) are used when little or no market data is available. The fair value hierarchy gives the lowest priority to Level 3 inputs.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and March 2013 (see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and the potential issuance of the Series A Exchange Warrant (see Note 9,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all pursuant to the October 2012 Agreement, the Company determined that the warrants included certain exercise price adjustment features requiring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expense in other income (expense) in the Consolidated Statements of Operations and Comprehensive Loss for the year ended March 31, 2013.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2007 and 2008, the Company issued three convertible promissory notes with an aggregate principal balance of $4.0 million (the “</w:t>
      </w:r>
      <w:r>
        <w:rPr>
          <w:rFonts w:ascii="Times New Roman" w:cs="Times New Roman" w:eastAsia="Times New Roman" w:hAnsi="Times New Roman"/>
          <w:sz w:val="18"/>
          <w:szCs w:val="18"/>
          <w:i w:val="1"/>
          <w:iCs w:val="1"/>
          <w:color w:val="auto"/>
        </w:rPr>
        <w:t>Original Platinum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to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On May 5, 2011, the Original Platinum Notes were amended, restated and consolidated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note (the “</w:t>
      </w:r>
      <w:r>
        <w:rPr>
          <w:rFonts w:ascii="Times New Roman" w:cs="Times New Roman" w:eastAsia="Times New Roman" w:hAnsi="Times New Roman"/>
          <w:sz w:val="18"/>
          <w:szCs w:val="18"/>
          <w:i w:val="1"/>
          <w:iCs w:val="1"/>
          <w:color w:val="auto"/>
        </w:rPr>
        <w:t>May 2011 Platinum Note</w:t>
      </w:r>
      <w:r>
        <w:rPr>
          <w:rFonts w:ascii="Times New Roman" w:cs="Times New Roman" w:eastAsia="Times New Roman" w:hAnsi="Times New Roman"/>
          <w:sz w:val="18"/>
          <w:szCs w:val="18"/>
          <w:color w:val="auto"/>
        </w:rPr>
        <w:t>”) with a principal balance of $4.0 million (“</w:t>
      </w:r>
      <w:r>
        <w:rPr>
          <w:rFonts w:ascii="Times New Roman" w:cs="Times New Roman" w:eastAsia="Times New Roman" w:hAnsi="Times New Roman"/>
          <w:sz w:val="18"/>
          <w:szCs w:val="18"/>
          <w:i w:val="1"/>
          <w:iCs w:val="1"/>
          <w:color w:val="auto"/>
        </w:rPr>
        <w:t>May 2011 Amendment</w:t>
      </w:r>
      <w:r>
        <w:rPr>
          <w:rFonts w:ascii="Times New Roman" w:cs="Times New Roman" w:eastAsia="Times New Roman" w:hAnsi="Times New Roman"/>
          <w:sz w:val="18"/>
          <w:szCs w:val="18"/>
          <w:color w:val="auto"/>
        </w:rPr>
        <w:t>”). In conjunction with the issuance of the Original Platinum Notes, the Company determined that (i) the cash payment option or put option, which provided Platinum with the right to require the Company to repay part of the debt in cash at a 25% premium, and (ii) the note term extension option, which provided Platinum with the right to extend the maturity date by one year, were embedded derivatives that should be bifurcated and accounted for separately as liabilities. In conjunction with the issuance of the Original Platinum Notes, the Company also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included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prior to the May 2011 Amendment were recognized as a non-cash charge or income in other income (expense) in the Consolidated Statements of Operations and Comprehensive Loss for the year ended March 31, 2012.</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 May 2011 Amendment, Platinum’s cash payment or put option was eliminated. Further, concurrent with the Merger transaction described in Note 1 above, the warrants were determined not to be liabilities, since the exercise price adjustment feature terminated upon the Company becoming a public company as a result of the Merger. The increase in fair value of the warrant liability of $7,000 and the increase in the put option and note term extension option liabilities of $71,000 were recognized in other expense, net in the statement of operations for the first quarter of the fiscal year ended March 31, 2012. The remaining put option and note term extension option liabilities, in the amount of $161,800, were reclassified to note discount in connection with the May 2011 Amendment. The aggregate fair value of the warrants at May 11, 2011, $424,100, was reclassified from a liability to additional paid-in capital, a component of stockholders’ deficit.</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December 2011, the Company and Platinum entered into a Note and Warrant Exchange Agreement pursuant to which the May 2011 Platinum Note and the warrants issued to Platinum were cancelled in exchange for shares of the Company’s Series A Preferred.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for liabilities measured at fair value on a recurring basis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gridSpan w:val="4"/>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Fair Value Measurements at</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Reporting Date Using</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Significant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1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2013:</w:t>
            </w:r>
          </w:p>
        </w:tc>
        <w:tc>
          <w:tcPr>
            <w:tcW w:w="6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left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6,394,000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00" w:type="dxa"/>
            <w:vAlign w:val="bottom"/>
            <w:tcBorders>
              <w:top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March 31, 2012:</w:t>
            </w:r>
          </w:p>
        </w:tc>
        <w:tc>
          <w:tcPr>
            <w:tcW w:w="6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Put option and</w:t>
            </w: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tcBorders>
              <w:lef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term</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option</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left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Warrant liability</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7"/>
                <w:szCs w:val="17"/>
                <w:color w:val="auto"/>
              </w:rPr>
            </w:pPr>
          </w:p>
        </w:tc>
        <w:tc>
          <w:tcPr>
            <w:tcW w:w="1120" w:type="dxa"/>
            <w:vAlign w:val="bottom"/>
          </w:tcPr>
          <w:p>
            <w:pPr>
              <w:jc w:val="right"/>
              <w:ind w:right="4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tcPr>
          <w:p>
            <w:pPr>
              <w:jc w:val="right"/>
              <w:ind w:right="4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7"/>
                <w:szCs w:val="17"/>
                <w:color w:val="auto"/>
              </w:rPr>
            </w:pPr>
          </w:p>
        </w:tc>
        <w:tc>
          <w:tcPr>
            <w:tcW w:w="6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fiscal years ended March 31, 2013 and 2012, there were no significant changes to the valuation models used for purposes of determining the fair value of the Level 3 warrant liability or the put option and note term extension liabilities.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Level 3 liabilities measured at fair value on a recurring basis are as follows:</w:t>
      </w:r>
    </w:p>
    <w:p>
      <w:pPr>
        <w:spacing w:after="0" w:line="2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Fair Value Measurements Using Significant</w:t>
      </w:r>
    </w:p>
    <w:p>
      <w:pPr>
        <w:spacing w:after="0" w:line="2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Unobservable Inputs (Level 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Put Option</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Note Term</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90,800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417,100</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507,900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loss included in net loss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71,000</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liability to note discount on Original Platinum Notes upon Merger</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(161,800)</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remaining warrant liability to equity upon Merger</w:t>
            </w:r>
          </w:p>
        </w:tc>
        <w:tc>
          <w:tcPr>
            <w:tcW w:w="12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(424,100)</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of Exchange and Investment Warrants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Platinum under October 2012 Agreement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Recognition of warrant liability in connection with Series A Exchange Warrant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potentially issuable to Platinum under October 2012 Agreement</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3,068,200</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loss included in net loss</w:t>
            </w:r>
          </w:p>
        </w:tc>
        <w:tc>
          <w:tcPr>
            <w:tcW w:w="12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1,635,800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6,394,000</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No assets or other liabilities were measured on a recurring basis at fair value at March 31, 2013 or 2012.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4"/>
              </w:rPr>
              <w:t>2013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649,500</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 and network equipment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604,300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(551,300)</w:t>
            </w: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(529,800)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2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connection with the issuance of Senior Secured Convertible Promissory Notes to Platinum in July and August 2012 and with the October 2012 Agreement with Platinum, the Company entered into a Security Agreement with Platinum under which the repayment of all amounts due under the terms of the various notes issued to Platinum are secured by the Company’s assets, including its tangible and intangible personal property, licenses, patent licenses, trademarks and trademark licenses (see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In February 2004, the Company granted a security interest covering its laboratory and computer equipment in conjunction with notes payable under a line of credit agreement. The security interest was released in April 2011 in connection with the consolidation of certain notes payable.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AV-101 Acquisition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2003, pursuant to an Agreement and Plan of Merger (the “</w:t>
      </w:r>
      <w:r>
        <w:rPr>
          <w:rFonts w:ascii="Times New Roman" w:cs="Times New Roman" w:eastAsia="Times New Roman" w:hAnsi="Times New Roman"/>
          <w:sz w:val="18"/>
          <w:szCs w:val="18"/>
          <w:i w:val="1"/>
          <w:iCs w:val="1"/>
          <w:color w:val="auto"/>
        </w:rPr>
        <w:t>Artemis Agreement</w:t>
      </w:r>
      <w:r>
        <w:rPr>
          <w:rFonts w:ascii="Times New Roman" w:cs="Times New Roman" w:eastAsia="Times New Roman" w:hAnsi="Times New Roman"/>
          <w:sz w:val="18"/>
          <w:szCs w:val="18"/>
          <w:color w:val="auto"/>
        </w:rPr>
        <w:t>”), the Company acquired Artemis, a private company also in the development stage, for the purpose of acquiring exclusive licenses to patents and other intellectual property related to the use and function of AV-101, a new drug candidate then in nonclinical development, with the potential to treat neuropathic pain, depression, and other neurological diseases and disorders, epilepsy, Huntington’s disease and Parkinson’s disease. Pursuant to the Artemis Agreement, each share of common stock of Artemis was converted into the right to receive 0.9045 shares of VistaGen California’s Series B-1 Preferred Stock, resulting in VistaGen California’s pre-Merger issuance of 1,356,750 shares of its Series B-1 Preferred Stock. The shares of Series B-1 Preferred Stock were valued, pre-Merger, at $5.545 per share, and accordingly the pre-Merger purchase price of all outstanding shares of Artemis in 2003 was $7,523,200. The total purchase price was allocated to AV-101 acquired in-process research and development and was expensed subsequent to the acquisition, since AV-101 required further research and development before the Company could commence clinical trials and did not have any proven alternative future uses.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NIH awarded the Company an aggregate of $4.2 million to support nonclinical development of AV-101 during fiscal years 2006 through 2008, culminating in the submission in November 2008 of its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application to conduct Phase 1 human clinical testing of AV-101 for neuropathic pain. In April 2009, the NIH awarded the Company an aggregate of $4.2 million grant to support the Phase 1 clinical development of AV-101, and subsequently increased the grant to an aggregate of $4.6 million in July 2010. The Company completed the Phase 1a clinical trial of AV-101 during the third calendar quarter of 2011 and completed the Phase 1b clinical testing in the last half of calendar 2012. To date, VistaGen has received an aggregate of $8.8 million from the NIH for non-clinical and clinical development of AV-101.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w:t>
            </w: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 and other compensation</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placement agent fees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 and license fees</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342,900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540" w:type="dxa"/>
            <w:vAlign w:val="bottom"/>
            <w:gridSpan w:val="2"/>
          </w:tcPr>
          <w:p>
            <w:pPr>
              <w:jc w:val="right"/>
              <w:ind w:right="2992"/>
              <w:spacing w:after="0"/>
              <w:rPr>
                <w:sz w:val="20"/>
                <w:szCs w:val="20"/>
                <w:color w:val="auto"/>
              </w:rPr>
            </w:pPr>
            <w:r>
              <w:rPr>
                <w:rFonts w:ascii="Times New Roman" w:cs="Times New Roman" w:eastAsia="Times New Roman" w:hAnsi="Times New Roman"/>
                <w:sz w:val="18"/>
                <w:szCs w:val="18"/>
                <w:color w:val="auto"/>
              </w:rPr>
              <w:t>F-21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84"/>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8. Convertible Promissory Notes and Other Notes Payable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components of the Company’s convertible promissory notes and other notes payable: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33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w w:val="99"/>
              </w:rPr>
              <w:t>Senior Secured 10% Convertible Promissory</w:t>
            </w:r>
          </w:p>
        </w:tc>
        <w:tc>
          <w:tcPr>
            <w:tcW w:w="114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Notes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issued to Platinum:</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Note issued on October 11, 2012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1,272,600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61,700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1,334,300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Note issued on October 11, 2012</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524,200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Note issued on October 19, 2012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Investment Note issued on February 22,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2,600</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252,600</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Note issued on March 12, 2013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754,700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3,272,600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116,200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3,388,800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note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(1,963,100)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notes (non-current)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1,309,500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116,200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1,425,700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February 2012 12% convertible promissory</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12% convertible notes, net (non-</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unrelated parties: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 Notes payable (April 2011)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 Notes payable (August 2012)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59,400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 Notes payable - non-current portion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7.5% Notes payable to service providers for</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converted to notes payable: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Burr, Pilger, Mayer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Desjardins</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194,900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McCarthy Tetrault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404,800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2011 Morrison Foerster</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2,420,100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2012 Morrison &amp; Foerster Note A</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937,400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August 2012 Morrison &amp; Foerster Note B,</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solely in restricted shares of the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Company's common stock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1,379,400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60,100</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1,439,500</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University Health Network, payable solely in</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of the Company's common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Borders>
              <w:right w:val="single" w:sz="8" w:color="CCEEFF"/>
            </w:tcBorders>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stock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549,500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568,900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3,553,900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3,635,900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(1,142,600)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2,411,300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2,493,300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2,968,300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(452,800)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1,961,000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2,040,500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2,600,600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5.8% and 8% Notes payable to insurance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 financing company (current)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 Notes payable to vendors for accounts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converted to notes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2,603,700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105,300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2,709,000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3,202,100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(617,200)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2,012,300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2,091,800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2,620,000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related parties: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2011 7 % Note to Cato Holding Co.</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293,300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October 2012 7.5% Note to Cato Holding</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293,600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7,400</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301,000</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October 2012 7.5% Note to Cato Research</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payable solely in restricted shares of the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Borders>
              <w:right w:val="single" w:sz="8" w:color="CCEEFF"/>
            </w:tcBorders>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Company's common stock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1,009,000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1,045,200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1,346,200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(147,200)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5" w:right="239" w:bottom="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notes payable to related parties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1,199,000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269,000</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275,900</w:t>
            </w: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(7,400)</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(93,000)</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(168,200)</w:t>
            </w: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(168,200)</w:t>
            </w:r>
          </w:p>
        </w:tc>
      </w:tr>
      <w:tr>
        <w:trPr>
          <w:trHeight w:val="212"/>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1,106,000</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100,800</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ind w:left="200" w:hanging="194"/>
        <w:spacing w:after="0"/>
        <w:tabs>
          <w:tab w:leader="none" w:pos="200" w:val="left"/>
        </w:tabs>
        <w:numPr>
          <w:ilvl w:val="0"/>
          <w:numId w:val="8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See description of debt restructuring in Note 8.</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Notes issued to Platinum</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On July 2, 2012 and on August 31, 2012, the Company issued to Platinum senior secured convertible promissory notes in the principal amount of $500,000 (the </w:t>
      </w:r>
      <w:r>
        <w:rPr>
          <w:rFonts w:ascii="Times New Roman" w:cs="Times New Roman" w:eastAsia="Times New Roman" w:hAnsi="Times New Roman"/>
          <w:sz w:val="17"/>
          <w:szCs w:val="17"/>
          <w:i w:val="1"/>
          <w:iCs w:val="1"/>
          <w:color w:val="auto"/>
        </w:rPr>
        <w:t>“July 2012 Platinum Note</w:t>
      </w:r>
      <w:r>
        <w:rPr>
          <w:rFonts w:ascii="Times New Roman" w:cs="Times New Roman" w:eastAsia="Times New Roman" w:hAnsi="Times New Roman"/>
          <w:sz w:val="17"/>
          <w:szCs w:val="17"/>
          <w:color w:val="auto"/>
        </w:rPr>
        <w:t>”) and $750,000 (the "</w:t>
      </w:r>
      <w:r>
        <w:rPr>
          <w:rFonts w:ascii="Times New Roman" w:cs="Times New Roman" w:eastAsia="Times New Roman" w:hAnsi="Times New Roman"/>
          <w:sz w:val="17"/>
          <w:szCs w:val="17"/>
          <w:i w:val="1"/>
          <w:iCs w:val="1"/>
          <w:color w:val="auto"/>
        </w:rPr>
        <w:t>August 2012 Platinum Note</w:t>
      </w:r>
      <w:r>
        <w:rPr>
          <w:rFonts w:ascii="Times New Roman" w:cs="Times New Roman" w:eastAsia="Times New Roman" w:hAnsi="Times New Roman"/>
          <w:sz w:val="17"/>
          <w:szCs w:val="17"/>
          <w:color w:val="auto"/>
        </w:rPr>
        <w:t>"), respectively. The July 2012 Platinum Note and the August 2012 Platinum Note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11, 2012, the Company and Platinum entered into a Note Exchange and Purchase Agreement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in which the July 2012 Platinum Note and the August 2012 Platinum Note (together,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as well as the related accrued interest, were consolidated into and exchanged for a single senior secured convertible note in the amount of $1,272,577 (the “</w:t>
      </w:r>
      <w:r>
        <w:rPr>
          <w:rFonts w:ascii="Times New Roman" w:cs="Times New Roman" w:eastAsia="Times New Roman" w:hAnsi="Times New Roman"/>
          <w:sz w:val="18"/>
          <w:szCs w:val="18"/>
          <w:i w:val="1"/>
          <w:iCs w:val="1"/>
          <w:color w:val="auto"/>
        </w:rPr>
        <w:t>Exchange Note</w:t>
      </w:r>
      <w:r>
        <w:rPr>
          <w:rFonts w:ascii="Times New Roman" w:cs="Times New Roman" w:eastAsia="Times New Roman" w:hAnsi="Times New Roman"/>
          <w:sz w:val="18"/>
          <w:szCs w:val="18"/>
          <w:color w:val="auto"/>
        </w:rPr>
        <w:t>”) and Platinum agreed to purchase four additional 10% senior secured convertible promissory notes in the aggregate principal amount of $2.0 million (the “</w:t>
      </w:r>
      <w:r>
        <w:rPr>
          <w:rFonts w:ascii="Times New Roman" w:cs="Times New Roman" w:eastAsia="Times New Roman" w:hAnsi="Times New Roman"/>
          <w:sz w:val="18"/>
          <w:szCs w:val="18"/>
          <w:i w:val="1"/>
          <w:iCs w:val="1"/>
          <w:color w:val="auto"/>
        </w:rPr>
        <w:t>Investment Notes</w:t>
      </w:r>
      <w:r>
        <w:rPr>
          <w:rFonts w:ascii="Times New Roman" w:cs="Times New Roman" w:eastAsia="Times New Roman" w:hAnsi="Times New Roman"/>
          <w:sz w:val="18"/>
          <w:szCs w:val="18"/>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November 14, 2012 and January 31, 2013, the Company and Platinum entered into amendments to the October 2012 Agreement (the “</w:t>
      </w:r>
      <w:r>
        <w:rPr>
          <w:rFonts w:ascii="Times New Roman" w:cs="Times New Roman" w:eastAsia="Times New Roman" w:hAnsi="Times New Roman"/>
          <w:sz w:val="18"/>
          <w:szCs w:val="18"/>
          <w:i w:val="1"/>
          <w:iCs w:val="1"/>
          <w:color w:val="auto"/>
        </w:rPr>
        <w:t>NEPA Amendments</w:t>
      </w:r>
      <w:r>
        <w:rPr>
          <w:rFonts w:ascii="Times New Roman" w:cs="Times New Roman" w:eastAsia="Times New Roman" w:hAnsi="Times New Roman"/>
          <w:sz w:val="18"/>
          <w:szCs w:val="18"/>
          <w:color w:val="auto"/>
        </w:rPr>
        <w:t xml:space="preserve">”), pursuant to which the final two $500,000 tranches contemplated by the October 2012 Agreement were combined into a single Investment Note in the aggregate principal amount of $1.0 million (the </w:t>
      </w:r>
      <w:r>
        <w:rPr>
          <w:rFonts w:ascii="Times New Roman" w:cs="Times New Roman" w:eastAsia="Times New Roman" w:hAnsi="Times New Roman"/>
          <w:sz w:val="18"/>
          <w:szCs w:val="18"/>
          <w:i w:val="1"/>
          <w:iCs w:val="1"/>
          <w:color w:val="auto"/>
        </w:rPr>
        <w:t>“$1.0 Million Note</w:t>
      </w:r>
      <w:r>
        <w:rPr>
          <w:rFonts w:ascii="Times New Roman" w:cs="Times New Roman" w:eastAsia="Times New Roman" w:hAnsi="Times New Roman"/>
          <w:sz w:val="18"/>
          <w:szCs w:val="18"/>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cs="Times New Roman" w:eastAsia="Times New Roman" w:hAnsi="Times New Roman"/>
          <w:sz w:val="18"/>
          <w:szCs w:val="18"/>
          <w:i w:val="1"/>
          <w:iCs w:val="1"/>
          <w:color w:val="auto"/>
        </w:rPr>
        <w:t>Additional Financing Requirement</w:t>
      </w:r>
      <w:r>
        <w:rPr>
          <w:rFonts w:ascii="Times New Roman" w:cs="Times New Roman" w:eastAsia="Times New Roman" w:hAnsi="Times New Roman"/>
          <w:sz w:val="18"/>
          <w:szCs w:val="18"/>
          <w:color w:val="auto"/>
        </w:rPr>
        <w:t xml:space="preserve">”). The Company satisfied the Additional Financing Requirement on February 12, 2013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Exchange Note and each Investment Note (together,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At maturity, all principal and accrued interest under the Notes shall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cs="Times New Roman" w:eastAsia="Times New Roman" w:hAnsi="Times New Roman"/>
          <w:sz w:val="18"/>
          <w:szCs w:val="18"/>
          <w:i w:val="1"/>
          <w:iCs w:val="1"/>
          <w:color w:val="auto"/>
        </w:rPr>
        <w:t>Investment Warrant</w:t>
      </w:r>
      <w:r>
        <w:rPr>
          <w:rFonts w:ascii="Times New Roman" w:cs="Times New Roman" w:eastAsia="Times New Roman" w:hAnsi="Times New Roman"/>
          <w:sz w:val="18"/>
          <w:szCs w:val="18"/>
          <w:color w:val="auto"/>
        </w:rPr>
        <w:t>”). In addition, the Company issued Platinum a warrant to purchase 1,272,577 shares of the Company’s common stock in connection with the issuance of the Exchange Note (the “</w:t>
      </w:r>
      <w:r>
        <w:rPr>
          <w:rFonts w:ascii="Times New Roman" w:cs="Times New Roman" w:eastAsia="Times New Roman" w:hAnsi="Times New Roman"/>
          <w:sz w:val="18"/>
          <w:szCs w:val="18"/>
          <w:i w:val="1"/>
          <w:iCs w:val="1"/>
          <w:color w:val="auto"/>
        </w:rPr>
        <w:t>Exchange Warrant</w:t>
      </w:r>
      <w:r>
        <w:rPr>
          <w:rFonts w:ascii="Times New Roman" w:cs="Times New Roman" w:eastAsia="Times New Roman" w:hAnsi="Times New Roman"/>
          <w:sz w:val="18"/>
          <w:szCs w:val="18"/>
          <w:color w:val="auto"/>
        </w:rPr>
        <w:t xml:space="preserve">”). At issuance, the Platinum Exchange Warrant and each Investment Warrant has a term of 5 years and an exercise price of $1.50 per share, subject to certain adjustments.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regarding a modification of the exercise price of the Exchange Warrant and the Investment Warrants. The Company and Platinum also executed and subsequently amended a security agreement to secure repayment of all obligations due and payable under the terms of the Exchange Note and all of the Investment Notes.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Subject to limited exceptions, which include issuances of common stock pursuant to the 2012 Private Placement of Units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the Exchange Warrant and each of the Investment Warrants include certain exercise price reset and anti-dilution protection features in the event that the Company issues other shares of common stock during the five-year term of the warrants at a price less than their initial $1.50 per share exercise price. As a result of these provisions, the Exchange Warrant and the Investment Warrants do not meet the criteria set forth in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to be considered indexed to the Company’s own stock and treated as equity instruments. Consequently, the Company recorded the Exchange Warrant and each of the Investment Warrants as liabilities at their fair value, which was estimated at the issuance date using a Monte Carlo simulation model and the following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Exchange</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color w:val="auto"/>
                <w:w w:val="98"/>
              </w:rPr>
              <w:t>Investment Warrants Issued on:</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Warrant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10/11/2012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10/19/2012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of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1,272,577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date of issuance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672,000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at the date of issuance was recorded as a liability and as a corresponding discount to the related Investment Note. Subject to limitations of the absolute amount of discount attributable to each Investment Note, the Company treated the issuance-date intrinsic value of the beneficial conversion feature embedded in each Investment Note as an additional component of the discount attributable to each Investment Note and recorded a discount attributable to the beneficial conversion feature for each Investment Note. The Company amortizes the aggregate discount attributable to each of the Investment Notes using the interest method over the respective term of each note. The table below summarizes the components of the discount and the effective interest rate at inception for the Exchange Note and each of the Investment Notes.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84"/>
        </w:trPr>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10"/>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Inception Date Carrying Value of</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3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10"/>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Exchange</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Investment Notes Issued on:</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Note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10/11/2012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10/19/2012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1,272,600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attributable to:</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 conversion feature</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Inception date carrying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1,272,600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of the Exchange Warrant and Investment Warrants was re-measured as of March 31, 2013 at an aggregate of $1,988,000 and the $298,000 increase in fair value since inception was reflected in the accompanying Consolidated Statement of Operations and Comprehensive Income for the year ended March 31, 2013.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2011 Platinum Note</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2007 and 2008, the Company issued three convertible promissory notes with an aggregate principal balance of $4.0 million to Platinum (the “</w:t>
      </w:r>
      <w:r>
        <w:rPr>
          <w:rFonts w:ascii="Times New Roman" w:cs="Times New Roman" w:eastAsia="Times New Roman" w:hAnsi="Times New Roman"/>
          <w:sz w:val="17"/>
          <w:szCs w:val="17"/>
          <w:i w:val="1"/>
          <w:i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Platinum Notes</w:t>
      </w:r>
      <w:r>
        <w:rPr>
          <w:rFonts w:ascii="Times New Roman" w:cs="Times New Roman" w:eastAsia="Times New Roman" w:hAnsi="Times New Roman"/>
          <w:sz w:val="17"/>
          <w:szCs w:val="17"/>
          <w:color w:val="auto"/>
        </w:rPr>
        <w:t>”). In conjunction with the issuance of the Original Platinum Notes, the Company also issued warrants to Platinum to purchase an aggregate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560,000 shares of the Company’s common stock. On May 5, 2011, the Original Platinum Notes were amended, restated and consolidated into a single note (the “</w:t>
      </w:r>
      <w:r>
        <w:rPr>
          <w:rFonts w:ascii="Times New Roman" w:cs="Times New Roman" w:eastAsia="Times New Roman" w:hAnsi="Times New Roman"/>
          <w:sz w:val="17"/>
          <w:szCs w:val="17"/>
          <w:i w:val="1"/>
          <w:iCs w:val="1"/>
          <w:color w:val="auto"/>
        </w:rPr>
        <w:t>May 2011Platinum Note</w:t>
      </w:r>
      <w:r>
        <w:rPr>
          <w:rFonts w:ascii="Times New Roman" w:cs="Times New Roman" w:eastAsia="Times New Roman" w:hAnsi="Times New Roman"/>
          <w:sz w:val="17"/>
          <w:szCs w:val="17"/>
          <w:color w:val="auto"/>
        </w:rPr>
        <w:t>”) with a principal balance of $4.0 million and an extended maturity date of June 30, 2012, a one year extension from the June 30, 2011 maturity date of the Original Platinum Notes (the “</w:t>
      </w:r>
      <w:r>
        <w:rPr>
          <w:rFonts w:ascii="Times New Roman" w:cs="Times New Roman" w:eastAsia="Times New Roman" w:hAnsi="Times New Roman"/>
          <w:sz w:val="17"/>
          <w:szCs w:val="17"/>
          <w:i w:val="1"/>
          <w:iCs w:val="1"/>
          <w:color w:val="auto"/>
        </w:rPr>
        <w:t>May 2011 Amendment</w:t>
      </w:r>
      <w:r>
        <w:rPr>
          <w:rFonts w:ascii="Times New Roman" w:cs="Times New Roman" w:eastAsia="Times New Roman" w:hAnsi="Times New Roman"/>
          <w:sz w:val="17"/>
          <w:szCs w:val="17"/>
          <w:color w:val="auto"/>
        </w:rPr>
        <w:t xml:space="preserve">”). The May 2011 Platinum Note continued to bear interest at an annual rate of 10%. Platinum retained the right, in its sole discretion, to extend the maturity date of the May 2011 Platinum Note by one year to June 30, 2013. The May 2011 Platinum Note would have been automatically converted, subject to certain conditions, upon the last to occur of (i) the closing of an equity or equity-based financing or series of equity or equity-based financings after May 1, 2011 resulting in gross proceeds to the Company totaling at least $5.0 million, including the 2011 Private Placement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and cancellation of debt not otherwise convertible; and (ii) the Company becoming a publicly traded company ("</w:t>
      </w:r>
      <w:r>
        <w:rPr>
          <w:rFonts w:ascii="Times New Roman" w:cs="Times New Roman" w:eastAsia="Times New Roman" w:hAnsi="Times New Roman"/>
          <w:sz w:val="17"/>
          <w:szCs w:val="17"/>
          <w:i w:val="1"/>
          <w:iCs w:val="1"/>
          <w:color w:val="auto"/>
        </w:rPr>
        <w:t>Amended Qualified Financing</w:t>
      </w:r>
      <w:r>
        <w:rPr>
          <w:rFonts w:ascii="Times New Roman" w:cs="Times New Roman" w:eastAsia="Times New Roman" w:hAnsi="Times New Roman"/>
          <w:sz w:val="17"/>
          <w:szCs w:val="17"/>
          <w:color w:val="auto"/>
        </w:rPr>
        <w:t>"). The number of shares issuable to Platinum upon the automatic conversion of the May 2011 Platinum Note would have been determined in accordance with one of the following three formulas, as selected by Platinum in its sole discretion: (i) the outstanding principal plus accrued but unpaid interest ("</w:t>
      </w:r>
      <w:r>
        <w:rPr>
          <w:rFonts w:ascii="Times New Roman" w:cs="Times New Roman" w:eastAsia="Times New Roman" w:hAnsi="Times New Roman"/>
          <w:sz w:val="17"/>
          <w:szCs w:val="17"/>
          <w:i w:val="1"/>
          <w:iCs w:val="1"/>
          <w:color w:val="auto"/>
        </w:rPr>
        <w:t>Outstanding Balance</w:t>
      </w:r>
      <w:r>
        <w:rPr>
          <w:rFonts w:ascii="Times New Roman" w:cs="Times New Roman" w:eastAsia="Times New Roman" w:hAnsi="Times New Roman"/>
          <w:sz w:val="17"/>
          <w:szCs w:val="17"/>
          <w:color w:val="auto"/>
        </w:rPr>
        <w:t>") as of the closing of the Amended Qualified Financing multiplied by 1.25 and divided by $1.75 per share;</w:t>
      </w:r>
    </w:p>
    <w:p>
      <w:pPr>
        <w:spacing w:after="0" w:line="6" w:lineRule="exact"/>
        <w:rPr>
          <w:sz w:val="20"/>
          <w:szCs w:val="20"/>
          <w:color w:val="auto"/>
        </w:rPr>
      </w:pPr>
    </w:p>
    <w:p>
      <w:pPr>
        <w:jc w:val="both"/>
        <w:ind w:firstLine="6"/>
        <w:spacing w:after="0" w:line="247" w:lineRule="auto"/>
        <w:tabs>
          <w:tab w:leader="none" w:pos="2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as of the closing of the Amended Qualified Financing multiplied by 1.25 and divided by the per share price of shares sold in the Amended Qualified Financing; or (iii) the Outstanding Balance as of the closing of the Amended Qualified Financing divided by the Company's per share price assuming a pre-Amended Qualified Financing valuation of the Company of $30 million on a fully-diluted basis, subject to certain exclusions. Under the May 2011 Platinum Note, the cash payment option previously included in the Original Platinum Notes was eliminated. In the event the Company had completed an Amended Qualified Financing prior to December 31, 2011, interest accrued on the May 2011 Platinum Note from May 5, 2011 through the date of the closing of the Amended Qualified Financing would have been forgiven.</w:t>
      </w:r>
    </w:p>
    <w:p>
      <w:pPr>
        <w:spacing w:after="0" w:line="21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May 2011 Platinum Note would have been voluntarily convertible, at the option of Platinum, at any time prior to an Amended Qualified Financing or its maturity date into restricted shares of common stock determined by multiplying the Outstanding Balance being converted by 1.25 and dividing by the lesser of</w:t>
      </w:r>
    </w:p>
    <w:p>
      <w:pPr>
        <w:spacing w:after="0" w:line="1" w:lineRule="exact"/>
        <w:rPr>
          <w:sz w:val="20"/>
          <w:szCs w:val="20"/>
          <w:color w:val="auto"/>
        </w:rPr>
      </w:pPr>
    </w:p>
    <w:p>
      <w:pPr>
        <w:jc w:val="both"/>
        <w:ind w:firstLine="6"/>
        <w:spacing w:after="0" w:line="246" w:lineRule="auto"/>
        <w:tabs>
          <w:tab w:leader="none" w:pos="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per share; (ii) the per share price in any subsequent equity financing; or (iii) the per share price assuming a $30 million valuation of the Company on a fully diluted basis (subject to certain exclusions). Platinum could have elected to convert the May 2011 Platinum Note at any time, but was not obligated to convert the May 2011 Platinum Note until the restricted shares issuable upon conversion of the note were freely tradable pursuant to an effective registration statement or could have been sold in any ninety day period without registration under the Securities Act of 1933, as amended (“Securities Act”), in compliance with Rule 144. Additionally, Platinum could not have converted the May 2011 Platinum Note if the shares issuable upon conversion would result in it beneficially owning in excess of 9.99% of the then outstanding shares of the Company's common stock. However, Platinum could have waived this condition upon giving 61 days’ notice to the Company.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May 2011 Platinum Note, the Company issued to Platinum a three-year warrant to purchase 825,574 restricted shares of the Company’s common stock at an exercise price of $2.50 per share. The warrant would have expired on May 5, 2014, and become exercisable upon Platinum’s conversion of the May 2011 Platinum Note and would have been exercisable for one-fourth (1/4) of the number of shares issued in the conversion.</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December 2011, the Company and Platinum entered into a Note and Warrant Exchange Agreement pursuant to which the May 2011 Platinum Note was cancelled and all warrants issued to Platinum were exercised in exchange for restricted shares of the Company’s new Series A Preferred stock. See </w:t>
      </w:r>
      <w:r>
        <w:rPr>
          <w:rFonts w:ascii="Times New Roman" w:cs="Times New Roman" w:eastAsia="Times New Roman" w:hAnsi="Times New Roman"/>
          <w:sz w:val="18"/>
          <w:szCs w:val="18"/>
          <w:i w:val="1"/>
          <w:iCs w:val="1"/>
          <w:color w:val="auto"/>
        </w:rPr>
        <w:t>Note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 Exchange Agreement </w:t>
      </w:r>
      <w:r>
        <w:rPr>
          <w:rFonts w:ascii="Times New Roman" w:cs="Times New Roman" w:eastAsia="Times New Roman" w:hAnsi="Times New Roman"/>
          <w:sz w:val="18"/>
          <w:szCs w:val="18"/>
          <w:color w:val="auto"/>
        </w:rPr>
        <w:t>below.</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evaluated the extension of the maturity date of the Original Platinum Notes along with the issuance of the new three-year warrant and determined that the modifications were to be accounted for as a troubled debt restructuring on a prospective basis. The Company recorded a discount to the May 2011 Platinum Note of $908,900, which amount was equal to the incremental fair value of the note conversion feature and the cash payment or put option liability, and the fair value of the new warrant. The note discount was to be amortized as non-cash interest expense over the remaining term of the May 2011 Platinum Note using the effective interest method. The effective annual interest rate of the May 2011 Platinum Note was determined to be 17.3%, based on the amount of the note discount, the stated interest rate, and the note term.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related to Original Platinum Notes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warrants issued with the Original Platinum Notes included certain exercise price adjustment features and accordingly were not deemed to be indexed to the Company’s common stock. At issuance, the Company recorded the estimated fair value of the warrant liability of $151,300 as a non-current liability in the consolidated balance sheet. Changes in the estimated fair value of the warrant liability were recorded in other income (expense) in the Consolidated Statement of Operations and Comprehensive Loss until the closing of the Merger on May 11, 2011, when the amended warrants no longer contained the exercise price adjustment features, at which time the warrants were deemed to be indexed to the Company’s common stock and therefore no longer treated as a liability. The warrant liability was recorded at its fair value of $424,100 at May 11, 2011, which resulted in non-cash expense of $7,000 that was charged to other income (expense) in the first quarter of the fiscal year ended March 31, 2012. As of May 11, 2011, $424,100, the then-current aggregate fair value of these warrants, was reclassified from warrant liability to additional paid-in capital, a component of stockholders’ deficit.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2011 Note and Warrant Exchange Agreement with Platinum</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December 29, 2011, the Company and Platinum entered into a Note and Warrant Exchange Agreement pursuant to which the May 2011 Platinum Note and all outstanding warrants issued to Platinum to purchase an aggregate of 1,599,858 restricted shares of the Company’s common stock were cancelled in exchange for 391,075 restricted shares of the Company’s newly-created Series A Preferred Stock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xml:space="preserve">”). Each share of Series A Preferred was initially convertible into ten shares of the Company’s common stock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 Company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Company determined that the cancellation of the Platinum Note and exercise of the warrants pursuant to the Note and Warrant Exchange Agreement should be accounted for as a debt extinguishment. The Company estimated the fair value of the restricted shares of Series A Preferred tendered to Platinum for the cancellation of the Platinum Note under the terms of the agreement at $15.51 per share ($1.55 on a per common share equivalent basis). The Company recorded a loss of $1,193,500 attributable to the early debt extinguishment, reported in Other expenses, net in the accompanying Consolidated Statements of Operations and Comprehensive Loss for the year ended March 31, 2012. The loss includes $287,278, calculated using the Black-Scholes Option Pricing Model, representing the incremental fair value of the warrants exercised by Platinum as modified to reduce their exercise price. (See </w:t>
      </w:r>
      <w:r>
        <w:rPr>
          <w:rFonts w:ascii="Times New Roman" w:cs="Times New Roman" w:eastAsia="Times New Roman" w:hAnsi="Times New Roman"/>
          <w:sz w:val="18"/>
          <w:szCs w:val="18"/>
          <w:i w:val="1"/>
          <w:iCs w:val="1"/>
          <w:color w:val="auto"/>
        </w:rPr>
        <w:t>Discounted Warrant Exercise Program</w:t>
      </w:r>
      <w:r>
        <w:rPr>
          <w:rFonts w:ascii="Times New Roman" w:cs="Times New Roman" w:eastAsia="Times New Roman" w:hAnsi="Times New Roman"/>
          <w:sz w:val="18"/>
          <w:szCs w:val="18"/>
          <w:color w:val="auto"/>
        </w:rPr>
        <w:t xml:space="preserve">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 description of the modification of warrant exercise prices and the resulting valuation that occurred during the quarter ended December 31, 2011.) The restricted common shares issued in connection with the warrant exercise that were exchanged for shares of Series A Preferred Stock are treated as Treasury Stock in the accompanying Consolidated Balance Sheets at March 31, 2013 and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2012 Convertible Promissory Notes</w:t>
      </w:r>
    </w:p>
    <w:p>
      <w:pPr>
        <w:spacing w:after="0" w:line="2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28, 2012, the Company completed a private placement of convertible promissory notes to certain accredited investors in the aggregate principal amount of $500,000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Each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Times New Roman" w:cs="Times New Roman" w:eastAsia="Times New Roman" w:hAnsi="Times New Roman"/>
          <w:sz w:val="17"/>
          <w:szCs w:val="17"/>
          <w:i w:val="1"/>
          <w:iCs w:val="1"/>
          <w:color w:val="auto"/>
        </w:rPr>
        <w:t>Qualified Financing Threshold</w:t>
      </w:r>
      <w:r>
        <w:rPr>
          <w:rFonts w:ascii="Times New Roman" w:cs="Times New Roman" w:eastAsia="Times New Roman" w:hAnsi="Times New Roman"/>
          <w:sz w:val="17"/>
          <w:szCs w:val="17"/>
          <w:color w:val="auto"/>
        </w:rPr>
        <w:t>”). The holders of the Notes had the right to voluntarily convert the outstanding principal amount of the Notes and all accrued and unpaid interest (the “</w:t>
      </w:r>
      <w:r>
        <w:rPr>
          <w:rFonts w:ascii="Times New Roman" w:cs="Times New Roman" w:eastAsia="Times New Roman" w:hAnsi="Times New Roman"/>
          <w:sz w:val="17"/>
          <w:szCs w:val="17"/>
          <w:i w:val="1"/>
          <w:iCs w:val="1"/>
          <w:color w:val="auto"/>
        </w:rPr>
        <w:t>Outstanding Balance</w:t>
      </w:r>
      <w:r>
        <w:rPr>
          <w:rFonts w:ascii="Times New Roman" w:cs="Times New Roman" w:eastAsia="Times New Roman" w:hAnsi="Times New Roman"/>
          <w:sz w:val="17"/>
          <w:szCs w:val="17"/>
          <w:color w:val="auto"/>
        </w:rPr>
        <w:t>”) at any time prior to maturity into that number of restricted shares of the Company’s common stock equal to the Outstanding Balance, divided by $3.00 (the "</w:t>
      </w:r>
      <w:r>
        <w:rPr>
          <w:rFonts w:ascii="Times New Roman" w:cs="Times New Roman" w:eastAsia="Times New Roman" w:hAnsi="Times New Roman"/>
          <w:sz w:val="17"/>
          <w:szCs w:val="17"/>
          <w:i w:val="1"/>
          <w:iCs w:val="1"/>
          <w:color w:val="auto"/>
        </w:rPr>
        <w:t>Conversion Shares</w:t>
      </w:r>
      <w:r>
        <w:rPr>
          <w:rFonts w:ascii="Times New Roman" w:cs="Times New Roman" w:eastAsia="Times New Roman" w:hAnsi="Times New Roman"/>
          <w:sz w:val="17"/>
          <w:szCs w:val="17"/>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Times New Roman" w:cs="Times New Roman" w:eastAsia="Times New Roman" w:hAnsi="Times New Roman"/>
          <w:sz w:val="17"/>
          <w:szCs w:val="17"/>
          <w:i w:val="1"/>
          <w:iCs w:val="1"/>
          <w:color w:val="auto"/>
        </w:rPr>
        <w:t>Qualified Financing</w:t>
      </w:r>
      <w:r>
        <w:rPr>
          <w:rFonts w:ascii="Times New Roman" w:cs="Times New Roman" w:eastAsia="Times New Roman" w:hAnsi="Times New Roman"/>
          <w:sz w:val="17"/>
          <w:szCs w:val="17"/>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 The purchaser of each Note was issued a five-year warrant to purchase, for $2.75 per share, the number of restricted shares of the Company’s common stock equal to 150% of the total principal amount of the Notes purchased by such purchaser, divided by $2.75, resulting in the potential issuance of an aggregate of 272,724 restricted shares of the Company’s common stock upon exercise of the warrants (the “</w:t>
      </w:r>
      <w:r>
        <w:rPr>
          <w:rFonts w:ascii="Times New Roman" w:cs="Times New Roman" w:eastAsia="Times New Roman" w:hAnsi="Times New Roman"/>
          <w:sz w:val="17"/>
          <w:szCs w:val="17"/>
          <w:i w:val="1"/>
          <w:iCs w:val="1"/>
          <w:color w:val="auto"/>
        </w:rPr>
        <w:t>Warrant Shares</w:t>
      </w:r>
      <w:r>
        <w:rPr>
          <w:rFonts w:ascii="Times New Roman" w:cs="Times New Roman" w:eastAsia="Times New Roman" w:hAnsi="Times New Roman"/>
          <w:sz w:val="17"/>
          <w:szCs w:val="17"/>
          <w:color w:val="auto"/>
        </w:rPr>
        <w:t>”). The warrants terminate, if not exercised, five years from the date of issuance. The Company valued the warrants at a fair value of $1.99 per share on the date of issuance using the Black-Scholes option pricing model and the following assumptions: fair value of common stock - $2.85; risk-free interest rate – 0.84%; volatility – 89.9%; contractual term – 5.00 years; dividend rate – 0%.</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allocated the proceeds from the Notes and associated warrants based on their relative fair values. The relative fair value attributable to the warrants was $260,076, which the Company recorded as a discount to the Notes and a corresponding credit to additional paid-in capital. The Company recorded an additional note discount of $235,084 for the fair value of the non-contingent beneficial conversion feature of the Notes. The note discounts totaling $495,160 were to be amortized to interest expense using the effective interest method over the term of the Notes. The effective interest rate on the Notes at the date of issuance was 268.9% based on the stated interest rate, the amount of discount, and the term of the Notes.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purchasers of the February 2012 Notes pursuant to which the Company agreed to register for resale the Conversion Shares and the Warrant Shares. The Company agreed to file a registration statement no later than ninety days from the February 28, 2012 closing date, or by May 28, 2012 (the “</w:t>
      </w:r>
      <w:r>
        <w:rPr>
          <w:rFonts w:ascii="Times New Roman" w:cs="Times New Roman" w:eastAsia="Times New Roman" w:hAnsi="Times New Roman"/>
          <w:sz w:val="18"/>
          <w:szCs w:val="18"/>
          <w:i w:val="1"/>
          <w:iCs w:val="1"/>
          <w:color w:val="auto"/>
        </w:rPr>
        <w:t>Filing Deadline</w:t>
      </w:r>
      <w:r>
        <w:rPr>
          <w:rFonts w:ascii="Times New Roman" w:cs="Times New Roman" w:eastAsia="Times New Roman" w:hAnsi="Times New Roman"/>
          <w:sz w:val="18"/>
          <w:szCs w:val="18"/>
          <w:color w:val="auto"/>
        </w:rPr>
        <w:t>”). Should the Company not have filed the registration statement by the Filing Deadline or if the registration statement had not been declared effective by the agreed upon effectiveness deadline, the Company was required to make aggregate payments to the purchasers in an amount equal to 1% of the $500,000 aggregate face amount of the February 2012 Notes for each 30-day period following the Filing Deadline, or pro-rata portion thereof, with an aggregate limitation of $50,000.</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November 15, 2012, the holders of the February 2012 Notes entered into an Exchange Agreement with the Company (the "</w:t>
      </w:r>
      <w:r>
        <w:rPr>
          <w:rFonts w:ascii="Times New Roman" w:cs="Times New Roman" w:eastAsia="Times New Roman" w:hAnsi="Times New Roman"/>
          <w:sz w:val="17"/>
          <w:szCs w:val="17"/>
          <w:i w:val="1"/>
          <w:iCs w:val="1"/>
          <w:color w:val="auto"/>
        </w:rPr>
        <w:t>Exchange Agreement</w:t>
      </w:r>
      <w:r>
        <w:rPr>
          <w:rFonts w:ascii="Times New Roman" w:cs="Times New Roman" w:eastAsia="Times New Roman" w:hAnsi="Times New Roman"/>
          <w:sz w:val="17"/>
          <w:szCs w:val="17"/>
          <w:color w:val="auto"/>
        </w:rPr>
        <w:t>"). Under the terms of the Exchange Agreement, (i) the current amount due under the terms of the February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Times New Roman" w:cs="Times New Roman" w:eastAsia="Times New Roman" w:hAnsi="Times New Roman"/>
          <w:sz w:val="17"/>
          <w:szCs w:val="17"/>
          <w:i w:val="1"/>
          <w:iCs w:val="1"/>
          <w:color w:val="auto"/>
        </w:rPr>
        <w:t>Note Exchange Securities</w:t>
      </w:r>
      <w:r>
        <w:rPr>
          <w:rFonts w:ascii="Times New Roman" w:cs="Times New Roman" w:eastAsia="Times New Roman" w:hAnsi="Times New Roman"/>
          <w:sz w:val="17"/>
          <w:szCs w:val="17"/>
          <w:color w:val="auto"/>
        </w:rPr>
        <w:t>"); and (ii) the Registration Rights Agreement was terminated. Additionally, the Company issued a five-year warrant to purchase 72,000 restricted shares of the Company’s common stock at an exercise price of $1.50 per share as partial compensation to an investment bank that had placed certain of the Notes. The Company recorded the issuance of the warrants with a charge to interest expense of $28,200 and a corresponding credit to additional paid-in capital.</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determined that the exchange of the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Notes, including accrued interest, resulted in the recognition of $1,145,100 as a non-cash loss on early extinguishment of debt in the accompanying Consolidated Statements of Operations and Comprehensive Income for the year ended March 31, 2013. The warrants issued to the investment bank were valued using the same assumptions as used for the warrants issued to the exchanging note 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of Note Payable to Morrison &amp; Foerster</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5, 2011, the Company and Morrison &amp; Foerster LLP (“</w:t>
      </w:r>
      <w:r>
        <w:rPr>
          <w:rFonts w:ascii="Times New Roman" w:cs="Times New Roman" w:eastAsia="Times New Roman" w:hAnsi="Times New Roman"/>
          <w:sz w:val="18"/>
          <w:szCs w:val="18"/>
          <w:i w:val="1"/>
          <w:iCs w:val="1"/>
          <w:color w:val="auto"/>
        </w:rPr>
        <w:t>Morrison &amp; Foerster</w:t>
      </w:r>
      <w:r>
        <w:rPr>
          <w:rFonts w:ascii="Times New Roman" w:cs="Times New Roman" w:eastAsia="Times New Roman" w:hAnsi="Times New Roman"/>
          <w:sz w:val="18"/>
          <w:szCs w:val="18"/>
          <w:color w:val="auto"/>
        </w:rPr>
        <w:t>”), then the Company’s general corporate and and intellectual property counsel, amended a previously outstanding note (the “</w:t>
      </w:r>
      <w:r>
        <w:rPr>
          <w:rFonts w:ascii="Times New Roman" w:cs="Times New Roman" w:eastAsia="Times New Roman" w:hAnsi="Times New Roman"/>
          <w:sz w:val="18"/>
          <w:szCs w:val="18"/>
          <w:i w:val="1"/>
          <w:iCs w:val="1"/>
          <w:color w:val="auto"/>
        </w:rPr>
        <w:t>Original Note</w:t>
      </w:r>
      <w:r>
        <w:rPr>
          <w:rFonts w:ascii="Times New Roman" w:cs="Times New Roman" w:eastAsia="Times New Roman" w:hAnsi="Times New Roman"/>
          <w:sz w:val="18"/>
          <w:szCs w:val="18"/>
          <w:color w:val="auto"/>
        </w:rPr>
        <w:t>”) issued by the Company in payment of legal services (the “</w:t>
      </w:r>
      <w:r>
        <w:rPr>
          <w:rFonts w:ascii="Times New Roman" w:cs="Times New Roman" w:eastAsia="Times New Roman" w:hAnsi="Times New Roman"/>
          <w:sz w:val="18"/>
          <w:szCs w:val="18"/>
          <w:i w:val="1"/>
          <w:iCs w:val="1"/>
          <w:color w:val="auto"/>
        </w:rPr>
        <w:t>Amended Note</w:t>
      </w:r>
      <w:r>
        <w:rPr>
          <w:rFonts w:ascii="Times New Roman" w:cs="Times New Roman" w:eastAsia="Times New Roman" w:hAnsi="Times New Roman"/>
          <w:sz w:val="18"/>
          <w:szCs w:val="18"/>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August 31, 2012, the Company restructured the Amended Note (the “</w:t>
      </w:r>
      <w:r>
        <w:rPr>
          <w:rFonts w:ascii="Times New Roman" w:cs="Times New Roman" w:eastAsia="Times New Roman" w:hAnsi="Times New Roman"/>
          <w:sz w:val="18"/>
          <w:szCs w:val="18"/>
          <w:i w:val="1"/>
          <w:iCs w:val="1"/>
          <w:color w:val="auto"/>
        </w:rPr>
        <w:t>Restructuring Agreement</w:t>
      </w:r>
      <w:r>
        <w:rPr>
          <w:rFonts w:ascii="Times New Roman" w:cs="Times New Roman" w:eastAsia="Times New Roman" w:hAnsi="Times New Roman"/>
          <w:sz w:val="18"/>
          <w:szCs w:val="18"/>
          <w:color w:val="auto"/>
        </w:rPr>
        <w:t>”). Pursuant to the Restructuring Agreement, the Company issued to Morrison &amp; Foerster two new unsecured promissory notes to replace the Amended Note, one in the principal amount of $1,000,000 ("</w:t>
      </w:r>
      <w:r>
        <w:rPr>
          <w:rFonts w:ascii="Times New Roman" w:cs="Times New Roman" w:eastAsia="Times New Roman" w:hAnsi="Times New Roman"/>
          <w:sz w:val="18"/>
          <w:szCs w:val="18"/>
          <w:i w:val="1"/>
          <w:i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A</w:t>
      </w:r>
      <w:r>
        <w:rPr>
          <w:rFonts w:ascii="Times New Roman" w:cs="Times New Roman" w:eastAsia="Times New Roman" w:hAnsi="Times New Roman"/>
          <w:sz w:val="18"/>
          <w:szCs w:val="18"/>
          <w:color w:val="auto"/>
        </w:rPr>
        <w:t>") and the other in the principal amount of $1,379,400 ("</w:t>
      </w:r>
      <w:r>
        <w:rPr>
          <w:rFonts w:ascii="Times New Roman" w:cs="Times New Roman" w:eastAsia="Times New Roman" w:hAnsi="Times New Roman"/>
          <w:sz w:val="18"/>
          <w:szCs w:val="18"/>
          <w:i w:val="1"/>
          <w:iCs w:val="1"/>
          <w:color w:val="auto"/>
        </w:rPr>
        <w:t>Replacement Note B</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amended an outstanding warrant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restricted shares of the Company’s common stock (the </w:t>
      </w:r>
      <w:r>
        <w:rPr>
          <w:rFonts w:ascii="Times New Roman" w:cs="Times New Roman" w:eastAsia="Times New Roman" w:hAnsi="Times New Roman"/>
          <w:sz w:val="18"/>
          <w:szCs w:val="18"/>
          <w:i w:val="1"/>
          <w:iCs w:val="1"/>
          <w:color w:val="auto"/>
        </w:rPr>
        <w:t>“Amended M&amp;F Warrant”)</w:t>
      </w:r>
      <w:r>
        <w:rPr>
          <w:rFonts w:ascii="Times New Roman" w:cs="Times New Roman" w:eastAsia="Times New Roman" w:hAnsi="Times New Roman"/>
          <w:sz w:val="18"/>
          <w:szCs w:val="18"/>
          <w:color w:val="auto"/>
        </w:rPr>
        <w:t>; and issued a new warrant to purchase restricted shares of the Company’s common stock (the “</w:t>
      </w:r>
      <w:r>
        <w:rPr>
          <w:rFonts w:ascii="Times New Roman" w:cs="Times New Roman" w:eastAsia="Times New Roman" w:hAnsi="Times New Roman"/>
          <w:sz w:val="18"/>
          <w:szCs w:val="18"/>
          <w:i w:val="1"/>
          <w:iCs w:val="1"/>
          <w:color w:val="auto"/>
        </w:rPr>
        <w:t>New M&amp;F Warrant”).</w:t>
      </w:r>
      <w:r>
        <w:rPr>
          <w:rFonts w:ascii="Times New Roman" w:cs="Times New Roman" w:eastAsia="Times New Roman" w:hAnsi="Times New Roman"/>
          <w:sz w:val="18"/>
          <w:szCs w:val="18"/>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requires monthly payments of $15,000 per month through March 31, 2013, and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0.52</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2013, the Company has adjusted the New M&amp;F Warrant to increase the number of restricted shares available for purchase by 60,088 shares, based on interest accrued on Replacement Note B through that date. The Company has recorded the fair value of the additional shares as a charge to interest expense and a corresponding credit to additional paid-in capital.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of Accounts Payable to Cato Research Ltd. (“</w:t>
      </w:r>
      <w:r>
        <w:rPr>
          <w:rFonts w:ascii="Times New Roman" w:cs="Times New Roman" w:eastAsia="Times New Roman" w:hAnsi="Times New Roman"/>
          <w:sz w:val="18"/>
          <w:szCs w:val="18"/>
          <w:b w:val="1"/>
          <w:bCs w:val="1"/>
          <w:i w:val="1"/>
          <w:iCs w:val="1"/>
          <w:color w:val="auto"/>
        </w:rPr>
        <w:t>CRL</w:t>
      </w:r>
      <w:r>
        <w:rPr>
          <w:rFonts w:ascii="Times New Roman" w:cs="Times New Roman" w:eastAsia="Times New Roman" w:hAnsi="Times New Roman"/>
          <w:sz w:val="18"/>
          <w:szCs w:val="18"/>
          <w:b w:val="1"/>
          <w:bCs w:val="1"/>
          <w:color w:val="auto"/>
        </w:rPr>
        <w:t>”)</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October 10, 2012, the Company issued to CRL,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rendered by CRL to the Company and its affiliates through December 31, 2012 with respect to the non-clinical and clinical development of AV-101,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2013, the Company has adjusted the CRL Warrant to increase the number of restricted shares available for purchase by 36,188 shares, based on interest accrued on the CRL Note through that date. The Company has recorded the fair value of the additional shares as a charge to interest expense and a corresponding credit to additional paid-in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and Restructuring of Long-Term Promissory Note to Cato Holding Company</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2011, all amounts owed by the Company to 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and its affiliates, which included the $105,000 balance of an August 2010 Short-Term Note issued to Cato BioVentures, were consolidated into a single note, in the principal amount of $352,273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Concurrently, CHC released all of its security interests in certain of the Company’s personal property. The 2011 CHC note accrued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10, 2012, the Company and CHC restructured the 2011 CHC Note. The 2011 CHC Note was cancelled and exchanged for a new unsecured promissory note in the principal amount of $310,443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restricted shares of the Company’s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The 2012 CHC Note accrues interest at a rate of 7.5% per annum and is due and payable in monthly installments of $10,000, beginning November 1, 2012 and continuing until the outstanding balance is paid in full.</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$120,462,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$120,462, which is treated as an equity instrument, was credited to additional paid in capital at the issuance date. The difference between the face value of the 2012 CHC Note and its fair value, $19,343, has been treated as a discount to the note and is being amortized over the term of the note using the interest method, resulting in an effective interest rate of 11.9% on the CHC 2012 Note.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of Accounts Payable to University Health Network (“</w:t>
      </w:r>
      <w:r>
        <w:rPr>
          <w:rFonts w:ascii="Times New Roman" w:cs="Times New Roman" w:eastAsia="Times New Roman" w:hAnsi="Times New Roman"/>
          <w:sz w:val="18"/>
          <w:szCs w:val="18"/>
          <w:b w:val="1"/>
          <w:bCs w:val="1"/>
          <w:i w:val="1"/>
          <w:iCs w:val="1"/>
          <w:color w:val="auto"/>
        </w:rPr>
        <w:t>UHN</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Times New Roman" w:cs="Times New Roman" w:eastAsia="Times New Roman" w:hAnsi="Times New Roman"/>
          <w:sz w:val="18"/>
          <w:szCs w:val="18"/>
          <w:i w:val="1"/>
          <w:iCs w:val="1"/>
          <w:color w:val="auto"/>
        </w:rPr>
        <w:t>UHN Note</w:t>
      </w:r>
      <w:r>
        <w:rPr>
          <w:rFonts w:ascii="Times New Roman" w:cs="Times New Roman" w:eastAsia="Times New Roman" w:hAnsi="Times New Roman"/>
          <w:sz w:val="18"/>
          <w:szCs w:val="18"/>
          <w:color w:val="auto"/>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cs="Times New Roman" w:eastAsia="Times New Roman" w:hAnsi="Times New Roman"/>
          <w:sz w:val="18"/>
          <w:szCs w:val="18"/>
          <w:i w:val="1"/>
          <w:iCs w:val="1"/>
          <w:color w:val="auto"/>
        </w:rPr>
        <w:t>UHN Warrant</w:t>
      </w:r>
      <w:r>
        <w:rPr>
          <w:rFonts w:ascii="Times New Roman" w:cs="Times New Roman" w:eastAsia="Times New Roman" w:hAnsi="Times New Roman"/>
          <w:sz w:val="18"/>
          <w:szCs w:val="18"/>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2013, the Company has adjusted the UHN Warrant to increase the number of restricted shares available for purchase by 19,421 shares, based on interest accrued on the UHN Note through that date. The Company has recorded the fair value of the additional shares as a charge to interest expense and a corresponding credit to additional paid-in capital.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Long-Term Notes and Cancellation of Amounts Payable</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25, 2011, the Company issued to Burr, Pilger, and Mayer, LLC (“</w:t>
      </w:r>
      <w:r>
        <w:rPr>
          <w:rFonts w:ascii="Times New Roman" w:cs="Times New Roman" w:eastAsia="Times New Roman" w:hAnsi="Times New Roman"/>
          <w:sz w:val="18"/>
          <w:szCs w:val="18"/>
          <w:i w:val="1"/>
          <w:iCs w:val="1"/>
          <w:color w:val="auto"/>
        </w:rPr>
        <w:t>BPM</w:t>
      </w:r>
      <w:r>
        <w:rPr>
          <w:rFonts w:ascii="Times New Roman" w:cs="Times New Roman" w:eastAsia="Times New Roman" w:hAnsi="Times New Roman"/>
          <w:sz w:val="18"/>
          <w:szCs w:val="18"/>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29, 2011, the Company issued to Desjardins Securities, Inc. (“</w:t>
      </w:r>
      <w:r>
        <w:rPr>
          <w:rFonts w:ascii="Times New Roman" w:cs="Times New Roman" w:eastAsia="Times New Roman" w:hAnsi="Times New Roman"/>
          <w:sz w:val="18"/>
          <w:szCs w:val="18"/>
          <w:i w:val="1"/>
          <w:iCs w:val="1"/>
          <w:color w:val="auto"/>
        </w:rPr>
        <w:t>Desjardins</w:t>
      </w:r>
      <w:r>
        <w:rPr>
          <w:rFonts w:ascii="Times New Roman" w:cs="Times New Roman" w:eastAsia="Times New Roman" w:hAnsi="Times New Roman"/>
          <w:sz w:val="18"/>
          <w:szCs w:val="18"/>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May 5, 2011, the Company issued to McCarthy Tetrault LLP (“</w:t>
      </w:r>
      <w:r>
        <w:rPr>
          <w:rFonts w:ascii="Times New Roman" w:cs="Times New Roman" w:eastAsia="Times New Roman" w:hAnsi="Times New Roman"/>
          <w:sz w:val="18"/>
          <w:szCs w:val="18"/>
          <w:i w:val="1"/>
          <w:iCs w:val="1"/>
          <w:color w:val="auto"/>
        </w:rPr>
        <w:t>McCarthy</w:t>
      </w:r>
      <w:r>
        <w:rPr>
          <w:rFonts w:ascii="Times New Roman" w:cs="Times New Roman" w:eastAsia="Times New Roman" w:hAnsi="Times New Roman"/>
          <w:sz w:val="18"/>
          <w:szCs w:val="18"/>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2010 Short-Term Note Converted to 7% Note Payable</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August 2010, the Company issued short-term, (the “</w:t>
      </w:r>
      <w:r>
        <w:rPr>
          <w:rFonts w:ascii="Times New Roman" w:cs="Times New Roman" w:eastAsia="Times New Roman" w:hAnsi="Times New Roman"/>
          <w:sz w:val="17"/>
          <w:szCs w:val="17"/>
          <w:i w:val="1"/>
          <w:iCs w:val="1"/>
          <w:color w:val="auto"/>
        </w:rPr>
        <w:t>August 2010 Short-Term Notes</w:t>
      </w:r>
      <w:r>
        <w:rPr>
          <w:rFonts w:ascii="Times New Roman" w:cs="Times New Roman" w:eastAsia="Times New Roman" w:hAnsi="Times New Roman"/>
          <w:sz w:val="17"/>
          <w:szCs w:val="17"/>
          <w:color w:val="auto"/>
        </w:rPr>
        <w:t>”) having an aggregate principal amount, as adjusted, of $1,120,000. In May 2011, a total of $840,000 of the aggregate principal amount of the August 2010 Short-Term Notes were converted into Units consisting of restricted shares of the Company’s common stock and three-year warrants to purchase restricted shares of the Company’s common stock at an exercise price of $2.50 per share. Of the remaining balance of the August 2010 Short Term Notes; $105,000 of such amount was converted into a long-term note issued to Cato Holding Company, doing business as Cato BioVentures; and $175,000 of such amount was amended into a note bearing interest at 7% per annum, as described below.</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April 2011, the Company and the holder of a non-interest bearing, unsecured promissory note issued in August 2010 in the face amount of $175,000 amended the note, whereby the Company paid $50,000 of the note balance in May 2011 and was to make four monthly payments of $5,000 between May 2011 and August 2011, an additional nine monthly payments of $11,125 per month for the period from September 1, 2011 through May 1, 2012, plus a final payment on May 2, 2012 equal to any remaining balance. In September 2011, the Company and the holder agreed to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For strategic purposes, the Company did not make the February 2012 and March 2012 payments as scheduled. In March 2012, the Company and the note holder again agreed to modify the payment schedule to require seven monthly payments of $9,171 beginning June 1, 2012 with the final payment due on December 1, 2012 to include interest accrued after March 2012. The Company repaid the note and accrued interest in installments through March 2013.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Issued for the Cancellation of Accounts Payable</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October 12, 2009, the Company issued a promissory note payable to the Regents of the University of California (“</w:t>
      </w:r>
      <w:r>
        <w:rPr>
          <w:rFonts w:ascii="Times New Roman" w:cs="Times New Roman" w:eastAsia="Times New Roman" w:hAnsi="Times New Roman"/>
          <w:sz w:val="18"/>
          <w:szCs w:val="18"/>
          <w:i w:val="1"/>
          <w:iCs w:val="1"/>
          <w:color w:val="auto"/>
        </w:rPr>
        <w:t>UC</w:t>
      </w:r>
      <w:r>
        <w:rPr>
          <w:rFonts w:ascii="Times New Roman" w:cs="Times New Roman" w:eastAsia="Times New Roman" w:hAnsi="Times New Roman"/>
          <w:sz w:val="18"/>
          <w:szCs w:val="18"/>
          <w:color w:val="auto"/>
        </w:rPr>
        <w:t>”) with a principal balance of $90,000 in exchange for the cancellation of certain amounts payable under a research collaboration agreement (the “</w:t>
      </w:r>
      <w:r>
        <w:rPr>
          <w:rFonts w:ascii="Times New Roman" w:cs="Times New Roman" w:eastAsia="Times New Roman" w:hAnsi="Times New Roman"/>
          <w:sz w:val="18"/>
          <w:szCs w:val="18"/>
          <w:i w:val="1"/>
          <w:iCs w:val="1"/>
          <w:color w:val="auto"/>
        </w:rPr>
        <w:t>UC Note 1</w:t>
      </w:r>
      <w:r>
        <w:rPr>
          <w:rFonts w:ascii="Times New Roman" w:cs="Times New Roman" w:eastAsia="Times New Roman" w:hAnsi="Times New Roman"/>
          <w:sz w:val="18"/>
          <w:szCs w:val="18"/>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Times New Roman" w:cs="Times New Roman" w:eastAsia="Times New Roman" w:hAnsi="Times New Roman"/>
          <w:sz w:val="18"/>
          <w:szCs w:val="18"/>
          <w:i w:val="1"/>
          <w:iCs w:val="1"/>
          <w:color w:val="auto"/>
        </w:rPr>
        <w:t>UC Note 2</w:t>
      </w:r>
      <w:r>
        <w:rPr>
          <w:rFonts w:ascii="Times New Roman" w:cs="Times New Roman" w:eastAsia="Times New Roman" w:hAnsi="Times New Roman"/>
          <w:sz w:val="18"/>
          <w:szCs w:val="18"/>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Times New Roman" w:cs="Times New Roman" w:eastAsia="Times New Roman" w:hAnsi="Times New Roman"/>
          <w:sz w:val="17"/>
          <w:szCs w:val="17"/>
          <w:i w:val="1"/>
          <w:iCs w:val="1"/>
          <w:color w:val="auto"/>
        </w:rPr>
        <w:t>March 2010 Note</w:t>
      </w:r>
      <w:r>
        <w:rPr>
          <w:rFonts w:ascii="Times New Roman" w:cs="Times New Roman" w:eastAsia="Times New Roman" w:hAnsi="Times New Roman"/>
          <w:sz w:val="17"/>
          <w:szCs w:val="17"/>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expects the Note will be cancelled in favor of certain amounts payable to the Company equal to or greater than the outstanding balance of the Note. At March 31, 2013, the Company has made no payments on the March 2010 Note.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Amounts of Capital Stock Authorized</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2011 and prior to the Merger, Excaliber was authorized to issue up to 200,000,000 shares of common stock, $0.001 par value, and no shares of preferred stock. Effective with the Merger, the Company was authorized to issue up to 400,000,000 shares of common stock, $0.001 par value and no shares of preferred stock. On October 28, 2011, the Company held a special meeting of its stockholders at which the stockholders approved a proposal to amend its Articles of Incorporation to (1) reduce the number of shares of common stock the Company is authorized to issue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2011, the Company’s Board of Directors authorized the creation of a series of up to 500,000 shares of Series A Preferred Stock, par value $0.001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Each restricted share of Series A Preferred is convertible at the option of the holder into ten restricted shares of the Company's common stock. The Series A Preferred ranks prior to the common stock for purposes of liquidation preference.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At March 31, 2013, there were 500,000 restricted shares of Series A Preferred outstanding, all issued to Platinum under the terms of the Note and Warrant Exchange Agreement described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and the December 2011 Common Stock Exchange Agreement, described below. Platinum’s exchange rights with respect to the Series A Preferred have been modified as described in the section entitled 2012 Exchange Agreement with Platinum and Deemed Dividend,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Private Placement of Units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May 11, 2011, and immediately preceding the closing of the Merger, VistaGen California sold 2,216,106 Units in a private placement for aggregate gross proceeds of $3,878,200, including $2,369,200 in cash, a $500,000 short-term note receivable due on September 6, 2011, cancellation of $840,000 of short-term notes maturing on April 30, 2011, a note cancellation premium of $94,500, and cancellation of $74,500 of accounts payable (the “</w:t>
      </w:r>
      <w:r>
        <w:rPr>
          <w:rFonts w:ascii="Times New Roman" w:cs="Times New Roman" w:eastAsia="Times New Roman" w:hAnsi="Times New Roman"/>
          <w:sz w:val="17"/>
          <w:szCs w:val="17"/>
          <w:i w:val="1"/>
          <w:iCs w:val="1"/>
          <w:color w:val="auto"/>
        </w:rPr>
        <w:t>2011 Private Placement</w:t>
      </w:r>
      <w:r>
        <w:rPr>
          <w:rFonts w:ascii="Times New Roman" w:cs="Times New Roman" w:eastAsia="Times New Roman" w:hAnsi="Times New Roman"/>
          <w:sz w:val="17"/>
          <w:szCs w:val="17"/>
          <w:color w:val="auto"/>
        </w:rPr>
        <w:t>”). The Units were sold for $1.75 per Unit and consisted of one restricted share of common stock and a three-year warrant to purchase one-fourth (1/4) of one restricted share of common stock at an exercise price of $2.50 per share. Warrants to purchase a total of 554,013 restricted shares of common stock were issued to the purchasers of the Units. Concurrently, VistaGen California issued to its placement agent three-year warrants to purchase 114,284 restricted shares of its common stock at $2.50 per share, and agreed to pay $200,000 in placement agent fees, $150,000 of which amount was paid on May 11, 2011.</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October 2011, VistaGen restructured the terms of a $500,000 short term promissory note received from an investor in conjunction with the 2011 Private Placement. The Company modified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2013 is $209,100.</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Convertible Promissory Notes</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May 11, 2011, concurrent with the Merger, holders of certain promissory notes issued by VistaGen California from 2006 through 2010 converted their notes totaling aggregate principal and interest of $6,174,793 into 3,528,290 Units, at a price of $1.75 per Unit. These Units were the same Units issued in connection with the 2011 Private Placement.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Pre-Merger Preferred Stock</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shares of preferred stock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Fall 2011 Follow-On Unit Offering</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October 2011, the Company initiated a follow-on private placement of Units. These Units were essentially the same as the Units issued in connection with the 2011 Private Placement, namely, each Unit was priced at $1.75 and consisted of one restricted share of the Company’s common stock and a three-year warrant to purchase one-fourth (1/4) of one restricted share of the Company’s common stock at an exercise price of $2.50 per share. The Company sold a total of 63,570 Units and received aggregate cash proceeds of $111,300.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Discounted Warrant Exercise Program</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quarter ended December 31, 2011, certain warrant holders exercised warrants to purchase an aggregate of 3,121,259 restricted shares of the Company’s common stock at reduced exercise prices, including warrants to purchase 1,599,858 restricted shares of common stock exercised by Platinum under the terms of the Note and Warrant Exchange Agreement, as described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The warrants exercised by Platinum were exercised at reduced prices ranging from $0.75 per share to $1.25 per share, resulting in proceeds of $1,719,800 which was applied to reduce the outstanding balance of the Platinum Note and accrued interest under the terms of the Note and Exchange Agreement.</w:t>
      </w:r>
    </w:p>
    <w:p>
      <w:pPr>
        <w:spacing w:after="0" w:line="20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Other investors and service providers exercised warrants to purchase an aggregate of 1,028,860 restricted shares of the Company’s common stock at reduced exercise prices ranging from $0.75 per share to $1.31 per share. In conjunction with these exercises, the Company:</w:t>
      </w:r>
    </w:p>
    <w:p>
      <w:pPr>
        <w:spacing w:after="0" w:line="190" w:lineRule="exact"/>
        <w:rPr>
          <w:sz w:val="20"/>
          <w:szCs w:val="20"/>
          <w:color w:val="auto"/>
        </w:rPr>
      </w:pPr>
    </w:p>
    <w:p>
      <w:pPr>
        <w:ind w:left="660" w:hanging="351"/>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965,734 restricted shares of its common stock and received cash proceeds of $1,106,100;</w:t>
      </w:r>
    </w:p>
    <w:p>
      <w:pPr>
        <w:spacing w:after="0" w:line="24" w:lineRule="exact"/>
        <w:rPr>
          <w:rFonts w:ascii="Times New Roman" w:cs="Times New Roman" w:eastAsia="Times New Roman" w:hAnsi="Times New Roman"/>
          <w:sz w:val="18"/>
          <w:szCs w:val="18"/>
          <w:color w:val="auto"/>
        </w:rPr>
      </w:pPr>
    </w:p>
    <w:p>
      <w:pPr>
        <w:ind w:left="640" w:hanging="338"/>
        <w:spacing w:after="0" w:line="245"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29,426 restricted shares of its common stock to warrant holders who elected to exercise their warrants in lieu of payment by the Company in satisfaction of outstanding indebtedness to such holders totaling an aggregate of $30,100; and</w:t>
      </w:r>
    </w:p>
    <w:p>
      <w:pPr>
        <w:spacing w:after="0" w:line="1" w:lineRule="exact"/>
        <w:rPr>
          <w:rFonts w:ascii="Times New Roman" w:cs="Times New Roman" w:eastAsia="Times New Roman" w:hAnsi="Times New Roman"/>
          <w:sz w:val="18"/>
          <w:szCs w:val="18"/>
          <w:color w:val="auto"/>
        </w:rPr>
      </w:pPr>
    </w:p>
    <w:p>
      <w:pPr>
        <w:ind w:left="660" w:hanging="351"/>
        <w:spacing w:after="0" w:line="251"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33,700 restricted shares of its common stock to warrant holders who elected to exercise their warrants in lieu of payment by the Company in satisfaction of payment for services in the aggregate amount of $41,400 to be performed in the future by such holders.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in December 2011, the Company entered into an Agreement Regarding Payment of Invoices and Warrant Exercises with Cato Holding Company (“</w:t>
      </w:r>
      <w:r>
        <w:rPr>
          <w:rFonts w:ascii="Times New Roman" w:cs="Times New Roman" w:eastAsia="Times New Roman" w:hAnsi="Times New Roman"/>
          <w:sz w:val="17"/>
          <w:szCs w:val="17"/>
          <w:i w:val="1"/>
          <w:iCs w:val="1"/>
          <w:color w:val="auto"/>
        </w:rPr>
        <w:t>CHC</w:t>
      </w:r>
      <w:r>
        <w:rPr>
          <w:rFonts w:ascii="Times New Roman" w:cs="Times New Roman" w:eastAsia="Times New Roman" w:hAnsi="Times New Roman"/>
          <w:sz w:val="17"/>
          <w:szCs w:val="17"/>
          <w:color w:val="auto"/>
        </w:rPr>
        <w:t>”), CRL, and certain individual warrant holders affiliated with CHC and CRL (collectively, the “</w:t>
      </w:r>
      <w:r>
        <w:rPr>
          <w:rFonts w:ascii="Times New Roman" w:cs="Times New Roman" w:eastAsia="Times New Roman" w:hAnsi="Times New Roman"/>
          <w:sz w:val="17"/>
          <w:szCs w:val="17"/>
          <w:i w:val="1"/>
          <w:iCs w:val="1"/>
          <w:color w:val="auto"/>
        </w:rPr>
        <w:t>CHC Affiliates</w:t>
      </w:r>
      <w:r>
        <w:rPr>
          <w:rFonts w:ascii="Times New Roman" w:cs="Times New Roman" w:eastAsia="Times New Roman" w:hAnsi="Times New Roman"/>
          <w:sz w:val="17"/>
          <w:szCs w:val="17"/>
          <w:color w:val="auto"/>
        </w:rPr>
        <w:t>”) under the terms of which CHC and the CHC Affiliates exercised warrants to purchase an aggregate of 492,541 restricted shares of the Company’s common stock at reduced exercise prices ranging from $0.88 per share to $1.25 per share. As a result of these warrant exercises, the Company received cash payments of $60,200 in connection with the exercise of warrants to purchase 68,417 restricted shares and, in lieu of cash payments for the remainder of the warrants to purchase 424,124 restricted shares, CHC and CRL agreed to the satisfaction of outstanding indebtedness to CRL in the amount of $245,300 and pre-payment for future services in the amount of $226,400.</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determined that the increase in the fair value of the warrants exercised as a result of the Discounted Warrant Exercise Program was $618,400, of which $287,300 is a component of the loss on debt extinguishment related to the conversion of the Platinum Note, as described in Note 8,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Promissory Notes and Other Notes Payable, </w:t>
      </w:r>
      <w:r>
        <w:rPr>
          <w:rFonts w:ascii="Times New Roman" w:cs="Times New Roman" w:eastAsia="Times New Roman" w:hAnsi="Times New Roman"/>
          <w:sz w:val="18"/>
          <w:szCs w:val="18"/>
          <w:color w:val="auto"/>
        </w:rPr>
        <w:t>$101,200 is attributable to the modifications of the CHC and CHC Affiliates warrants and reflected in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 and $229,800 is reflected in general and administrative expense for the fiscal year ended March 31, 2012 in the accompanying Consolidated Statements of Operations and Comprehensive Loss. The warrants subject to the exercise price modifications were valued at the inception of the Discounted Warrant Exercise Program using the Black-Scholes Option Pricing Model and using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8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1.50 - $2.625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0.75 - $1.31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 - 0.45%</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0.90 – 3.25</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 - 82.8%</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respect to use of the Black-Scholes Option Pricing Model for determining the fair value of warrants issued or modified, the Company employs the following in determining its valuation input assumptions. The market price per share is based on the quoted market price of the Company’s common stock on the Over-the-Counter Bulletin Board on the date of the issuance or modification. Because of its short history as a public company, the Company estimates volatility based on the historical volatilities of a peer group of public companies over the expected term of the warrants. The risk-free rate of interest is based on the quoted constant maturity rate for U.S Treasury Bills on the date of issuance or modification for the term corresponding with the expected term of the warrant. The expected dividend rate is zero as the Company has not paid and does not expect to pay dividends in the near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2011 Common Stock Exchange Agreement with Platinum</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22, 2011, the Company entered into a Common Stock Exchange Agreement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Platinum, pursuant to which Platinum converted 484,000 restricted shares of the Company’s common stock into 45,980 restricted shares of the then newly created Series A Preferred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Each restricted share of Series A Preferred issued to Platinum is convertible into ten restricted shares of the Company’s common stock. In consideration for the Exchange, the Series A Preferred received by Platinum in connection with the Exchange is convertible into the equivalent of 0.95 restricted shares of common stock surrendered in connection with the Exchange. The Company determined the fair value of the common stock subject to the Exchange to be $1.55 per share and has reflected the 484,000 restricted common shares as treasury stock on that basis in the accompanying Consolidated Balance Sheet at March 31, 2012 and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Exchange Agreement with Platinum and Deemed Dividend</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June 29, 2012, the Company and Platinum entered into an Exchange Agreement (the “</w:t>
      </w:r>
      <w:r>
        <w:rPr>
          <w:rFonts w:ascii="Times New Roman" w:cs="Times New Roman" w:eastAsia="Times New Roman" w:hAnsi="Times New Roman"/>
          <w:sz w:val="18"/>
          <w:szCs w:val="18"/>
          <w:i w:val="1"/>
          <w:iCs w:val="1"/>
          <w:color w:val="auto"/>
        </w:rPr>
        <w:t>2012 Platinum Exchange Agreement</w:t>
      </w:r>
      <w:r>
        <w:rPr>
          <w:rFonts w:ascii="Times New Roman" w:cs="Times New Roman" w:eastAsia="Times New Roman" w:hAnsi="Times New Roman"/>
          <w:sz w:val="18"/>
          <w:szCs w:val="18"/>
          <w:color w:val="auto"/>
        </w:rPr>
        <w:t xml:space="preserve">”) pursuant to which the Company agreed to issue Platinum 62,945 restricted shares of Series A Preferred in exchange for 629,450 restricted shares of common stock then owned by Platinum, in consideration for Platinum’s agreement to purchase from the Company the July 2012 Platinum Note, as described in Note 8, </w:t>
      </w:r>
      <w:r>
        <w:rPr>
          <w:rFonts w:ascii="Times New Roman" w:cs="Times New Roman" w:eastAsia="Times New Roman" w:hAnsi="Times New Roman"/>
          <w:sz w:val="18"/>
          <w:szCs w:val="18"/>
          <w:i w:val="1"/>
          <w:iCs w:val="1"/>
          <w:color w:val="auto"/>
        </w:rPr>
        <w:t>Convertible Promissory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Notes Payable</w:t>
      </w:r>
      <w:r>
        <w:rPr>
          <w:rFonts w:ascii="Times New Roman" w:cs="Times New Roman" w:eastAsia="Times New Roman" w:hAnsi="Times New Roman"/>
          <w:sz w:val="18"/>
          <w:szCs w:val="18"/>
          <w:color w:val="auto"/>
        </w:rPr>
        <w:t>. Under the terms of the 2012 Platinum Exchange Agreement, Platinum, at its option, could have exchanged all or a portion of its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for the securities issued in connection with a qualified financing, an equity or equity-based financing, or series of financing transactions resulting in gross proceeds to the Company of at least $3.0 million, based on the stated value of $15.00 per share of Series A Preferred. The Company estimated the fair value of the Series A Preferred shares tendered to Platinum under the terms of the 2012 Platinum Exchange Agreement at $736,400 ($1.17 per share on a common share equivalent basis). Following the issuance of the Series A Preferred pursuant to the 2012 Platinum Exchange Agreement, Platinum owns all 500,000 authorized and outstanding restricted shares of the Company’s Series A Preferred, each share of which, in accordance with the certificate of designations, is convertible into ten shares of the Company’s common stock. The common shares exchanged for shares of Series A Preferred are treated as treasury stock in the accompanying Consolidated Balance Sheet at March 31, 2013.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Pursuant to the October 2012 Agreement described in Note 8, </w:t>
      </w:r>
      <w:r>
        <w:rPr>
          <w:rFonts w:ascii="Times New Roman" w:cs="Times New Roman" w:eastAsia="Times New Roman" w:hAnsi="Times New Roman"/>
          <w:sz w:val="17"/>
          <w:szCs w:val="17"/>
          <w:i w:val="1"/>
          <w:iCs w:val="1"/>
          <w:color w:val="auto"/>
        </w:rPr>
        <w:t>Convertible Promissory Notes and Other Notes Payable</w:t>
      </w:r>
      <w:r>
        <w:rPr>
          <w:rFonts w:ascii="Times New Roman" w:cs="Times New Roman" w:eastAsia="Times New Roman" w:hAnsi="Times New Roman"/>
          <w:sz w:val="17"/>
          <w:szCs w:val="17"/>
          <w:color w:val="auto"/>
        </w:rPr>
        <w:t>, Platinum’s exchange rights in the Series A Preferred were modified such that Platinum now has the right and option to exchange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Times New Roman" w:cs="Times New Roman" w:eastAsia="Times New Roman" w:hAnsi="Times New Roman"/>
          <w:sz w:val="17"/>
          <w:szCs w:val="17"/>
          <w:i w:val="1"/>
          <w:iCs w:val="1"/>
          <w:color w:val="auto"/>
        </w:rPr>
        <w:t>Series A Exchange Warrant</w:t>
      </w:r>
      <w:r>
        <w:rPr>
          <w:rFonts w:ascii="Times New Roman" w:cs="Times New Roman" w:eastAsia="Times New Roman" w:hAnsi="Times New Roman"/>
          <w:sz w:val="17"/>
          <w:szCs w:val="17"/>
          <w:color w:val="auto"/>
        </w:rPr>
        <w: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was determined based on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The fair value of the Series A Exchange Warrant,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was recognized as a liability in the amount of $3,068,200 at the date of the October 2012 Agreement, with a corresponding charge to Additional paid-in capital in the accompanying Consolidated Balance Sheet. The fair value of the Series A Exchange Warrant was treated as an additional component of the deemed dividend in the accompanying Consolidated Statement of Operations and Comprehensive Loss for the fiscal year ended March 31, 2013.</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of the Series A Exchange Warrant was re-measured as of March 31, 2013 at $4,406,000 and the $1,337,800 increase in fair value since the date of the October 2012 Agreement was reflected in the accompanying Consolidated Statement of Operations and Comprehensive Loss for the year ended March 31, 2013.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Private Placement of Units</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entitling the Company to sell and requiring Platinum to purchase senior secured convertible promissory notes in the aggregate face amount of $1.0 million in February and March 2013. In connection with the settlement of legal fees payable by issuing Units, the Company recorded a loss on extinguishment of debt of $30,800 based on the fair market value of the common shares and the warrant comprising the Unit on the effective date of the settlement.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Warrant Grants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29, 2011, VistaGen California issued 157,143 restricted shares of its common stock at a per share price of $1.75 as a prepayment for CRO services to be performed by Cato Research Ltd., a related party, during 2011. The prepayment of $275,000 was recognized in research and development expense in the Consolidated Statement of Operations and Comprehensive Loss as the services were performed by Cato Research, Ltd. during the fiscal year ended March 31, 2012.</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December 2010, VistaGen California agreed to issue 700,000 restricted shares of its common stock, valued at $1.50 per share, related to its execution of the second amendment to its Sponsored Research Collaboration Agreement (“SRCA”) with UHN as described in Note 12, </w:t>
      </w:r>
      <w:r>
        <w:rPr>
          <w:rFonts w:ascii="Times New Roman" w:cs="Times New Roman" w:eastAsia="Times New Roman" w:hAnsi="Times New Roman"/>
          <w:sz w:val="18"/>
          <w:szCs w:val="18"/>
          <w:i w:val="1"/>
          <w:iCs w:val="1"/>
          <w:color w:val="auto"/>
        </w:rPr>
        <w:t>Licensing and Collaborative Agreements</w:t>
      </w:r>
      <w:r>
        <w:rPr>
          <w:rFonts w:ascii="Times New Roman" w:cs="Times New Roman" w:eastAsia="Times New Roman" w:hAnsi="Times New Roman"/>
          <w:sz w:val="18"/>
          <w:szCs w:val="18"/>
          <w:color w:val="auto"/>
        </w:rPr>
        <w:t>, and recorded $1,050,000 of research and development expense in the Consolidated Statements of Operations for the fiscal year ended March 31, 2011. Such shares were issued in May 2011. In April 2011, VistaGen California agreed to issue to UHN an additional 100,000 restricted shares of its common stock valued at $1.75 per share in conjunction with its execution of the third amendment to the SRCA, as also described in Note 12, and recorded $175,000 of research and development expense in the Consolidated Statements of Operations and Comprehensive Loss for the fiscal year ended March 31, 2012. Such shares were issued in May 2011.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10, 2011, VistaGen California issued 75,000 restricted shares of common stock, valued at $1.75 per share, to a strategic consultant for services rendered and recorded $131,250 in general and administrative expense in the Consolidated Statements of Operations and Comprehensive Loss for the fiscal year ended March 31, 2012.</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2012, the Company issued an aggregate of 50,000 restricted shares of its common stock, valued at $3.15 per share, and three-year warrants to purchase an aggregate of 50,000 restricted shares of its common stock at an exercise price of $3.00 per share to two service providers as compensation for services. The Company recorded $157,500 in general and administrative expense in the Consolidated Statements of Operations for the fiscal year ended March 31, 2012 related to the restricted stock grants. The Company valued the warrants at a fair value of $1.73 per share on the date of issuance using the Black-Scholes option pricing model and the following assumptions: fair value of common stock - $3.15; risk-free interest rate – 0.40%; volatility – 84.6%; contractual term – 3.00 years; dividend rate – 0%, and recorded $86,700 in general and administrative expense in the Consolidated Statements of Operations and Comprehensive Loss for the fiscal year ended March 31, 2012 related to the warrant grants.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2012, the Company granted four-year warrants to non-employee members of its Board of Directors and Scientific Advisory Board and to certain strategic consultants to purchase an aggregate of 280,000 restricted shares of its common stock at an exercise price of $3.00 per share. The Company valued the warrants at a fair value of $1.71 per share on the date of issuance using the Black-Scholes option pricing model and the following assumptions: fair value of common stock - $2.75; risk-free interest rate – 0.63%; volatility – 90.0%; contractual term – 4.00 years; dividend rate – 0%, and recorded $179,200 in research and development expense and $298,600 in general and administrative expense in the Consolidated Statements of Operations and Comprehensive Loss for the fiscal year ended March 31, 2012.</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March 2012, the Company granted three-year warrants to purchase an aggregate of 100,000 restricted shares of its common stock at an exercise price of $3.00 per share to investors who had exercised warrants generating more than $100,000 in cash proceeds to the Company during the Discounted Warrant Exercise Program. The Company valued the warrants at a fair value of $1.38 per share on the date of issuance using the Black-Scholes option pricing model and the following assumptions: fair value of common stock - $2.79; risk-free interest rate – 0.54%; volatility – 79.5%; contractual term – 3.00 years; dividend rate – 0%, and recorded $138,100 in interest expense in the Consolidated Statements of Operations and Comprehensive Loss for the fiscal year ended March 31, 2012.</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March 2012, the Company issued 50,000 restricted shares of its common stock, valued at $2.79 per share, to a strategic consultant for services rendered and recorded $139,500 in general and administrative expense in expense in the Consolidated Statements of Operations and Comprehensive Loss for the fiscal year ended March 31, 2012. The Company also issued 55,555 restricted shares of its common stock, valued at $2.79 per share, to University Health Network, a related party, in connection with the execution of License Agreement No. 2, and recorded $155,000 in research and development expense in the Consolidated Statements of Operations and Comprehensive Loss for the fiscal year ended March 31, 2012. The Company also issued 8,000 restricted shares of its common stock, valued at $2.80 per share, in connection with the extension of the term of a promissory note, and recorded $22,400 in interest expense in the Consolidated Statements of Operations and Comprehensive Loss for the fiscal year ended March 31, 2012.</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2012, the Company modified an existing warrant and issued a new warrant to Morrison &amp; Foerster as additional consideration for the Restructuring Agreement, as disclosed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As described in Note 8, the Company has treated the aggregate of the incremental value of the Amended M&amp;F Warrant and the fair value of the New M&amp;F Warrant as a discount to the Replacement Notes, which discount is being amortized to interest expense using the effective interest rate method over the term of the Replacement Notes.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Modifications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share of its common stock at an exercise price of $3.00 per share.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calculated the fair value of the warrants exercised immediately before and after the May 18, 2012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6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(weighted average)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(weighted 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6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(weighted average)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33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(weighted average)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3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320" w:type="dxa"/>
            <w:vAlign w:val="bottom"/>
            <w:gridSpan w:val="3"/>
          </w:tcPr>
          <w:p>
            <w:pPr>
              <w:jc w:val="right"/>
              <w:ind w:right="1672"/>
              <w:spacing w:after="0"/>
              <w:rPr>
                <w:sz w:val="20"/>
                <w:szCs w:val="20"/>
                <w:color w:val="auto"/>
              </w:rPr>
            </w:pPr>
            <w:r>
              <w:rPr>
                <w:rFonts w:ascii="Times New Roman" w:cs="Times New Roman" w:eastAsia="Times New Roman" w:hAnsi="Times New Roman"/>
                <w:sz w:val="18"/>
                <w:szCs w:val="18"/>
                <w:color w:val="auto"/>
              </w:rPr>
              <w:t>F-40</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Warrant Modifications</w:t>
      </w:r>
    </w:p>
    <w:p>
      <w:pPr>
        <w:spacing w:after="0" w:line="2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2011, the Company entered into a consulting agreement with a strategic consultant for general and capital markets advisory services. As consideration for the services to be provided under this agreement, the Company modified the term and exercise price of certain previously-issued warrants to purchase an aggregate of 384,184 restricted shares of its common stock. The Company determined that the increase in the fair value of the modified warrants was $397,500, which is reflected in general and administrative expense for the fiscal year ended March 31, 2012 in the accompanying Consolidated Statements of Operations and Comprehensive Loss. The warrants modified were valued using the Black-Scholes Option Pricing Model and using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8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2.25 - $3.00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 $1.50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0.29%</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81.0%</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2011, the Company also entered into a consulting agreement with an individual for strategic consulting services. As consideration for the services to be provided under this agreement, the Company modified the term and exercise price of certain previously-issued warrants to purchase an aggregate of 23,138 restricted shares of its common stock and will pay the consultant $1,000 per month for the period June 2012 through December 2012. The Company determined that the increase in the fair value of the modified warrants was $13,100, which is reflected in general and administrative expense for the fiscal year ended March 31, 2012 in the accompanying Consolidated Statements of Operations and Comprehensive Loss. The warrants modified were valued using the Black-Scholes Option Pricing Model and using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8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1.75 - $2.50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$0.88 - $1.25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0.29%</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78.3%</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Outstanding</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outstanding warrants to purchase restricted shares of the Company’s common stock as of March 31, 2013 and 2012. The weighted average exercise price of outstanding warrants at March 31, 2013 and 2012 was $1.26 and $2.16 per share,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Shares Subject to Purchase</w:t>
            </w:r>
          </w:p>
        </w:tc>
      </w:tr>
      <w:tr>
        <w:trPr>
          <w:trHeight w:val="192"/>
        </w:trPr>
        <w:tc>
          <w:tcPr>
            <w:tcW w:w="18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6"/>
                <w:szCs w:val="16"/>
                <w:color w:val="auto"/>
              </w:rPr>
            </w:pPr>
          </w:p>
        </w:tc>
        <w:tc>
          <w:tcPr>
            <w:tcW w:w="3580" w:type="dxa"/>
            <w:vAlign w:val="bottom"/>
          </w:tcPr>
          <w:p>
            <w:pPr>
              <w:jc w:val="center"/>
              <w:ind w:left="1692"/>
              <w:spacing w:after="0" w:line="192" w:lineRule="exact"/>
              <w:rPr>
                <w:sz w:val="20"/>
                <w:szCs w:val="20"/>
                <w:color w:val="auto"/>
              </w:rPr>
            </w:pPr>
            <w:r>
              <w:rPr>
                <w:rFonts w:ascii="Times New Roman" w:cs="Times New Roman" w:eastAsia="Times New Roman" w:hAnsi="Times New Roman"/>
                <w:sz w:val="18"/>
                <w:szCs w:val="18"/>
                <w:b w:val="1"/>
                <w:bCs w:val="1"/>
                <w:color w:val="auto"/>
                <w:w w:val="96"/>
              </w:rPr>
              <w:t>Expiration</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auto"/>
            </w:tcBorders>
            <w:gridSpan w:val="2"/>
          </w:tcPr>
          <w:p>
            <w:pPr>
              <w:jc w:val="right"/>
              <w:ind w:right="740"/>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20" w:type="dxa"/>
            <w:vAlign w:val="bottom"/>
            <w:tcBorders>
              <w:top w:val="single" w:sz="8" w:color="auto"/>
            </w:tcBorders>
          </w:tcPr>
          <w:p>
            <w:pPr>
              <w:jc w:val="right"/>
              <w:ind w:right="432"/>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9"/>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3580" w:type="dxa"/>
            <w:vAlign w:val="bottom"/>
            <w:tcBorders>
              <w:bottom w:val="single" w:sz="8" w:color="auto"/>
            </w:tcBorders>
          </w:tcPr>
          <w:p>
            <w:pPr>
              <w:jc w:val="center"/>
              <w:ind w:left="1692"/>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$0.64</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9"/>
              </w:rPr>
              <w:t>3/3/2023</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$0.88</w:t>
            </w:r>
          </w:p>
        </w:tc>
        <w:tc>
          <w:tcPr>
            <w:tcW w:w="3700" w:type="dxa"/>
            <w:vAlign w:val="bottom"/>
            <w:gridSpan w:val="2"/>
          </w:tcPr>
          <w:p>
            <w:pPr>
              <w:jc w:val="center"/>
              <w:ind w:left="1812"/>
              <w:spacing w:after="0"/>
              <w:rPr>
                <w:sz w:val="20"/>
                <w:szCs w:val="20"/>
                <w:color w:val="auto"/>
              </w:rPr>
            </w:pPr>
            <w:r>
              <w:rPr>
                <w:rFonts w:ascii="Times New Roman" w:cs="Times New Roman" w:eastAsia="Times New Roman" w:hAnsi="Times New Roman"/>
                <w:sz w:val="18"/>
                <w:szCs w:val="18"/>
                <w:color w:val="auto"/>
                <w:w w:val="98"/>
              </w:rPr>
              <w:t>5/11/2014</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15,428</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314,328</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w w:val="97"/>
              </w:rPr>
              <w:t>9/15/2017 to 9/30/2017</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3,053,573</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$1.125</w:t>
            </w:r>
          </w:p>
        </w:tc>
        <w:tc>
          <w:tcPr>
            <w:tcW w:w="3700" w:type="dxa"/>
            <w:vAlign w:val="bottom"/>
            <w:gridSpan w:val="2"/>
          </w:tcPr>
          <w:p>
            <w:pPr>
              <w:jc w:val="center"/>
              <w:ind w:left="1812"/>
              <w:spacing w:after="0"/>
              <w:rPr>
                <w:sz w:val="20"/>
                <w:szCs w:val="20"/>
                <w:color w:val="auto"/>
              </w:rPr>
            </w:pPr>
            <w:r>
              <w:rPr>
                <w:rFonts w:ascii="Times New Roman" w:cs="Times New Roman" w:eastAsia="Times New Roman" w:hAnsi="Times New Roman"/>
                <w:sz w:val="18"/>
                <w:szCs w:val="18"/>
                <w:color w:val="auto"/>
                <w:w w:val="97"/>
              </w:rPr>
              <w:t>12/28/2012</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97,679</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w w:val="98"/>
              </w:rPr>
              <w:t>5/11/2014 to 12/31/2014</w:t>
            </w:r>
          </w:p>
        </w:tc>
        <w:tc>
          <w:tcPr>
            <w:tcW w:w="3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120,280</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120,280</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8"/>
                <w:szCs w:val="18"/>
                <w:color w:val="auto"/>
              </w:rPr>
            </w:pPr>
          </w:p>
        </w:tc>
        <w:tc>
          <w:tcPr>
            <w:tcW w:w="358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8"/>
              </w:rPr>
              <w:t>12/31/2012 to 3/14/2018</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7,460,816</w:t>
            </w:r>
          </w:p>
        </w:tc>
        <w:tc>
          <w:tcPr>
            <w:tcW w:w="2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7"/>
              </w:rPr>
              <w:t>12/31/2013</w:t>
            </w:r>
          </w:p>
        </w:tc>
        <w:tc>
          <w:tcPr>
            <w:tcW w:w="3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349,235</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643,184</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20" w:type="dxa"/>
            <w:vAlign w:val="bottom"/>
          </w:tcPr>
          <w:p>
            <w:pPr>
              <w:spacing w:after="0"/>
              <w:rPr>
                <w:sz w:val="18"/>
                <w:szCs w:val="18"/>
                <w:color w:val="auto"/>
              </w:rPr>
            </w:pPr>
          </w:p>
        </w:tc>
        <w:tc>
          <w:tcPr>
            <w:tcW w:w="358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7"/>
              </w:rPr>
              <w:t>8/3/2013 to 9/15/2017</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425,000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609,000</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8"/>
              </w:rPr>
              <w:t>5/11/2014</w:t>
            </w:r>
          </w:p>
        </w:tc>
        <w:tc>
          <w:tcPr>
            <w:tcW w:w="3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42,443</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617,394</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$2.625</w:t>
            </w:r>
          </w:p>
        </w:tc>
        <w:tc>
          <w:tcPr>
            <w:tcW w:w="3700" w:type="dxa"/>
            <w:vAlign w:val="bottom"/>
            <w:gridSpan w:val="2"/>
          </w:tcPr>
          <w:p>
            <w:pPr>
              <w:jc w:val="center"/>
              <w:ind w:left="1812"/>
              <w:spacing w:after="0"/>
              <w:rPr>
                <w:sz w:val="20"/>
                <w:szCs w:val="20"/>
                <w:color w:val="auto"/>
              </w:rPr>
            </w:pPr>
            <w:r>
              <w:rPr>
                <w:rFonts w:ascii="Times New Roman" w:cs="Times New Roman" w:eastAsia="Times New Roman" w:hAnsi="Times New Roman"/>
                <w:sz w:val="18"/>
                <w:szCs w:val="18"/>
                <w:color w:val="auto"/>
                <w:w w:val="97"/>
              </w:rPr>
              <w:t>12/31/2013</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68,560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588,200</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8"/>
              </w:rPr>
              <w:t>2/28/2017</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272,724</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0" w:type="dxa"/>
            <w:vAlign w:val="bottom"/>
          </w:tcPr>
          <w:p>
            <w:pPr>
              <w:spacing w:after="0"/>
              <w:rPr>
                <w:sz w:val="18"/>
                <w:szCs w:val="18"/>
                <w:color w:val="auto"/>
              </w:rPr>
            </w:pPr>
          </w:p>
        </w:tc>
        <w:tc>
          <w:tcPr>
            <w:tcW w:w="358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7"/>
              </w:rPr>
              <w:t>5/11/2015 to 2/13/2016</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430,000</w:t>
            </w:r>
          </w:p>
        </w:tc>
      </w:tr>
      <w:tr>
        <w:trPr>
          <w:trHeight w:val="219"/>
        </w:trPr>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2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w w:val="98"/>
              </w:rPr>
              <w:t>6/28/2012 to 12/31/2013</w:t>
            </w:r>
          </w:p>
        </w:tc>
        <w:tc>
          <w:tcPr>
            <w:tcW w:w="1900" w:type="dxa"/>
            <w:vAlign w:val="bottom"/>
            <w:tcBorders>
              <w:bottom w:val="single" w:sz="8" w:color="CCEEFF"/>
            </w:tcBorders>
            <w:gridSpan w:val="2"/>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2"/>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spacing w:after="0"/>
              <w:rPr>
                <w:sz w:val="21"/>
                <w:szCs w:val="21"/>
                <w:color w:val="auto"/>
              </w:rPr>
            </w:pP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14,660,335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4,126,589</w:t>
            </w:r>
          </w:p>
        </w:tc>
        <w:tc>
          <w:tcPr>
            <w:tcW w:w="100" w:type="dxa"/>
            <w:vAlign w:val="bottom"/>
            <w:shd w:val="clear" w:color="auto" w:fill="CCEEFF"/>
          </w:tcPr>
          <w:p>
            <w:pPr>
              <w:spacing w:after="0"/>
              <w:rPr>
                <w:sz w:val="21"/>
                <w:szCs w:val="21"/>
                <w:color w:val="auto"/>
              </w:rPr>
            </w:pPr>
          </w:p>
        </w:tc>
      </w:tr>
      <w:tr>
        <w:trPr>
          <w:trHeight w:val="352"/>
        </w:trPr>
        <w:tc>
          <w:tcPr>
            <w:tcW w:w="18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F-41</w:t>
            </w: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2013, the Company has reserved shares of its common stock for future issuance as follows: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Upon exchange of all shares of Series A Preferred Stock currently issued and outstanding </w:t>
            </w:r>
            <w:r>
              <w:rPr>
                <w:rFonts w:ascii="Times New Roman" w:cs="Times New Roman" w:eastAsia="Times New Roman" w:hAnsi="Times New Roman"/>
                <w:sz w:val="24"/>
                <w:szCs w:val="24"/>
                <w:color w:val="auto"/>
                <w:vertAlign w:val="superscript"/>
              </w:rPr>
              <w:t>(1)</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Warrant shares issuable to Platinum upon exercise of common stock warrant upon exchange of Series A preferred stock under the terms of</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October 11, 2012 Note Purchase and Exchange Agreement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110% of shares issuable upon conversion of 10% convertible Exchange Note and Investment Notes issued to Platinum in October 2012,</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February 2013 and March 2013, including interest accrued through maturity </w:t>
            </w:r>
            <w:r>
              <w:rPr>
                <w:rFonts w:ascii="Times New Roman" w:cs="Times New Roman" w:eastAsia="Times New Roman" w:hAnsi="Times New Roman"/>
                <w:sz w:val="24"/>
                <w:szCs w:val="24"/>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warrants to purchase common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Subject to outstanding warrants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14,660,335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Issuable pursuant to accrued interest through maturity on outstanding promissory notes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to Morrison &amp; Foerster, Cato Research Ltd., and University Health Network</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15,856,762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stock incentive plans: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outstanding options under the 2008 and 1999 Stock Incentive Plans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future grants</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sales of additional Units pursuant to the 2012 Private Placement of Units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15,414,583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68,689,238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249160" cy="168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ind w:left="200" w:hanging="194"/>
        <w:spacing w:after="0" w:line="230" w:lineRule="auto"/>
        <w:tabs>
          <w:tab w:leader="none" w:pos="200" w:val="left"/>
        </w:tabs>
        <w:numPr>
          <w:ilvl w:val="0"/>
          <w:numId w:val="9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October 11, 2012 Note Exchange and Purchase Agreement with Platinum</w:t>
      </w:r>
    </w:p>
    <w:p>
      <w:pPr>
        <w:spacing w:after="0" w:line="1" w:lineRule="exact"/>
        <w:rPr>
          <w:rFonts w:ascii="Times New Roman" w:cs="Times New Roman" w:eastAsia="Times New Roman" w:hAnsi="Times New Roman"/>
          <w:sz w:val="24"/>
          <w:szCs w:val="24"/>
          <w:color w:val="auto"/>
          <w:vertAlign w:val="superscript"/>
        </w:rPr>
      </w:pPr>
    </w:p>
    <w:p>
      <w:pPr>
        <w:ind w:left="200" w:hanging="194"/>
        <w:spacing w:after="0" w:line="183" w:lineRule="auto"/>
        <w:tabs>
          <w:tab w:leader="none" w:pos="200" w:val="left"/>
        </w:tabs>
        <w:numPr>
          <w:ilvl w:val="0"/>
          <w:numId w:val="9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conversion under the terms of the October 11, 2012 Note Exchange and Purchase Agreement with Platinum and the terms of the individual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Research and Development Expenses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research and development expenses of approximately $3.4 million and $5.4 million in the fiscal years ended March 31, 2013 and 2012,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provision for income taxes for the periods presented in the consolidated statements of operations represents minimum California franchise taxes. Income tax expense differed from the amounts computed by applying the U.S. federal income tax rate of 34% to pretax losses as a result of the following:</w:t>
      </w:r>
    </w:p>
    <w:p>
      <w:pPr>
        <w:ind w:left="8520"/>
        <w:spacing w:after="0"/>
        <w:rPr>
          <w:sz w:val="20"/>
          <w:szCs w:val="20"/>
          <w:color w:val="auto"/>
        </w:rPr>
      </w:pPr>
      <w:r>
        <w:rPr>
          <w:rFonts w:ascii="Times New Roman" w:cs="Times New Roman" w:eastAsia="Times New Roman" w:hAnsi="Times New Roman"/>
          <w:sz w:val="18"/>
          <w:szCs w:val="18"/>
          <w:color w:val="auto"/>
        </w:rPr>
        <w:t>Fiscal Years Ended 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gridSpan w:val="2"/>
          </w:tcPr>
          <w:p>
            <w:pPr>
              <w:spacing w:after="0"/>
              <w:rPr>
                <w:sz w:val="19"/>
                <w:szCs w:val="19"/>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not benefitted</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7940" w:type="dxa"/>
            <w:vAlign w:val="bottom"/>
            <w:tcBorders>
              <w:top w:val="single" w:sz="8" w:color="CCEEFF"/>
            </w:tcBorders>
          </w:tcPr>
          <w:p>
            <w:pPr>
              <w:ind w:left="5520"/>
              <w:spacing w:after="0"/>
              <w:rPr>
                <w:sz w:val="20"/>
                <w:szCs w:val="20"/>
                <w:color w:val="auto"/>
              </w:rPr>
            </w:pPr>
            <w:r>
              <w:rPr>
                <w:rFonts w:ascii="Times New Roman" w:cs="Times New Roman" w:eastAsia="Times New Roman" w:hAnsi="Times New Roman"/>
                <w:sz w:val="18"/>
                <w:szCs w:val="18"/>
                <w:color w:val="auto"/>
              </w:rPr>
              <w:t>F-42</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2013</w:t>
            </w:r>
          </w:p>
        </w:tc>
        <w:tc>
          <w:tcPr>
            <w:tcW w:w="6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99"/>
              </w:rPr>
              <w:t>2012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12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19,010</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16,191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Basis differences in fixed assets</w:t>
            </w: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Accruals and reserves</w:t>
            </w:r>
          </w:p>
        </w:tc>
        <w:tc>
          <w:tcPr>
            <w:tcW w:w="1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19,027</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(19,027</w:t>
            </w:r>
          </w:p>
        </w:tc>
        <w:tc>
          <w:tcPr>
            <w:tcW w:w="10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$2,814,000 and $2,991,000 during the fiscal years ended March 31, 2013 and 2012, respectively. When realized, deferred tax assets related to employee stock options will be credited to additional paid-in capital.</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2013, the Company had U.S. federal net operating loss carryforwards of $47.9 million, which will expire in fiscal years 2019 through 2033. As of March 31, 2013, the Company had state net operating loss carryforwards of $34.8 million, which will expire in fiscal years 2013 through 2033.</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2013, that could result in the expiration of the loss carryforwards before they are utilized.</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Canadian jurisdictions and California and Maryland state jurisdictions. The Company is subject to U.S. federal and state income tax examinations by tax authorities for tax years 1999 through 2013 due to net operating losses that are being carried forward for tax purposes.</w:t>
      </w:r>
    </w:p>
    <w:p>
      <w:pPr>
        <w:spacing w:after="0" w:line="20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 does not have any uncertain tax positions or unrecognized tax benefits at March 31, 2013 and 2012. The Company’s policy is to recognize interest and penalties related to income taxes as components of interest expense and other expense,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Licensing and Collaborative Agreements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Health Network</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September 17, 2007, the Company and UHN entered into a Sponsored Research Collaboration Agreement (“</w:t>
      </w:r>
      <w:r>
        <w:rPr>
          <w:rFonts w:ascii="Times New Roman" w:cs="Times New Roman" w:eastAsia="Times New Roman" w:hAnsi="Times New Roman"/>
          <w:sz w:val="18"/>
          <w:szCs w:val="18"/>
          <w:i w:val="1"/>
          <w:iCs w:val="1"/>
          <w:color w:val="auto"/>
        </w:rPr>
        <w:t>SRCA</w:t>
      </w:r>
      <w:r>
        <w:rPr>
          <w:rFonts w:ascii="Times New Roman" w:cs="Times New Roman" w:eastAsia="Times New Roman" w:hAnsi="Times New Roman"/>
          <w:sz w:val="18"/>
          <w:szCs w:val="18"/>
          <w:color w:val="auto"/>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elected to fund additional projects through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8, </w:t>
      </w:r>
      <w:r>
        <w:rPr>
          <w:rFonts w:ascii="Times New Roman" w:cs="Times New Roman" w:eastAsia="Times New Roman" w:hAnsi="Times New Roman"/>
          <w:sz w:val="18"/>
          <w:szCs w:val="18"/>
          <w:i w:val="1"/>
          <w:iCs w:val="1"/>
          <w:color w:val="auto"/>
        </w:rPr>
        <w:t>Convertible Notes and Other Notes Payable</w:t>
      </w:r>
      <w:r>
        <w:rPr>
          <w:rFonts w:ascii="Times New Roman" w:cs="Times New Roman" w:eastAsia="Times New Roman" w:hAnsi="Times New Roman"/>
          <w:sz w:val="18"/>
          <w:szCs w:val="18"/>
          <w:color w:val="auto"/>
        </w:rPr>
        <w:t>, in October 2012, the Company issued to UHN a promissory note in the principal amount of $549,500 and a warrant to purchase 549,500 restricted shares of the Company’s common stock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 including payments aggregating $150,000 applicable to services for the period from October 1, 2012 through March 31, 2013.</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if any, by the Company attributable to the licensed patents.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March 2012, the Company and UHN entered into License Agreement No. 2 under the terms of which UHN granted the Company exclusive rights to the use of technology included in a new U.S. patent application to develop hematopoietic precursor stem cells from human pluripotent stem cells. Hematopoietic precursor stem cells give rise to all red and white blood cells and platelets in the body. The Company plans to use the UHN invention to improve the cell culture methods utilized to efficiently produce hematopoietic stem cell populations. In consideration for the grant of the license, the Company issued to UHN 55,555 restricted shares of its common stock, valued at $155,000 in March 2012 and was obligated to make a cash payment of $25,000 in July 2012. Under the terms of License Agreement No. 2, the Company has also agreed to make payments to UHN totaling $3.9 million, if, and when, it achieves certain milestones designated in License Agreement No. 2, and to pay UHN royalties based on the receipt of revenue, if any, by the Company attributable to the licensed patents.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National Institutes of Health</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1998 through 2008,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xml:space="preserve">") awarded VistaGen California a total of $11.3 million in non-dilutive research and development grants, including $2.3 million to support research and development of its stem cell technology-based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and, as described below, a total of $8.8 million for nonclinical and Phase 1 clinical development of AV-101 (also referred to in scientific literature as “4-Cl-KYN”). AV-101, the Company’s small molecule drug candidate, has successfully completed Phase 1 clinical development.</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During fiscal years 2006 through 2008, the NIH awarded VistaGen California a $4.2 million grant to support preclinical development of AV-101 for treatment of neuropathic pain and other neurodegenerative diseases such as Huntington’s and Parkinson’s diseases. In April 2009, the NIH awarded VistaGen California a $4.2 million grant to support the Phase I clinical development of AV-101, which amount was subsequently increased to a total of $4.6 million in July 2010. The Company recognized $0.2 million and $1.2 million of grant revenue related to AV-101 in the fiscal years ended March 31, 2013 and 2012,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Cato Research Ltd.</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built a strategic development relationship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xml:space="preserve">”), a global contract research and development organization, or CRO, and an affiliate of one of the Company’s largest stockholders. See Note 14,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CRL has provided the Company with access to essential CRO services supporting its nonclinical and Phase 1 clinical development programs. The Company recorded research and development expenses of $703,800 and $1,461,300 in the fiscal years ended March 31, 2013 and 2012, respectively, for services provided by CRL. As disclosed in Note 8,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and Other Notes Payable</w:t>
      </w:r>
      <w:r>
        <w:rPr>
          <w:rFonts w:ascii="Times New Roman" w:cs="Times New Roman" w:eastAsia="Times New Roman" w:hAnsi="Times New Roman"/>
          <w:sz w:val="18"/>
          <w:szCs w:val="18"/>
          <w:color w:val="auto"/>
        </w:rPr>
        <w:t>, in October 2012, the Company issued to CRL a promissory note in the initial principal amount of $1,009,000, which is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in restricted shares of the Company’s common stock as payment in full for all contract research and development services and regulatory advice rendered by CRL to the Company and its affiliates through December 31, 2012 with respect to the preclinical and clinical development of AV-101, and a five-year warrant to purchase 1,009,000 restricted shares of the Company’s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Plans and 401(k) Plan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share-based compensation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2008 Stock Incentive Plan (the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1999 Stock Incentive Plan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1999 Stock Incentive Plan (the “</w:t>
      </w:r>
      <w:r>
        <w:rPr>
          <w:rFonts w:ascii="Times New Roman" w:cs="Times New Roman" w:eastAsia="Times New Roman" w:hAnsi="Times New Roman"/>
          <w:sz w:val="18"/>
          <w:szCs w:val="18"/>
          <w:i w:val="1"/>
          <w:iCs w:val="1"/>
          <w:color w:val="auto"/>
        </w:rPr>
        <w:t>1999 Plan</w:t>
      </w:r>
      <w:r>
        <w:rPr>
          <w:rFonts w:ascii="Times New Roman" w:cs="Times New Roman" w:eastAsia="Times New Roman" w:hAnsi="Times New Roman"/>
          <w:sz w:val="18"/>
          <w:szCs w:val="18"/>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1998 Stock Incentive Plan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Scientific Advisory Board 1998 Stock Incentive Plan (the “</w:t>
      </w:r>
      <w:r>
        <w:rPr>
          <w:rFonts w:ascii="Times New Roman" w:cs="Times New Roman" w:eastAsia="Times New Roman" w:hAnsi="Times New Roman"/>
          <w:sz w:val="18"/>
          <w:szCs w:val="18"/>
          <w:i w:val="1"/>
          <w:iCs w:val="1"/>
          <w:color w:val="auto"/>
        </w:rPr>
        <w:t>SAB Plan</w:t>
      </w:r>
      <w:r>
        <w:rPr>
          <w:rFonts w:ascii="Times New Roman" w:cs="Times New Roman" w:eastAsia="Times New Roman" w:hAnsi="Times New Roman"/>
          <w:sz w:val="18"/>
          <w:szCs w:val="18"/>
          <w:color w:val="auto"/>
        </w:rPr>
        <w:t>”) was adopted by VistaGen California’s Board of Directors in July 1998. The VistaGen California Board of Directors authorized 25,000 shares of common stock for awards from the SAB Plan. No awards have been granted from the SAB Plan since August 2001. The SAB Plan expired in July 2008 and all of the options granted from the SAB Plan have either been exercised or expired during fiscal 2012.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2008 Plan</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Unless terminated sooner, the 2008 Plan will automatically terminate in 2017. The Board of Directors may at any time amend, suspend or terminate the Company’s 2008 Plan.</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first quarter of fiscal 2013, when the quoted market price of the Company’s common stock was $0.51, the Company granted options to purchase an aggregate of 155,000 shares of its common stock at an exercise price of $0.51 per share to certain of its employees, excluding the Company’s Chief Executive Officer and President and Chief Scientific Officer, and to certain scientific consultants. Options granted during the first quarter of fiscal 2013 have a contractual term of 10 years and vest over a period of 4 years. 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Options granted during the third quarter of fiscal 2013 have a contractual term of 10 years and options to purchase 604,699 shares were granted as immediately vested, with the remaining option shares vesting over a period of two years. The cancellation and reissuance was accounted for as a modification of the options. During fiscal year 2012, the Company granted options to purchase an aggregate of 1,020,000 shares of its common stock at exercise prices ranging from $1.75 per share to $2.99 per share to certain of its employees and scientific and business consultants, including members of the Company's Board of Directors and Scientific Advisory Board, and one of the Company’s officers exercised options to purchase 113,636 restricted shares of its common stock at an exercise price of $0.88 per share. Including the impact of the modification of the option grants during fiscal 2013 described above, the Company recorded share-based compensation costs related to 2008 Plan option grants of $438,800 for the fiscal year ended March 31, 2013 compared with $1,591,300 for the fiscal year ended March 31, 2012.</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following table summarizes share-based compensation expense, including share-based expense related to the March 2013 grant of warrants to certain of the Company’s officers and to its independent directors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included in the accompanying Consolidated Statement of Operations and Comprehensive Loss for the years ended March 31, 2013 and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to stock option grants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242,300</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477,400</w:t>
            </w:r>
          </w:p>
        </w:tc>
      </w:tr>
      <w:tr>
        <w:trPr>
          <w:trHeight w:val="212"/>
        </w:trPr>
        <w:tc>
          <w:tcPr>
            <w:tcW w:w="2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to warrant grants to officers and directors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477,400</w:t>
            </w: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to stock option grants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1,113,900</w:t>
            </w:r>
          </w:p>
        </w:tc>
      </w:tr>
      <w:tr>
        <w:trPr>
          <w:trHeight w:val="212"/>
        </w:trPr>
        <w:tc>
          <w:tcPr>
            <w:tcW w:w="2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to warrant grants to officers and directors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1,113,900</w:t>
            </w: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1,241,300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1,591,300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used the Black-Scholes option valuation model with the following assumptions to determine share-based compensation expense related to option grants during the fiscal years ended March 31, 2013 and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$0.51 and $0.75</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1.75 to $2.99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on date of grant</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$0.51 and $0.71</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1.75 to $2.99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0.895% to 1.74%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to</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6.25 to 10.0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to</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82.9% to 85.4%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to</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 at grant date</w:t>
            </w:r>
          </w:p>
        </w:tc>
        <w:tc>
          <w:tcPr>
            <w:tcW w:w="3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0.36 to $0.59</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1.08 to $2.48</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0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F-46</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the fiscal years ended March 31, 2013 and 2012 under the Company’s stock option plans: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color w:val="auto"/>
                <w:w w:val="98"/>
              </w:rPr>
              <w:t>Fiscal Years Ended March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jc w:val="right"/>
              <w:ind w:right="592"/>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ind w:right="72"/>
              <w:spacing w:after="0" w:line="194" w:lineRule="exact"/>
              <w:rPr>
                <w:sz w:val="20"/>
                <w:szCs w:val="20"/>
                <w:color w:val="auto"/>
              </w:rPr>
            </w:pPr>
            <w:r>
              <w:rPr>
                <w:rFonts w:ascii="Times New Roman" w:cs="Times New Roman" w:eastAsia="Times New Roman" w:hAnsi="Times New Roman"/>
                <w:sz w:val="18"/>
                <w:szCs w:val="18"/>
                <w:color w:val="auto"/>
                <w:w w:val="97"/>
              </w:rPr>
              <w:t>Weighted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4"/>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Exercise</w:t>
            </w:r>
          </w:p>
        </w:tc>
        <w:tc>
          <w:tcPr>
            <w:tcW w:w="180" w:type="dxa"/>
            <w:vAlign w:val="bottom"/>
          </w:tcPr>
          <w:p>
            <w:pPr>
              <w:spacing w:after="0"/>
              <w:rPr>
                <w:sz w:val="18"/>
                <w:szCs w:val="18"/>
                <w:color w:val="auto"/>
              </w:rPr>
            </w:pPr>
          </w:p>
        </w:tc>
        <w:tc>
          <w:tcPr>
            <w:tcW w:w="12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Price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7"/>
              </w:rPr>
              <w:t>Price</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period</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4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3,949,153</w:t>
            </w:r>
          </w:p>
        </w:tc>
        <w:tc>
          <w:tcPr>
            <w:tcW w:w="8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granted</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0.72</w:t>
            </w:r>
          </w:p>
        </w:tc>
        <w:tc>
          <w:tcPr>
            <w:tcW w:w="14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1,020,000</w:t>
            </w:r>
          </w:p>
        </w:tc>
        <w:tc>
          <w:tcPr>
            <w:tcW w:w="8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(113,979)</w:t>
            </w:r>
          </w:p>
        </w:tc>
        <w:tc>
          <w:tcPr>
            <w:tcW w:w="8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cancelled</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(870,550)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forfeited</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8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expired</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(19,403)</w:t>
            </w:r>
          </w:p>
        </w:tc>
        <w:tc>
          <w:tcPr>
            <w:tcW w:w="8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Options outstanding at end of period</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rPr>
              <w:t>4,912,604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1.32</w:t>
            </w:r>
          </w:p>
        </w:tc>
        <w:tc>
          <w:tcPr>
            <w:tcW w:w="1400" w:type="dxa"/>
            <w:vAlign w:val="bottom"/>
            <w:gridSpan w:val="6"/>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4,805,771</w:t>
            </w:r>
          </w:p>
        </w:tc>
        <w:tc>
          <w:tcPr>
            <w:tcW w:w="880" w:type="dxa"/>
            <w:vAlign w:val="bottom"/>
            <w:gridSpan w:val="2"/>
          </w:tcPr>
          <w:p>
            <w:pPr>
              <w:jc w:val="right"/>
              <w:ind w:right="5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480" w:type="dxa"/>
            <w:vAlign w:val="bottom"/>
            <w:gridSpan w:val="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Options exercisable at end of period</w:t>
            </w: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4,227,436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1.35</w:t>
            </w:r>
          </w:p>
        </w:tc>
        <w:tc>
          <w:tcPr>
            <w:tcW w:w="1400" w:type="dxa"/>
            <w:vAlign w:val="bottom"/>
            <w:gridSpan w:val="6"/>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3,740,135</w:t>
            </w:r>
          </w:p>
        </w:tc>
        <w:tc>
          <w:tcPr>
            <w:tcW w:w="880" w:type="dxa"/>
            <w:vAlign w:val="bottom"/>
            <w:gridSpan w:val="2"/>
            <w:shd w:val="clear" w:color="auto" w:fill="CCEEFF"/>
          </w:tcPr>
          <w:p>
            <w:pPr>
              <w:jc w:val="right"/>
              <w:ind w:right="5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Borders>
              <w:top w:val="single" w:sz="8" w:color="CCEEFF"/>
            </w:tcBorders>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 average grant-date fair value of</w:t>
            </w:r>
          </w:p>
        </w:tc>
        <w:tc>
          <w:tcPr>
            <w:tcW w:w="3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granted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109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and exercisable under the Company’s option plans as of March 31, 2013:</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Options Outstanding</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jc w:val="right"/>
              <w:ind w:right="692"/>
              <w:spacing w:after="0"/>
              <w:rPr>
                <w:sz w:val="20"/>
                <w:szCs w:val="20"/>
                <w:color w:val="auto"/>
              </w:rPr>
            </w:pPr>
            <w:r>
              <w:rPr>
                <w:rFonts w:ascii="Times New Roman" w:cs="Times New Roman" w:eastAsia="Times New Roman" w:hAnsi="Times New Roman"/>
                <w:sz w:val="18"/>
                <w:szCs w:val="18"/>
                <w:color w:val="auto"/>
              </w:rPr>
              <w:t>Options Exercisable</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auto"/>
                <w:w w:val="94"/>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7"/>
              </w:rPr>
              <w:t>Weighted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color w:val="auto"/>
                <w:w w:val="95"/>
              </w:rPr>
              <w:t>Average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Exercise</w:t>
            </w:r>
          </w:p>
        </w:tc>
        <w:tc>
          <w:tcPr>
            <w:tcW w:w="1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Number</w:t>
            </w:r>
          </w:p>
        </w:tc>
        <w:tc>
          <w:tcPr>
            <w:tcW w:w="3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Years until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6"/>
              </w:rPr>
              <w:t>Exercise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6"/>
              </w:rPr>
              <w:t>Exercise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7"/>
              </w:rPr>
              <w:t>Price</w:t>
            </w:r>
          </w:p>
        </w:tc>
        <w:tc>
          <w:tcPr>
            <w:tcW w:w="280" w:type="dxa"/>
            <w:vAlign w:val="bottom"/>
          </w:tcPr>
          <w:p>
            <w:pPr>
              <w:spacing w:after="0"/>
              <w:rPr>
                <w:sz w:val="20"/>
                <w:szCs w:val="20"/>
                <w:color w:val="auto"/>
              </w:rPr>
            </w:pP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Expiration</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8"/>
                <w:szCs w:val="18"/>
                <w:color w:val="auto"/>
              </w:rPr>
              <w:t>Exercisable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Price</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0.51 - $0.72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267,540</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112,540</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920,550</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670,494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0.80 - $1.13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455,776</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455,776</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2,413,250</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2,413,250</w:t>
            </w:r>
          </w:p>
        </w:tc>
        <w:tc>
          <w:tcPr>
            <w:tcW w:w="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1.65 - $1.925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695,833</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415,721</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2.10 - $2.99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159,655</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159,655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tcBorders>
              <w:top w:val="single" w:sz="8" w:color="auto"/>
            </w:tcBorders>
            <w:gridSpan w:val="4"/>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4,912,604</w:t>
            </w:r>
          </w:p>
        </w:tc>
        <w:tc>
          <w:tcPr>
            <w:tcW w:w="2200" w:type="dxa"/>
            <w:vAlign w:val="bottom"/>
            <w:gridSpan w:val="3"/>
          </w:tcPr>
          <w:p>
            <w:pPr>
              <w:jc w:val="right"/>
              <w:ind w:right="280"/>
              <w:spacing w:after="0" w:line="192" w:lineRule="exact"/>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jc w:val="right"/>
              <w:ind w:right="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line="192"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700" w:type="dxa"/>
            <w:vAlign w:val="bottom"/>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rPr>
              <w:t>4,227,436</w:t>
            </w:r>
          </w:p>
        </w:tc>
        <w:tc>
          <w:tcPr>
            <w:tcW w:w="40" w:type="dxa"/>
            <w:vAlign w:val="bottom"/>
          </w:tcPr>
          <w:p>
            <w:pPr>
              <w:spacing w:after="0"/>
              <w:rPr>
                <w:sz w:val="18"/>
                <w:szCs w:val="18"/>
                <w:color w:val="auto"/>
              </w:rPr>
            </w:pPr>
          </w:p>
        </w:tc>
        <w:tc>
          <w:tcPr>
            <w:tcW w:w="660" w:type="dxa"/>
            <w:vAlign w:val="bottom"/>
            <w:gridSpan w:val="2"/>
          </w:tcPr>
          <w:p>
            <w:pPr>
              <w:jc w:val="right"/>
              <w:ind w:right="280"/>
              <w:spacing w:after="0" w:line="19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60"/>
              <w:spacing w:after="0" w:line="192" w:lineRule="exact"/>
              <w:rPr>
                <w:sz w:val="20"/>
                <w:szCs w:val="20"/>
                <w:color w:val="auto"/>
              </w:rPr>
            </w:pPr>
            <w:r>
              <w:rPr>
                <w:rFonts w:ascii="Times New Roman" w:cs="Times New Roman" w:eastAsia="Times New Roman" w:hAnsi="Times New Roman"/>
                <w:sz w:val="18"/>
                <w:szCs w:val="18"/>
                <w:color w:val="auto"/>
                <w:w w:val="95"/>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March 31, 2013, there were 257,867 shares of the Company’s common stock remaining available for grant under the 2008 Plan. There were no option exercises during the year ended March 31, 2013. The Company received cash proceeds of $102,200 as a result of options exercised during the year ended March 31, 2012.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Aggregate intrinsic value is the sum of the amounts by which the fair value of the stock exceeded the exercise price (“</w:t>
      </w:r>
      <w:r>
        <w:rPr>
          <w:rFonts w:ascii="Times New Roman" w:cs="Times New Roman" w:eastAsia="Times New Roman" w:hAnsi="Times New Roman"/>
          <w:sz w:val="18"/>
          <w:szCs w:val="18"/>
          <w:i w:val="1"/>
          <w:iCs w:val="1"/>
          <w:color w:val="auto"/>
        </w:rPr>
        <w:t>in-the-money-options</w:t>
      </w:r>
      <w:r>
        <w:rPr>
          <w:rFonts w:ascii="Times New Roman" w:cs="Times New Roman" w:eastAsia="Times New Roman" w:hAnsi="Times New Roman"/>
          <w:sz w:val="18"/>
          <w:szCs w:val="18"/>
          <w:color w:val="auto"/>
        </w:rPr>
        <w:t>”). Based on the quoted market price of the Company’s common stock of $0.83 per share on March 31, 2013, the aggregate intrinsic value of outstanding options at that date was $165,000, of which $87,300 related to exercisable options.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2013, there was approximately $743,000 of unrecognized compensation cost related to non-vested share-based compensation awards from the 2008 Plan, which is expected to be recognized through May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Grants from 2008 Plan</w:t>
      </w:r>
    </w:p>
    <w:p>
      <w:pPr>
        <w:spacing w:after="0" w:line="2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As discussed in Note 8, </w:t>
      </w:r>
      <w:r>
        <w:rPr>
          <w:rFonts w:ascii="Times New Roman" w:cs="Times New Roman" w:eastAsia="Times New Roman" w:hAnsi="Times New Roman"/>
          <w:sz w:val="17"/>
          <w:szCs w:val="17"/>
          <w:i w:val="1"/>
          <w:iCs w:val="1"/>
          <w:color w:val="auto"/>
        </w:rPr>
        <w:t>Convertible Promissory Notes and Other Notes Payable,</w:t>
      </w:r>
      <w:r>
        <w:rPr>
          <w:rFonts w:ascii="Times New Roman" w:cs="Times New Roman" w:eastAsia="Times New Roman" w:hAnsi="Times New Roman"/>
          <w:sz w:val="17"/>
          <w:szCs w:val="17"/>
          <w:color w:val="auto"/>
        </w:rPr>
        <w:t xml:space="preserve"> in April and May 2011, the Company issued an aggregate of 139,600 restricted shares of its common stock from the 2008 Plan to Desjardins and McCarthy as partial compensation for services performed by the two entities. At the date of issuance, the shares were valued at $1.75 per share and the Company recorded $244,300 in general and administrative expense in connection with the issuances.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Cato Holding Company (“</w:t>
      </w:r>
      <w:r>
        <w:rPr>
          <w:rFonts w:ascii="Times New Roman" w:cs="Times New Roman" w:eastAsia="Times New Roman" w:hAnsi="Times New Roman"/>
          <w:sz w:val="17"/>
          <w:szCs w:val="17"/>
          <w:i w:val="1"/>
          <w:iCs w:val="1"/>
          <w:color w:val="auto"/>
        </w:rPr>
        <w:t>CHC</w:t>
      </w:r>
      <w:r>
        <w:rPr>
          <w:rFonts w:ascii="Times New Roman" w:cs="Times New Roman" w:eastAsia="Times New Roman" w:hAnsi="Times New Roman"/>
          <w:sz w:val="17"/>
          <w:szCs w:val="17"/>
          <w:color w:val="auto"/>
        </w:rPr>
        <w:t>”), doing business as Cato BioVentures ("</w:t>
      </w:r>
      <w:r>
        <w:rPr>
          <w:rFonts w:ascii="Times New Roman" w:cs="Times New Roman" w:eastAsia="Times New Roman" w:hAnsi="Times New Roman"/>
          <w:sz w:val="17"/>
          <w:szCs w:val="17"/>
          <w:i w:val="1"/>
          <w:iCs w:val="1"/>
          <w:color w:val="auto"/>
        </w:rPr>
        <w:t>CBV</w:t>
      </w:r>
      <w:r>
        <w:rPr>
          <w:rFonts w:ascii="Times New Roman" w:cs="Times New Roman" w:eastAsia="Times New Roman" w:hAnsi="Times New Roman"/>
          <w:sz w:val="17"/>
          <w:szCs w:val="17"/>
          <w:color w:val="auto"/>
        </w:rPr>
        <w:t xml:space="preserve">"), the parent of CRL, is one of the Company’s largest institutional stockholders at March 31, 2013, holding common stock and warrants to purchase common stock. Prior to the May 11, 2011 conversion of certain of the Company’s outstanding promissory notes and the conversion of preferred stock into shares of common stock, CBV held various promissory notes and a majority of the Company's Series B-1 Preferred Stock. Shawn Singh, the Company’s Chief Executive Officer and member of its Board of Directors, served as Managing Principal of CBV and as an officer of CRL until August 2009. As described in Note 8, </w:t>
      </w:r>
      <w:r>
        <w:rPr>
          <w:rFonts w:ascii="Times New Roman" w:cs="Times New Roman" w:eastAsia="Times New Roman" w:hAnsi="Times New Roman"/>
          <w:sz w:val="17"/>
          <w:szCs w:val="17"/>
          <w:i w:val="1"/>
          <w:iCs w:val="1"/>
          <w:color w:val="auto"/>
        </w:rPr>
        <w:t>Convertible Promissory Notes and Other Notes Payable</w:t>
      </w:r>
      <w:r>
        <w:rPr>
          <w:rFonts w:ascii="Times New Roman" w:cs="Times New Roman" w:eastAsia="Times New Roman" w:hAnsi="Times New Roman"/>
          <w:sz w:val="17"/>
          <w:szCs w:val="17"/>
          <w:color w:val="auto"/>
        </w:rPr>
        <w:t>, in April 2011, CBV loaned the Company $352,273 under the terms of the 2011 CHC Note. On October 10, 2012, the Company and CHC cancelled the 2011 CHC Note and exchanged it for a new unsecured promissory note in the principal amount of $310,443 (the “</w:t>
      </w:r>
      <w:r>
        <w:rPr>
          <w:rFonts w:ascii="Times New Roman" w:cs="Times New Roman" w:eastAsia="Times New Roman" w:hAnsi="Times New Roman"/>
          <w:sz w:val="17"/>
          <w:szCs w:val="17"/>
          <w:i w:val="1"/>
          <w:iCs w:val="1"/>
          <w:color w:val="auto"/>
        </w:rPr>
        <w:t>2012 CHC Note</w:t>
      </w:r>
      <w:r>
        <w:rPr>
          <w:rFonts w:ascii="Times New Roman" w:cs="Times New Roman" w:eastAsia="Times New Roman" w:hAnsi="Times New Roman"/>
          <w:sz w:val="17"/>
          <w:szCs w:val="17"/>
          <w:color w:val="auto"/>
        </w:rPr>
        <w:t>”) and a five-year warrant to purchase 250,000 restricted shares of the Company’s common stock at a price of $1.50 per share (the “</w:t>
      </w:r>
      <w:r>
        <w:rPr>
          <w:rFonts w:ascii="Times New Roman" w:cs="Times New Roman" w:eastAsia="Times New Roman" w:hAnsi="Times New Roman"/>
          <w:sz w:val="17"/>
          <w:szCs w:val="17"/>
          <w:i w:val="1"/>
          <w:iCs w:val="1"/>
          <w:color w:val="auto"/>
        </w:rPr>
        <w:t>CHC Warrant</w:t>
      </w:r>
      <w:r>
        <w:rPr>
          <w:rFonts w:ascii="Times New Roman" w:cs="Times New Roman" w:eastAsia="Times New Roman" w:hAnsi="Times New Roman"/>
          <w:sz w:val="17"/>
          <w:szCs w:val="17"/>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Times New Roman" w:cs="Times New Roman" w:eastAsia="Times New Roman" w:hAnsi="Times New Roman"/>
          <w:sz w:val="17"/>
          <w:szCs w:val="17"/>
          <w:i w:val="1"/>
          <w:iCs w:val="1"/>
          <w:color w:val="auto"/>
        </w:rPr>
        <w:t>CRL Note</w:t>
      </w:r>
      <w:r>
        <w:rPr>
          <w:rFonts w:ascii="Times New Roman" w:cs="Times New Roman" w:eastAsia="Times New Roman" w:hAnsi="Times New Roman"/>
          <w:sz w:val="17"/>
          <w:szCs w:val="17"/>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During fiscal year 2007, the Company entered into a contract research organization arrangement with CRL related to the development of AV-101, under which the Company incurred expenses of $703,800 and $1,461,300 for the fiscal years ended March 31, 2013 and 2012, respectively, a substantial portion of which were reimbursed under the NIH grant. Total interest expense on notes payable to CHC and CRL was $101,700 and $93,100 for the fiscal years ended March 31, 2013 and 2012, respectively, with the majority of amounts reported for periods prior to May 2011 having been converted to equity. On April 29, 2011, the Company issued 157,143 restricted shares of common stock, valued at $1.75 per share, as prepayment for research and development services to be performed by CRL during 2011.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 December 2011, the Company entered into an Agreement Regarding Payment of Invoices and Warrant Exercises with CHC, CRL and the CHC affiliates pursuant to which CHC and the CHC Affiliates exercised warrants at discounted exercise prices to purchase an aggregate of 492,541 restricted shares of the Company’s common stock and the Company received $60,200 cash, and, in lieu of cash payment for certain of the warrant exercises, settled outstanding liabilities of $245,300 for past services received from CRL and prepaid $226,400 for future services to be received from CRL, which services had been fully received by March 31, 2012.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Prior to his April 2003 appointment as one of the Company’s officers (on a part-time basis) and as a director, the Company retained Mr. Singh as a consultant to provide legal and other consulting services. During the course of the consultancy, as payment for his services, the Company issued him warrants to purchase 55,898 restricted shares of common stock at $0.80 per share and a 7% promissory note in the principal amount of $26,400. On May 11, 2011, and concurrent with the Merger, the Company paid the outstanding balance of principal and accrued interest totaling $36,000 (see Note 8, </w:t>
      </w:r>
      <w:r>
        <w:rPr>
          <w:rFonts w:ascii="Times New Roman" w:cs="Times New Roman" w:eastAsia="Times New Roman" w:hAnsi="Times New Roman"/>
          <w:sz w:val="17"/>
          <w:szCs w:val="17"/>
          <w:i w:val="1"/>
          <w:iCs w:val="1"/>
          <w:color w:val="auto"/>
        </w:rPr>
        <w:t>Convertible Promissory Notes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Notes Payable</w:t>
      </w:r>
      <w:r>
        <w:rPr>
          <w:rFonts w:ascii="Times New Roman" w:cs="Times New Roman" w:eastAsia="Times New Roman" w:hAnsi="Times New Roman"/>
          <w:sz w:val="17"/>
          <w:szCs w:val="17"/>
          <w:color w:val="auto"/>
        </w:rPr>
        <w:t>). Upon the approval by the Board of Directors, in December 2006, VistaGen California accepted a full-recourse promissory note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of $103,400 from Mr. Singh in payment of the exercise price for options and warrants to purchase an aggregate of 126,389 restricted shares of the Company’s common stock. The note accrued interest at a rate of 4.90% per annum and was due and payable no later than the earlier of (i) December 1, 2016 or</w:t>
      </w:r>
    </w:p>
    <w:p>
      <w:pPr>
        <w:spacing w:after="0" w:line="3" w:lineRule="exact"/>
        <w:rPr>
          <w:sz w:val="20"/>
          <w:szCs w:val="20"/>
          <w:color w:val="auto"/>
        </w:rPr>
      </w:pPr>
    </w:p>
    <w:p>
      <w:pPr>
        <w:jc w:val="both"/>
        <w:ind w:firstLine="6"/>
        <w:spacing w:after="0" w:line="247" w:lineRule="auto"/>
        <w:tabs>
          <w:tab w:leader="none" w:pos="2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days prior to the Company becoming subject to the requirements of the Securities Exchange Act of 1934, as amended (“Exchange Act”). On May 11, 2011, in connection with the Merger, the $128,200 outstanding balance of the principal and accrued interest on this note was cancelled in accordance with Mr. Singh's employment agreement and recorded as additional compensation. In accordance with his employment agreement, Mr. Singh is also entitled to an income tax gross-up on the compensation related to the note cancellation. At March 31, 2012 and 2013, the Company had accrued $101,900 as an estimate of the gross-up amount, but had not yet paid that amount to Mr. Singh.</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2007, VistaGen California accepted a full recourse promissory note in the amount of $46,400 from A. Franklin Rice, its former Chief Financial Officer and a former director of the Company in exchange for his exercise of options to purchase 52,681 restricted shares of the Company’s common stock. The note accrued interest at a rate of 4.90% per annum and was due and payable no later than the earlier of (i) March 1, 2017 or (ii) ten days prior to the Company becoming subject to the requirements of the Exchange Act. On May 11, 2011, in connection with the Merger, the $57,000 outstanding balance of principal and accrued interest on this note was cancelled in accordance with Mr. Rice's employment agreement and recorded as additional compensation. In accordance with his employment agreement, Mr. Rice is entitled to an income tax gross-up on the compensation related to the note cancellation. At March 31, 2012 and 2013, the Company had accrued $33,900 as an estimate of the gross-up amount, but had not paid it to Mr. Rice.</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Merger, VistaGen California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restricted shares of the Company’s common stock, of which he has exercised warrants to purchase 18,568 restricted shares. Additionally, Mr. Saxe was issued a 7% promissory note in the amount of $8,000. On May 11, 2011, the $14,400 balance of the note and related accrued interest plus a note cancellation premium of $5,100 was converted to 11,142 restricted shares of the Company’s common stock and a three-year warrant to purchase 2,784 restricted shares of common stock at an exercise price of $2.50 per share. In lieu of payment from the Company, in December 2011, Mr. Saxe exercised the warrant as a part of the Discounted Warrant Exercise Program at an exercise price of $1.25 per share in satisfaction of amounts owed to him in conjunction with his service as a member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Contingencies, Guarantees and Indemnifications</w:t>
      </w:r>
    </w:p>
    <w:p>
      <w:pPr>
        <w:spacing w:after="0" w:line="24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From time to time, the Company may become involved in claims and other legal matters arising in the ordinary course of business. Management is not currently aware of any matters that will have a material adverse effect on the Company’s consolidated financial position, results of operations or its cash flows.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2013 or 2012.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2013 or 2012.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2013 and 2012, the following assets are under capital lease obligations and included in property and equipment: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laboratory and computer equipment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133,200</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4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(119,200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Equipment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680" w:type="dxa"/>
            <w:vAlign w:val="bottom"/>
          </w:tcPr>
          <w:p>
            <w:pPr>
              <w:spacing w:after="0"/>
              <w:rPr>
                <w:sz w:val="20"/>
                <w:szCs w:val="20"/>
                <w:color w:val="auto"/>
              </w:rPr>
            </w:pPr>
          </w:p>
        </w:tc>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 Leases</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 included in minimum lease payments</w:t>
            </w:r>
          </w:p>
        </w:tc>
        <w:tc>
          <w:tcPr>
            <w:tcW w:w="68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8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capital lease obligation</w:t>
            </w:r>
          </w:p>
        </w:tc>
        <w:tc>
          <w:tcPr>
            <w:tcW w:w="2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At March 31, 2013, future minimum payments under operating leases relate to the Company’s facility lease in South San Francisco, California through June 30, 2013 and total $45,000 for the fiscal year ended March 31, 2014.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Total facility rent expense incurred by the Company for the fiscal years ended March 31, 2013 and 2012 was $179,000 and $166,000, respectively.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Repayment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2013, future minimum principal payments related to long-term debt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Thereafter through October 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evaluated subsequent events through July 12, 2013 and has identified the following material events and transactions that occurred after March 31, 2013.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Autilion AG Securities Purchase Agreement</w:t>
      </w:r>
    </w:p>
    <w:p>
      <w:pPr>
        <w:spacing w:after="0" w:line="24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April 8, 2013, the Company entered into a Securities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with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On April 12, 2013, Autilion assigned the Purchase Agreement to its affiliate, Bergamo Acquisition Corp. PTE LTD, a corporation organized and existing under the laws of Singapore (“</w:t>
      </w:r>
      <w:r>
        <w:rPr>
          <w:rFonts w:ascii="Times New Roman" w:cs="Times New Roman" w:eastAsia="Times New Roman" w:hAnsi="Times New Roman"/>
          <w:sz w:val="18"/>
          <w:szCs w:val="18"/>
          <w:i w:val="1"/>
          <w:iCs w:val="1"/>
          <w:color w:val="auto"/>
        </w:rPr>
        <w:t>Bergamo Singapore</w:t>
      </w:r>
      <w:r>
        <w:rPr>
          <w:rFonts w:ascii="Times New Roman" w:cs="Times New Roman" w:eastAsia="Times New Roman" w:hAnsi="Times New Roman"/>
          <w:sz w:val="18"/>
          <w:szCs w:val="18"/>
          <w:color w:val="auto"/>
        </w:rPr>
        <w:t>”). On April 30, 2013, the Company and Bergamo Singapore amended the Purchase Agreement (the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to modify the investment dates. On June 27, 2013, the Company, Autilion and Bergamo Singapore further amended the Agreement to vacate Autilion’s April 2013 assignment of the Purchase Agreement to Bergamo Singapore, provide for an initial closing under the Purchase Agreement, and amend certain of the investment dates under the Purchase Agreement (“</w:t>
      </w:r>
      <w:r>
        <w:rPr>
          <w:rFonts w:ascii="Times New Roman" w:cs="Times New Roman" w:eastAsia="Times New Roman" w:hAnsi="Times New Roman"/>
          <w:sz w:val="18"/>
          <w:szCs w:val="18"/>
          <w:i w:val="1"/>
          <w:iCs w:val="1"/>
          <w:color w:val="auto"/>
        </w:rPr>
        <w:t>Amendment No. 2</w:t>
      </w:r>
      <w:r>
        <w:rPr>
          <w:rFonts w:ascii="Times New Roman" w:cs="Times New Roman" w:eastAsia="Times New Roman" w:hAnsi="Times New Roman"/>
          <w:sz w:val="18"/>
          <w:szCs w:val="18"/>
          <w:color w:val="auto"/>
        </w:rPr>
        <w:t>”, and together with the Agreement and Amendment No. 1, the “</w:t>
      </w:r>
      <w:r>
        <w:rPr>
          <w:rFonts w:ascii="Times New Roman" w:cs="Times New Roman" w:eastAsia="Times New Roman" w:hAnsi="Times New Roman"/>
          <w:sz w:val="18"/>
          <w:szCs w:val="18"/>
          <w:i w:val="1"/>
          <w:iCs w:val="1"/>
          <w:color w:val="auto"/>
        </w:rPr>
        <w:t>Amended Agreement</w:t>
      </w:r>
      <w:r>
        <w:rPr>
          <w:rFonts w:ascii="Times New Roman" w:cs="Times New Roman" w:eastAsia="Times New Roman" w:hAnsi="Times New Roman"/>
          <w:sz w:val="18"/>
          <w:szCs w:val="18"/>
          <w:color w:val="auto"/>
        </w:rPr>
        <w:t>”). Under the terms of the Amended Agreement, Autilion is contractually obligated to purchase an aggregate of 72.0 million restricted shares of the Company’s common stock at a purchase price of $0.50 per share for aggregate cash consideration of $36.0 million, in a series of tranches between June 27, 2013 and September 30, 2013 (cumulatively,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The Amended Agreement also provides for the election to the Company’s Board of Directors of a designee of Autilion upon completion of the Autilion Financing. The Company has completed a nominal initial closing of the Autilion Financing.</w:t>
      </w:r>
    </w:p>
    <w:p>
      <w:pPr>
        <w:spacing w:after="0" w:line="21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cs="Times New Roman" w:eastAsia="Times New Roman" w:hAnsi="Times New Roman"/>
          <w:sz w:val="18"/>
          <w:szCs w:val="18"/>
          <w:i w:val="1"/>
          <w:iCs w:val="1"/>
          <w:color w:val="auto"/>
        </w:rPr>
        <w:t>Approved Transaction</w:t>
      </w:r>
      <w:r>
        <w:rPr>
          <w:rFonts w:ascii="Times New Roman" w:cs="Times New Roman" w:eastAsia="Times New Roman" w:hAnsi="Times New Roman"/>
          <w:sz w:val="18"/>
          <w:szCs w:val="18"/>
          <w:color w:val="auto"/>
        </w:rPr>
        <w:t>”), Autilion is required to vote all shares of capital stock of the Company held by it for such Approved Transaction.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Warrants held by Platinum</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Effective on May 24, 2013, the Company and Platinum entered into an Amendment and Waiver pursuant to which the Company agreed to reduce the exercise price of the Exchange Warrant and the Investment Warrants issued to Platinum in October 2012 and February 2013 and March 2013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Bergamo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of previously outstanding warrants for which the Company may reduce the exercise price to not less than $0.50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Facility Lease</w:t>
      </w:r>
    </w:p>
    <w:p>
      <w:pPr>
        <w:spacing w:after="0" w:line="24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On April 24, 2013, the Company entered into a four-year facility lease for approximately 10,900 square feet of laboratory and headquarters office space in South San Francisco, California beginning July 1, 2013. Future minimum payments under the lease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70,400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Modifications</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During June 2013, the Company offered certain warrant holders the opportunity to exercise their warrants to purchase restricted shares of the Company’s common stock at an exercise price reduced from $1.50 per share to $0.50 per share. Through the date of this report, warrant holders exercised warrants to purchase an aggregate of 399,106 restricted shares of the Company’s common stock and the Company received cash proceeds of $191,200 and settled accounts payable for professional services in the amount of $8,300 in lieu of cash payment by the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ind w:right="8020" w:firstLine="6"/>
        <w:spacing w:after="0" w:line="554" w:lineRule="auto"/>
        <w:tabs>
          <w:tab w:leader="none" w:pos="265"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Supplemental Financial Information Quarterly Results of Operations (Unaudited)</w:t>
      </w:r>
    </w:p>
    <w:p>
      <w:pPr>
        <w:spacing w:after="0" w:line="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following table presents the unaudited statements of operations data for each of the eight quarters in the period ended March 31, 2013. This information represents the activity of VistaGen California for the pre-Merger portion of the first quarter of fiscal 2012 and the consolidated activity of VistaGen California and the Company from May 11, 2011 (the date of the Merger) through March 31, 2013. A total of 1,569,000 shares of common stock, representing the 784,500 shares held by stockholders of Excaliber immediately prior to the Merger and effected for the post-Merger two-for-one (2:1) stock split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have been retroactively reflected as outstanding for the entire fiscal year ended March 31, 2012 for purposes of determining basic and diluted loss per common share below.</w:t>
      </w:r>
    </w:p>
    <w:p>
      <w:pPr>
        <w:spacing w:after="0" w:line="213"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Quarterly Results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4"/>
              </w:rPr>
              <w:t>Total Fiscal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30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6"/>
                <w:szCs w:val="16"/>
                <w:color w:val="auto"/>
              </w:rPr>
            </w:pPr>
          </w:p>
        </w:tc>
        <w:tc>
          <w:tcPr>
            <w:tcW w:w="1360" w:type="dxa"/>
            <w:vAlign w:val="bottom"/>
            <w:gridSpan w:val="3"/>
          </w:tcPr>
          <w:p>
            <w:pPr>
              <w:jc w:val="right"/>
              <w:ind w:right="260"/>
              <w:spacing w:after="0" w:line="19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6"/>
                <w:szCs w:val="16"/>
                <w:color w:val="auto"/>
              </w:rPr>
            </w:pPr>
          </w:p>
        </w:tc>
        <w:tc>
          <w:tcPr>
            <w:tcW w:w="1000" w:type="dxa"/>
            <w:vAlign w:val="bottom"/>
          </w:tcPr>
          <w:p>
            <w:pPr>
              <w:jc w:val="right"/>
              <w:ind w:right="92"/>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00"/>
              <w:spacing w:after="0" w:line="192" w:lineRule="exact"/>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Change in put and note extension option and warrant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(5,333)</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(5,335)</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(0.85)</w:t>
            </w:r>
          </w:p>
        </w:tc>
        <w:tc>
          <w:tcPr>
            <w:tcW w:w="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0" w:type="dxa"/>
            <w:vAlign w:val="bottom"/>
            <w:tcBorders>
              <w:top w:val="single" w:sz="8" w:color="CCEEFF"/>
            </w:tcBorders>
          </w:tcPr>
          <w:p>
            <w:pPr>
              <w:ind w:left="160"/>
              <w:spacing w:after="0" w:line="187" w:lineRule="exact"/>
              <w:rPr>
                <w:sz w:val="20"/>
                <w:szCs w:val="20"/>
                <w:color w:val="auto"/>
              </w:rPr>
            </w:pPr>
            <w:r>
              <w:rPr>
                <w:rFonts w:ascii="Times New Roman" w:cs="Times New Roman" w:eastAsia="Times New Roman" w:hAnsi="Times New Roman"/>
                <w:sz w:val="18"/>
                <w:szCs w:val="18"/>
                <w:color w:val="auto"/>
                <w:w w:val="99"/>
              </w:rPr>
              <w:t>Weighted average shares used in computing basic and diluted</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16,842,655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17,094,833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18,292,301</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20,236,491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 reflects adjustment to amount of deemed dividend on Series A Preferred in the quarter ended December 31, 2012.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4"/>
              </w:rPr>
              <w:t>Total Fiscal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30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6"/>
                <w:szCs w:val="16"/>
                <w:color w:val="auto"/>
              </w:rPr>
            </w:pPr>
          </w:p>
        </w:tc>
        <w:tc>
          <w:tcPr>
            <w:tcW w:w="1360" w:type="dxa"/>
            <w:vAlign w:val="bottom"/>
            <w:gridSpan w:val="3"/>
          </w:tcPr>
          <w:p>
            <w:pPr>
              <w:jc w:val="right"/>
              <w:ind w:right="260"/>
              <w:spacing w:after="0" w:line="19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6"/>
                <w:szCs w:val="16"/>
                <w:color w:val="auto"/>
              </w:rPr>
            </w:pPr>
          </w:p>
        </w:tc>
        <w:tc>
          <w:tcPr>
            <w:tcW w:w="1000" w:type="dxa"/>
            <w:vAlign w:val="bottom"/>
          </w:tcPr>
          <w:p>
            <w:pPr>
              <w:jc w:val="right"/>
              <w:ind w:right="92"/>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00"/>
              <w:spacing w:after="0" w:line="192" w:lineRule="exact"/>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2,854</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Change in put and note extension option and warrant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(2,411)</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0" w:type="dxa"/>
            <w:vAlign w:val="bottom"/>
            <w:tcBorders>
              <w:top w:val="single" w:sz="8" w:color="CCEEFF"/>
            </w:tcBorders>
          </w:tcPr>
          <w:p>
            <w:pPr>
              <w:ind w:left="160"/>
              <w:spacing w:after="0" w:line="187" w:lineRule="exact"/>
              <w:rPr>
                <w:sz w:val="20"/>
                <w:szCs w:val="20"/>
                <w:color w:val="auto"/>
              </w:rPr>
            </w:pPr>
            <w:r>
              <w:rPr>
                <w:rFonts w:ascii="Times New Roman" w:cs="Times New Roman" w:eastAsia="Times New Roman" w:hAnsi="Times New Roman"/>
                <w:sz w:val="18"/>
                <w:szCs w:val="18"/>
                <w:color w:val="auto"/>
                <w:w w:val="99"/>
              </w:rPr>
              <w:t>Weighted average shares used in computing basic and diluted</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11,105,854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15,241,904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16,035,861</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16,542,717</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 reflects adjustment to amount of deemed dividend on Series A Preferred in the quarter ended December 31, 2012.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84"/>
        </w:trPr>
        <w:tc>
          <w:tcPr>
            <w:tcW w:w="83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60" w:type="dxa"/>
            <w:vAlign w:val="bottom"/>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60" w:type="dxa"/>
            <w:vAlign w:val="bottom"/>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60" w:type="dxa"/>
            <w:vAlign w:val="bottom"/>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60" w:type="dxa"/>
            <w:vAlign w:val="bottom"/>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7"/>
              </w:rPr>
              <w:t>(Amounts in Dollars, except share amounts)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60" w:type="dxa"/>
            <w:vAlign w:val="bottom"/>
            <w:vMerge w:val="restart"/>
          </w:tcPr>
          <w:p>
            <w:pPr>
              <w:jc w:val="center"/>
              <w:ind w:left="171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(Note 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60" w:type="dxa"/>
            <w:vAlign w:val="bottom"/>
            <w:shd w:val="clear" w:color="auto" w:fill="CCEEFF"/>
          </w:tcPr>
          <w:p>
            <w:pPr>
              <w:jc w:val="center"/>
              <w:ind w:left="1692"/>
              <w:spacing w:after="0" w:line="205" w:lineRule="exact"/>
              <w:rPr>
                <w:sz w:val="20"/>
                <w:szCs w:val="20"/>
                <w:color w:val="auto"/>
              </w:rPr>
            </w:pPr>
            <w:r>
              <w:rPr>
                <w:rFonts w:ascii="Times New Roman" w:cs="Times New Roman" w:eastAsia="Times New Roman" w:hAnsi="Times New Roman"/>
                <w:sz w:val="18"/>
                <w:szCs w:val="18"/>
                <w:b w:val="1"/>
                <w:bCs w:val="1"/>
                <w:color w:val="auto"/>
                <w:w w:val="98"/>
              </w:rPr>
              <w:t>LIABILITIES AND STOCKHOLDERS’ DEFICIT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2,256,600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1,353,600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532,500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from officer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Current portion of notes payable and accrued interest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638,600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notes payable to related parties and accrued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Convertible promissory notes and accrued interest, net of discount of $423,900 at December 31, 2013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3,712,300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2,414,300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Senior secured convertible promissory notes, net of discount of $2,135,800 at December 31, 2013 and $1,963,100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March 31, 2013 and accrued interest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1,781,200</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shd w:val="clear" w:color="auto" w:fill="CCEEFF"/>
          </w:tcPr>
          <w:p>
            <w:pPr>
              <w:ind w:left="460"/>
              <w:spacing w:after="0" w:line="194" w:lineRule="exact"/>
              <w:rPr>
                <w:sz w:val="20"/>
                <w:szCs w:val="20"/>
                <w:color w:val="auto"/>
              </w:rPr>
            </w:pPr>
            <w:r>
              <w:rPr>
                <w:rFonts w:ascii="Times New Roman" w:cs="Times New Roman" w:eastAsia="Times New Roman" w:hAnsi="Times New Roman"/>
                <w:sz w:val="18"/>
                <w:szCs w:val="18"/>
                <w:color w:val="auto"/>
              </w:rPr>
              <w:t>Notes payable, net of discount of $929,000 at December 31, 2013 and $1,142,600 at March 31, 2013 and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2,479,200</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2,091,800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color w:val="auto"/>
                <w:w w:val="98"/>
              </w:rPr>
              <w:t>Notes payable to related parties, net of discount of $115,000 at December 31, 2013 and $147,200 at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2013 and accrued interest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1,209,700</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2,717,100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rent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11,023,600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83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11,999,200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13,437,900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color w:val="auto"/>
              </w:rPr>
              <w:t>Preferred stock, $0.001 par value; 10,000,000 shares, including 500,000 Series A shares, authorized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December 31, 2013 and March 31, 2013; 500,000 Series A shares issued and outstanding at 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2013 and March 31, 2013,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shd w:val="clear" w:color="auto" w:fill="CCEEFF"/>
          </w:tcPr>
          <w:p>
            <w:pPr>
              <w:ind w:left="460"/>
              <w:spacing w:after="0" w:line="194" w:lineRule="exact"/>
              <w:rPr>
                <w:sz w:val="20"/>
                <w:szCs w:val="20"/>
                <w:color w:val="auto"/>
              </w:rPr>
            </w:pPr>
            <w:r>
              <w:rPr>
                <w:rFonts w:ascii="Times New Roman" w:cs="Times New Roman" w:eastAsia="Times New Roman" w:hAnsi="Times New Roman"/>
                <w:sz w:val="18"/>
                <w:szCs w:val="18"/>
                <w:color w:val="auto"/>
              </w:rPr>
              <w:t>Common stock, $0.001 par value; 200,000,000 shares authorized at December 31, 2013 and March 31, 2013;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25,295,185 and 23,480,169 shares issued at December 31, 2013 and March 31, 2013,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25,300</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61,282,400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59,266,000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at cost, 2,713,308 shares of common stock held at December 31, 2013 and March 31, 2013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(3,968,100)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Note receivable from sale of 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(198,100)</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Deficit accumulated during development stage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(68,812,300)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(11,670,300)</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(12,556,400)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3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12,963,100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200,400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16,370,200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1,916,100</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3,092,200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31,471,800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2,047,500</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2,430,200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32,728,600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3,963,600</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71,723,600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(3,963,600)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(5,322,000)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(55,353,400)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(1,000,500)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(611,700)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(11,362,700)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CCEEFF"/>
          </w:tcPr>
          <w:p>
            <w:pPr>
              <w:ind w:left="460"/>
              <w:spacing w:after="0" w:line="194" w:lineRule="exact"/>
              <w:rPr>
                <w:sz w:val="20"/>
                <w:szCs w:val="20"/>
                <w:color w:val="auto"/>
              </w:rPr>
            </w:pPr>
            <w:r>
              <w:rPr>
                <w:rFonts w:ascii="Times New Roman" w:cs="Times New Roman" w:eastAsia="Times New Roman" w:hAnsi="Times New Roman"/>
                <w:sz w:val="18"/>
                <w:szCs w:val="18"/>
                <w:color w:val="auto"/>
              </w:rPr>
              <w:t>Change in warrant and put and note extension option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3,823,700</w:t>
            </w: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357,800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(3,537,000)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(4,761,300)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(5,333,200)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(1,140,400)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(9,112,900)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(68,789,100)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(9,116,600)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(68,812,300)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(10,193,200)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(10,193,200)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(15,528,200)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(19,309,800)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(79,005,500)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Basic net income (loss) attributable to common stockholders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8"/>
                <w:szCs w:val="18"/>
                <w:color w:val="auto"/>
              </w:rPr>
              <w:t>Diluted net loss attributable to common stockholders per</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Basic net income (loss) attributable to common stockholders per</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22,210,573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18,292,301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21,554,929</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17,411,993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Diluted net loss attributable to common stockholders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22,210,573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18,292,301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21,554,929</w:t>
            </w:r>
          </w:p>
        </w:tc>
        <w:tc>
          <w:tcPr>
            <w:tcW w:w="2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17,411,993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(5,335,000)</w:t>
            </w:r>
          </w:p>
        </w:tc>
        <w:tc>
          <w:tcPr>
            <w:tcW w:w="30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(1,143,100)</w:t>
            </w:r>
          </w:p>
        </w:tc>
        <w:tc>
          <w:tcPr>
            <w:tcW w:w="2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(9,116,600)</w:t>
            </w: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(68,812,300)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Period From</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39"/>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31, 2013</w:t>
            </w:r>
          </w:p>
        </w:tc>
        <w:tc>
          <w:tcPr>
            <w:tcW w:w="100" w:type="dxa"/>
            <w:vAlign w:val="bottom"/>
          </w:tcPr>
          <w:p>
            <w:pPr>
              <w:spacing w:after="0"/>
              <w:rPr>
                <w:sz w:val="19"/>
                <w:szCs w:val="19"/>
                <w:color w:val="auto"/>
              </w:rPr>
            </w:pPr>
          </w:p>
        </w:tc>
      </w:tr>
      <w:tr>
        <w:trPr>
          <w:trHeight w:val="21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(1,143,100)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(9,116,600)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(68,812,200)</w:t>
            </w: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817,700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Amortization of discounts on convertible and promissory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352,200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5,031,700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Change in warrant liability and put and note term extension option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(3,823,700)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(357,800)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(2,606,500)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6,489,200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Expense related to modification of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440,700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Non-cash rent and relocation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Interest income on note receivable for stock purchase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Fair value of common stock granted for services following the Merger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340,000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846,000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Fair value of warrants granted for services and interest following the Merger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748,300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Gain on currency fluctuation</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Fair value of additional warrants granted pursuant to exercises of modified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Loss on settlements of accounts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3,537,000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4,761,300</w:t>
            </w:r>
          </w:p>
        </w:tc>
        <w:tc>
          <w:tcPr>
            <w:tcW w:w="10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780"/>
              <w:spacing w:after="0" w:line="194" w:lineRule="exact"/>
              <w:rPr>
                <w:sz w:val="20"/>
                <w:szCs w:val="20"/>
                <w:color w:val="auto"/>
              </w:rPr>
            </w:pPr>
            <w:r>
              <w:rPr>
                <w:rFonts w:ascii="Times New Roman" w:cs="Times New Roman" w:eastAsia="Times New Roman" w:hAnsi="Times New Roman"/>
                <w:sz w:val="18"/>
                <w:szCs w:val="18"/>
                <w:color w:val="auto"/>
              </w:rPr>
              <w:t>Fair value of Series C preferred stock, common stock, and warrant granted for services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prior to the Merger</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3,150,900</w:t>
            </w:r>
          </w:p>
        </w:tc>
        <w:tc>
          <w:tcPr>
            <w:tcW w:w="10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Fair value of common stock issued for note term modification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Consulting services by related parties settled by issuing promissory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Unbilled contract payments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106,200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97,800</w:t>
            </w:r>
          </w:p>
        </w:tc>
      </w:tr>
      <w:tr>
        <w:trPr>
          <w:trHeight w:val="212"/>
        </w:trPr>
        <w:tc>
          <w:tcPr>
            <w:tcW w:w="20" w:type="dxa"/>
            <w:vAlign w:val="bottom"/>
          </w:tcPr>
          <w:p>
            <w:pPr>
              <w:spacing w:after="0"/>
              <w:rPr>
                <w:sz w:val="18"/>
                <w:szCs w:val="18"/>
                <w:color w:val="auto"/>
              </w:rPr>
            </w:pPr>
          </w:p>
        </w:tc>
        <w:tc>
          <w:tcPr>
            <w:tcW w:w="7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payable and accrued expenses, including accrued interest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17,696,400</w:t>
            </w:r>
          </w:p>
        </w:tc>
      </w:tr>
      <w:tr>
        <w:trPr>
          <w:trHeight w:val="212"/>
        </w:trPr>
        <w:tc>
          <w:tcPr>
            <w:tcW w:w="20" w:type="dxa"/>
            <w:vAlign w:val="bottom"/>
          </w:tcPr>
          <w:p>
            <w:pPr>
              <w:spacing w:after="0"/>
              <w:rPr>
                <w:sz w:val="18"/>
                <w:szCs w:val="18"/>
                <w:color w:val="auto"/>
              </w:rPr>
            </w:pPr>
          </w:p>
        </w:tc>
        <w:tc>
          <w:tcPr>
            <w:tcW w:w="7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(1,658,900)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(2,493,200)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(22,630,600)</w:t>
            </w:r>
          </w:p>
        </w:tc>
      </w:tr>
      <w:tr>
        <w:trPr>
          <w:trHeight w:val="212"/>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equipment,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(131,100)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(825,800)</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(131,100)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(825,800)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480,600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exercise of modified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262,100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Platinum notes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2,222,100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7,172,100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from officer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issuance of notes under line of credit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issuance of 7% note payable to founding stockholder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7% convertible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10% convertible notes and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preferred stock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notes and warrants from 2006 to 2010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February 2012 12% convertible notes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466,500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(123,100)</w:t>
            </w:r>
          </w:p>
        </w:tc>
      </w:tr>
      <w:tr>
        <w:trPr>
          <w:trHeight w:val="219"/>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notes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(382,000)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(1,948,400)</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23,477,100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20,700</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20,700</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History and Organization</w:t>
      </w:r>
    </w:p>
    <w:p>
      <w:pPr>
        <w:spacing w:after="0" w:line="244" w:lineRule="exact"/>
        <w:rPr>
          <w:sz w:val="20"/>
          <w:szCs w:val="20"/>
          <w:color w:val="auto"/>
        </w:rPr>
      </w:pPr>
    </w:p>
    <w:p>
      <w:pPr>
        <w:jc w:val="both"/>
        <w:ind w:firstLine="802"/>
        <w:spacing w:after="0" w:line="249"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w:t>
      </w:r>
      <w:r>
        <w:rPr>
          <w:rFonts w:ascii="Times New Roman" w:cs="Times New Roman" w:eastAsia="Times New Roman" w:hAnsi="Times New Roman"/>
          <w:sz w:val="18"/>
          <w:szCs w:val="18"/>
          <w:color w:val="auto"/>
        </w:rPr>
        <w:t xml:space="preserve">y”), is a biotechnology company with expertise in human pluripotent stem cell technology. The Company is applying and developing its stem cell technology for drug rescue, drug discovery and regenerative medicine. The Company’s primary goal is to use its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and its network of strategic relationships, to design and generate novel, proprietary, safer variants, which the Company refers to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of once-promising small molecule drug candidates discovered, developed and ultimately discontinued by pharmaceutical companies and others prior to market approval due to unexpected heart or liver safety concerns. The Company refers to these once-promising drug candidates that are now potentially suitable for drug rescue as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The Company’s drug rescue strategy is to leverage (i) substantial prior investment in discovery and development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by others, (ii) its unique insight into heart and liver biology from its stem cell-derived bioassay systems, and (iii) medicinal chemistry to generate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for license and sale to pharmaceutical companies and others.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In parallel with its drug rescue activities, VistaGen plans to explore, internally and/or through sponsored external programs, pilot nonclinical development opportunities relating to small molecule drug discovery and/or regenerative medicine focused on blood, bone, cartilage, heart, liver and pancreas (insulin-producing beta islet) cells. Each of these drug discovery and regenerative medicine programs would be based on the proprietary differentiation and production capabilities of the Company’s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platform.</w:t>
      </w:r>
    </w:p>
    <w:p>
      <w:pPr>
        <w:spacing w:after="0" w:line="20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AV-101 is VistaGen's orally-available, small molecule prodrug candidate. AV-101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AV-101.</w:t>
      </w:r>
    </w:p>
    <w:p>
      <w:pPr>
        <w:spacing w:after="0" w:line="18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VistaGen Therapeutics, Inc., a California corporation incorporated on May 26, 1998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is a wholly-owned subsidiary of the Company. As described more completely in the Company’s Annual Report on Form 10-K for the fiscal year ended March 31, 2013, pursuant to a strategic merger transaction on May 11, 2011, the Company acquired all outstanding shares of VistaGen California in exchange for 6,836,452 shares of the Company’s common stock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assumed all of VistaGen California’s pre-Merger obligations. The Condensed Consolidated Financial Statements of the Company included in this report also include the accounts of VistaGen California’s two wholly-owned subsidiaries, Artemis Neuroscience, Inc., a Maryland corporation, and VistaStem Canada, Inc., a corporation organized under the laws of Ontario, Canada.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Going Concern</w:t>
      </w:r>
    </w:p>
    <w:p>
      <w:pPr>
        <w:spacing w:after="0" w:line="24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2013 has been derived from the Company's audited consolidated financial statements at that date but does not include all disclosures required by U.S. GAAP. The operating results for the three and nine months ended December 31, 2013 are not necessarily indicative of the operating results to be expected for the Company's fiscal year ending March 31, 2014 or for any other interim period or any other future period.</w:t>
      </w:r>
    </w:p>
    <w:p>
      <w:pPr>
        <w:spacing w:after="0" w:line="184"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Condensed Consolidated Financial Statements should be read in conjunction with the Company’s audited Consolidated Financial Statements for the fiscal year ended March 31, 2013 contained in its Annual Report on Form 10-K, as filed with the United States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December 31, 2013, the Company has a deficit accumulated during its development stage of $68.8 million. The Company expects these conditions to continue for the foreseeable future as it expands its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platform and executes its drug rescue programs and, potentially, regenerative medicine programs.</w:t>
      </w:r>
    </w:p>
    <w:p>
      <w:pPr>
        <w:spacing w:after="0" w:line="182" w:lineRule="exact"/>
        <w:rPr>
          <w:sz w:val="20"/>
          <w:szCs w:val="20"/>
          <w:color w:val="auto"/>
        </w:rPr>
      </w:pPr>
    </w:p>
    <w:p>
      <w:pPr>
        <w:jc w:val="both"/>
        <w:ind w:firstLine="881"/>
        <w:spacing w:after="0" w:line="247" w:lineRule="auto"/>
        <w:rPr>
          <w:sz w:val="20"/>
          <w:szCs w:val="20"/>
          <w:color w:val="auto"/>
        </w:rPr>
      </w:pPr>
      <w:r>
        <w:rPr>
          <w:rFonts w:ascii="Times New Roman" w:cs="Times New Roman" w:eastAsia="Times New Roman" w:hAnsi="Times New Roman"/>
          <w:sz w:val="18"/>
          <w:szCs w:val="18"/>
          <w:color w:val="auto"/>
        </w:rPr>
        <w:t>Since its inception in May 1998, the Company has financed its operations and technology acquisitions primarily through the issuance and sale of equity and debt securities, including convertible promissory notes and short-term promissory notes, for cash proceeds of approximately $25.4 million, as well as from an aggregate of approximately $16.4 million of government research grant awards, strategic collaboration payments and other revenues. Additionally, the Company has issued equity securities with an approximate value at issuance of $12.6 million in non-cash settlements of certain liabilities, including liabilities for professional services rendered to the Company or as compensation for such services. At December 31, 2013, the Company had approximately $20,700 in cash and cash equivalents. Such cash and cash equivalents are not sufficient to enable the Company to fund its planned operations, including expected cash expenditures of approximately $5 million through the next twelve months. However, on April 8, 2013, the Company entered into a Securities Purchase Agreement (as amended, the “Securities Purchase Agreement”) with Autilion AG, a company organized and existing under the laws of Switzerland (“Autilion”). Under the terms of the Securities Purchase Agreement, Autilion is contractually obligated to purchase an aggregate of 72.0 million restricted shares of the Company’s common stock at a purchase price of $0.50 per share for aggregate cash consideration of $36.0 million (the “Autilion Financing”). At December 31, 2013, the Company had completed a nominal initial closing of $25,000 and issued 50,000 restricted shares of its common stock under the Securities Purchase Agreement.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 To provide working capital for operations prior to any closing of the Autilion Financing, from December 31, 2013 through the date of this report, the Company completed private placements of its securities resulting in aggregate cash proceeds of $390,000, as described in Note 11, Subsequent Events.</w:t>
      </w:r>
    </w:p>
    <w:p>
      <w:pPr>
        <w:spacing w:after="0" w:line="22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To the extent necessary, the Company may also seek to meet its cash needs and fund its working capital requirements through a combination of additional private placements of its securities, which may include both debt and equity securities issued to Platinum Long Term Growth Fund VII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currently the Company’s largest institutional investor, and/or other investors, research and development collaborations, license fees and government grant awards. Additionally, the Company believes that its participation in strategic collaborations, including licensing transactions, may provide additional cash in support of its future working capital requirements. If the Company is unable to complete the Autilion Financing in a timely manner or to obtain sufficient financing from other sources, if required, it may be required to reduce, defer, or discontinue certain of its research and development activities or it may not be able to continue as a going concern.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Although the Company does not currently have any such arrangements, it has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2" w:lineRule="exact"/>
        <w:rPr>
          <w:sz w:val="20"/>
          <w:szCs w:val="20"/>
          <w:color w:val="auto"/>
        </w:rPr>
      </w:pPr>
    </w:p>
    <w:p>
      <w:pPr>
        <w:jc w:val="both"/>
        <w:ind w:left="820" w:hanging="310"/>
        <w:spacing w:after="0" w:line="248"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19" w:lineRule="exact"/>
        <w:rPr>
          <w:rFonts w:ascii="Times New Roman" w:cs="Times New Roman" w:eastAsia="Times New Roman" w:hAnsi="Times New Roman"/>
          <w:sz w:val="18"/>
          <w:szCs w:val="18"/>
          <w:color w:val="auto"/>
        </w:rPr>
      </w:pPr>
    </w:p>
    <w:p>
      <w:pPr>
        <w:jc w:val="both"/>
        <w:ind w:left="820" w:hanging="310"/>
        <w:spacing w:after="0" w:line="255"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p>
      <w:pPr>
        <w:spacing w:after="0" w:line="207" w:lineRule="exact"/>
        <w:rPr>
          <w:rFonts w:ascii="Times New Roman" w:cs="Times New Roman" w:eastAsia="Times New Roman" w:hAnsi="Times New Roman"/>
          <w:sz w:val="18"/>
          <w:szCs w:val="18"/>
          <w:color w:val="auto"/>
        </w:rPr>
      </w:pPr>
    </w:p>
    <w:p>
      <w:pPr>
        <w:ind w:left="820" w:hanging="310"/>
        <w:spacing w:after="0" w:line="274"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Research and development expenses are composed of both internal and external costs. Internal costs include salaries and employment-related expenses of scientific personnel and direct project costs. External research and development expenses consist primarily of sponsored stem cell research and development costs, costs associated with clinical and non-clinical development of AV-101, the Company’s small molecule prodrug candidate for neuropathic pain, depression and potentially other neurological conditions, and costs related to the application and prosecution of patents related to the Company’s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AV-101. All such costs are charged to expense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Company recognizes compensation cost for all stock-based awards to employees based on the grant date fair value of the award. Stock-based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stock-based compensation expense included in the accompanying Condensed Consolidated Statements of Operations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for the quarter and nine months ended December 31, 2013: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9"/>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 including expense related to modifications</w:t>
            </w:r>
          </w:p>
        </w:tc>
        <w:tc>
          <w:tcPr>
            <w:tcW w:w="11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126,900</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574,700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240,300</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666,800</w:t>
            </w:r>
          </w:p>
        </w:tc>
      </w:tr>
      <w:tr>
        <w:trPr>
          <w:trHeight w:val="219"/>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granted to officer in March 2013</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160,300</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574,700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666,800</w:t>
            </w:r>
          </w:p>
        </w:tc>
      </w:tr>
      <w:tr>
        <w:trPr>
          <w:trHeight w:val="212"/>
        </w:trPr>
        <w:tc>
          <w:tcPr>
            <w:tcW w:w="20" w:type="dxa"/>
            <w:vAlign w:val="bottom"/>
          </w:tcPr>
          <w:p>
            <w:pPr>
              <w:spacing w:after="0"/>
              <w:rPr>
                <w:sz w:val="18"/>
                <w:szCs w:val="18"/>
                <w:color w:val="auto"/>
              </w:rPr>
            </w:pPr>
          </w:p>
        </w:tc>
        <w:tc>
          <w:tcPr>
            <w:tcW w:w="5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 including expense related to modifications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242,100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295,200</w:t>
            </w:r>
          </w:p>
        </w:tc>
      </w:tr>
      <w:tr>
        <w:trPr>
          <w:trHeight w:val="219"/>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granted to officers and directors in March 2013</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469,300</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962,000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8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F-60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During the nine months ended December 31, 2013, the Company granted options to purchase an aggregate of 156,000 shares of its common stock at exercise prices from $0.40 per share to $0.82 per share (the quoted market price on the grant dates) to certain employees and consultants. During the quarter ended December 31, 2013, the Company modified certain outstanding options granted from its 2008 Stock Incentive Plan to reduce the exercise price to $0.40 per share or $0.50 per share and modified certain options granted from its 1999 Stock Incentive Plan to reduce the exercise price to $0.50 per share. The expense indicated in the table above for the three and nine months ended December 31, 2013 includes an aggregate of $252,000 attributable to these modifications. The Company modified certain options during the quarter ended December 31, 2012 and recognized an aggregate of $788,800 attributable to such modifications in the three and nine month periods ended December 31, 2012. At December 31, 2013, there were options outstanding to purchase 4,705,270 shares of the Company’s common stock at a weighted average exercise price of $0.59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 xml:space="preserve">The Company has issued certain warrants to Platinum and, subject to Platinum’s exercise of its rights to exchange shares of the Company’s Series A preferred stock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Note 7, </w:t>
      </w:r>
      <w:r>
        <w:rPr>
          <w:rFonts w:ascii="Times New Roman" w:cs="Times New Roman" w:eastAsia="Times New Roman" w:hAnsi="Times New Roman"/>
          <w:sz w:val="18"/>
          <w:szCs w:val="18"/>
          <w:i w:val="1"/>
          <w:iCs w:val="1"/>
          <w:color w:val="auto"/>
        </w:rPr>
        <w:t>Convertible Promissory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and Note 9</w:t>
      </w:r>
      <w:r>
        <w:rPr>
          <w:rFonts w:ascii="Times New Roman" w:cs="Times New Roman" w:eastAsia="Times New Roman" w:hAnsi="Times New Roman"/>
          <w:sz w:val="18"/>
          <w:szCs w:val="18"/>
          <w:i w:val="1"/>
          <w:iCs w:val="1"/>
          <w:color w:val="auto"/>
        </w:rPr>
        <w:t>, Capital Stock</w:t>
      </w:r>
      <w:r>
        <w:rPr>
          <w:rFonts w:ascii="Times New Roman" w:cs="Times New Roman" w:eastAsia="Times New Roman" w:hAnsi="Times New Roman"/>
          <w:sz w:val="18"/>
          <w:szCs w:val="18"/>
          <w:color w:val="auto"/>
        </w:rPr>
        <w:t>. The Company computes the fair value of the warrant liability at each reporting period and the change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4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Company has no components of other comprehensive loss other than net loss, and accordingly the Company’s comprehensive loss is equivalent to its net loss for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per Common Share</w:t>
      </w:r>
    </w:p>
    <w:p>
      <w:pPr>
        <w:spacing w:after="0" w:line="24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the numerator is adjusted for the change in the fair value of the warrant liability attributable to outstanding warrants, only if dilutive, and the denominator is increased to include the number of potentially dilutive common shares assumed to be outstanding during the period using the treasury stock method. Based on the market price of the Company’s common stock for the quarter ended December 31, 2013, no potentially dilutive securities were assumed to be converted into common shares and outstanding during the period for purposes of calculating diluted earnings per share. For all loss periods presented, potentially dilutive securities have been excluded from the computation as their effect would be antidilutive.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Basic net income (loss) and diluted net loss attributable to common stockholders per share was computed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2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Net income (loss) attributable to common stockholders for basic earnings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131,100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(15,528,200)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(19,309,800)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less: change in fair value of warrant liability attributable to Exchange, Investment</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Bridge Warrants issued to Platinum</w:t>
            </w: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(620,900)</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for diluted earnings per share attributable to common stockholders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(489,800)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(15,528,200)</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22,210,573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18,292,301</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21,554,929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Assumed conversion of dilutive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Potentially dilutive common shares assumed converted</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22,210,573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18,292,301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21,554,929</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17,411,993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Basic net income (loss) attributable to common stockholders per common share</w:t>
            </w:r>
          </w:p>
        </w:tc>
        <w:tc>
          <w:tcPr>
            <w:tcW w:w="22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(0.85)</w:t>
            </w:r>
          </w:p>
        </w:tc>
        <w:tc>
          <w:tcPr>
            <w:tcW w:w="22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Diluted net loss attributable to common stockholders per common share</w:t>
            </w:r>
          </w:p>
        </w:tc>
        <w:tc>
          <w:tcPr>
            <w:tcW w:w="2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(0.85)</w:t>
            </w:r>
          </w:p>
        </w:tc>
        <w:tc>
          <w:tcPr>
            <w:tcW w:w="2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4"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per common share are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2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Warrant shares issuable to Platinum upon exercise of common stock warrants by Platinum upon exchange of Series A</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under the terms of the October 11, 2012 Note Purchase and Exchange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under the 2008 and 1999 Stock Incentive 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4,705,270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15,710,885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 convertible Exchange Note and Investment Notes issued to Platinum in October 2012, February 2013 and March</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2013, including accrued interest through December 31, 2013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7,271,640</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4,645,198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Convertible note issued to Platinum on July 26, 2013, including accrued interest through December 31, 2013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522,339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Convertible notes issued as a component of Unit Offering, including accrued interest through December 31, 2013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1,186,097</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51,896,231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41,985,003</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768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gridSpan w:val="2"/>
            <w:vMerge w:val="continue"/>
          </w:tcPr>
          <w:p>
            <w:pPr>
              <w:spacing w:after="0"/>
              <w:rPr>
                <w:sz w:val="17"/>
                <w:szCs w:val="17"/>
                <w:color w:val="auto"/>
              </w:rPr>
            </w:pPr>
          </w:p>
        </w:tc>
        <w:tc>
          <w:tcPr>
            <w:tcW w:w="76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4"/>
        <w:spacing w:after="0" w:line="188" w:lineRule="auto"/>
        <w:tabs>
          <w:tab w:leader="none" w:pos="200" w:val="left"/>
        </w:tabs>
        <w:numPr>
          <w:ilvl w:val="0"/>
          <w:numId w:val="9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October 11, 2012 Note Exchange and Purchase Agreement with Platinum</w:t>
      </w:r>
    </w:p>
    <w:p>
      <w:pPr>
        <w:spacing w:after="0" w:line="1" w:lineRule="exact"/>
        <w:rPr>
          <w:rFonts w:ascii="Times New Roman" w:cs="Times New Roman" w:eastAsia="Times New Roman" w:hAnsi="Times New Roman"/>
          <w:sz w:val="24"/>
          <w:szCs w:val="24"/>
          <w:color w:val="auto"/>
          <w:vertAlign w:val="superscript"/>
        </w:rPr>
      </w:pPr>
    </w:p>
    <w:p>
      <w:pPr>
        <w:ind w:left="200" w:hanging="194"/>
        <w:spacing w:after="0" w:line="183" w:lineRule="auto"/>
        <w:tabs>
          <w:tab w:leader="none" w:pos="200" w:val="left"/>
        </w:tabs>
        <w:numPr>
          <w:ilvl w:val="0"/>
          <w:numId w:val="9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conversion under the terms of the October 11, 2012 Note Exchange and Purchase Agreement with Platinum and the terms of the individual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nine months ended December 31, 2013, as compared to the recent accounting pronouncements described in the Company’s Form 10-K for the fiscal year ended March 31, 2013, that are of significance or potential significance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211" w:lineRule="exact"/>
        <w:rPr>
          <w:sz w:val="20"/>
          <w:szCs w:val="20"/>
          <w:color w:val="auto"/>
        </w:rPr>
      </w:pPr>
    </w:p>
    <w:p>
      <w:pPr>
        <w:ind w:left="820" w:right="20" w:hanging="310"/>
        <w:spacing w:after="0" w:line="276" w:lineRule="auto"/>
        <w:tabs>
          <w:tab w:leader="none" w:pos="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86" w:lineRule="exact"/>
        <w:rPr>
          <w:rFonts w:ascii="Times New Roman" w:cs="Times New Roman" w:eastAsia="Times New Roman" w:hAnsi="Times New Roman"/>
          <w:sz w:val="18"/>
          <w:szCs w:val="18"/>
          <w:color w:val="auto"/>
        </w:rPr>
      </w:pPr>
    </w:p>
    <w:p>
      <w:pPr>
        <w:jc w:val="both"/>
        <w:ind w:left="820" w:hanging="310"/>
        <w:spacing w:after="0" w:line="261" w:lineRule="auto"/>
        <w:tabs>
          <w:tab w:leader="none" w:pos="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199" w:lineRule="exact"/>
        <w:rPr>
          <w:rFonts w:ascii="Times New Roman" w:cs="Times New Roman" w:eastAsia="Times New Roman" w:hAnsi="Times New Roman"/>
          <w:sz w:val="18"/>
          <w:szCs w:val="18"/>
          <w:color w:val="auto"/>
        </w:rPr>
      </w:pPr>
    </w:p>
    <w:p>
      <w:pPr>
        <w:jc w:val="both"/>
        <w:ind w:left="820" w:hanging="310"/>
        <w:spacing w:after="0" w:line="261" w:lineRule="auto"/>
        <w:tabs>
          <w:tab w:leader="none" w:pos="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estimating the fair value of an asset or liability) are used when little or no market data is available. The fair value hierarchy gives the lowest priority to Level 3 inputs.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8"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all pursuant to the Note Exchange and Purchase Agreement of October 2012 between the Company and Platinum (see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and the issuance of the warrant related to the Senior Secured Convertible Promissory Note issued to Platinum in July 2013, the Company determined that the warrants included certain exercise price adjustment features requiring the warrants to be treated as liabilities, which were recorded at their estimated fair value. The Company determined the initial fair value of the warrant liability using a Monte Carlo simulation model with Level 3 inputs or the Black-Scholes Option Pricing model.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since March 31, 2013 have been recognized as a non-cash component of other expense, net in the Condensed Consolidated Statements of Operations and Comprehensive Loss for the quarter and nine months ended December 31, 2013.</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hierarchy for the warrant liability measured at fair value on a recurring basis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gridSpan w:val="2"/>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9"/>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2,717,100</w:t>
            </w:r>
          </w:p>
        </w:tc>
        <w:tc>
          <w:tcPr>
            <w:tcW w:w="100" w:type="dxa"/>
            <w:vAlign w:val="bottom"/>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March 31, 2013:</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During the nine month period ended December 31, 2013, there was no significant change to the valuation models used for purposes of determining the fair value of the Level 3 warrant liability. The decline in the market price of the Company’s common stock since March 31, 2013 and the reduction in the exercise price of the warrants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are the primary factors resulting in the reduction in the warrant liability.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changes in Level 3 liabilities measured at fair value on a recurring basis are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of Senior Secured Convertible Promissory Note and warrant to Platinum on July 26, 2013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gain included in net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(3,823,700)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2,717,100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 assets or other liabilities were carried at fair value at December 31, 2013 or March 31, 2013.</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is composed of the following at December 31, 2013 and March 31, 2013:</w:t>
            </w:r>
          </w:p>
        </w:tc>
        <w:tc>
          <w:tcPr>
            <w:tcW w:w="13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 on note receivable from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common stock</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license fees and all other</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33,700</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8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Accrued expenses is composed of the following at December 31, 2013 and March 31, 2013: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427,700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 and license fees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342,900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7680" w:type="dxa"/>
            <w:vAlign w:val="bottom"/>
            <w:tcBorders>
              <w:top w:val="single" w:sz="8" w:color="CCEEFF"/>
            </w:tcBorders>
          </w:tcPr>
          <w:p>
            <w:pPr>
              <w:ind w:left="4420"/>
              <w:spacing w:after="0"/>
              <w:rPr>
                <w:sz w:val="20"/>
                <w:szCs w:val="20"/>
                <w:color w:val="auto"/>
              </w:rPr>
            </w:pPr>
            <w:r>
              <w:rPr>
                <w:rFonts w:ascii="Times New Roman" w:cs="Times New Roman" w:eastAsia="Times New Roman" w:hAnsi="Times New Roman"/>
                <w:sz w:val="18"/>
                <w:szCs w:val="18"/>
                <w:color w:val="auto"/>
              </w:rPr>
              <w:t>F-64</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Promissory Notes and Other Notes Payable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Company’s secured and unsecured promissory notes and other notes payable at December 31, 2013 and March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32"/>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2"/>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39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Senior Secured 10% Convertible Promissory Notes</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issued to Platinum:</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Note issued on October 11, 2012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167,100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Note issued on October 11, 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565,700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Note issued on October 19, 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564,400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Note issued on February 22,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Note issued on March 12,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3,272,600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Convertible promissory note issued on July 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900" w:type="dxa"/>
            <w:vAlign w:val="bottom"/>
            <w:gridSpan w:val="2"/>
          </w:tcPr>
          <w:p>
            <w:pPr>
              <w:jc w:val="right"/>
              <w:ind w:right="2972"/>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Senior notes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3,272,600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116,200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Aggregate 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(2,135,800)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(1,963,100)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(1,963,100)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Senior notes (non-current)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394,400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10% Convertible Promissory Notes (2013 Unit Notes)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(423,900)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convertible notes (all current)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unrelated parties: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 Notes payable to service providers for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converted to notes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Burr, Pilger, Mayer</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Desjardins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McCarthy Tetrault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392,100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2012 Morrison &amp; Foerster Note 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981,700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line="212" w:lineRule="exact"/>
              <w:rPr>
                <w:sz w:val="20"/>
                <w:szCs w:val="20"/>
                <w:color w:val="auto"/>
              </w:rPr>
            </w:pPr>
            <w:r>
              <w:rPr>
                <w:rFonts w:ascii="Times New Roman" w:cs="Times New Roman" w:eastAsia="Times New Roman" w:hAnsi="Times New Roman"/>
                <w:sz w:val="18"/>
                <w:szCs w:val="18"/>
                <w:color w:val="auto"/>
              </w:rPr>
              <w:t xml:space="preserve">August 2012 Morrison &amp; Foerster Note B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161,100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1,540,500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1,379,400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8"/>
                <w:szCs w:val="18"/>
                <w:color w:val="auto"/>
              </w:rPr>
              <w:t xml:space="preserve">University Health Network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3,553,900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(929,000)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(1,142,600)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2,411,300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(98,600)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(451,400)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211,600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5.75% and 10.25% Notes payable to insurance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 financing company (current)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10% Notes payable to vendors for accounts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converted to notes payable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(151,100)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(23,300)</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 Note payable (August 2012)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 Notes payable - non-current portion</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3,702,200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344,600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4,046,800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3,746,300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(133,000)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(638,600)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(591,400)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(25,800)</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discount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(929,000)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(1,142,600)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2,267,600</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211,600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Borders>
              <w:top w:val="single" w:sz="8" w:color="CCEEFF"/>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Notes payable to related parties:</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2012 7.5% Note to Cato Holding Co.</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October 2012 7.5% Note to Cato Research Ltd.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1,009,000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(115,000)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to related parties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(99,500)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(7,400)</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1,112,900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96,800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200" w:hanging="194"/>
        <w:spacing w:after="0" w:line="188" w:lineRule="auto"/>
        <w:tabs>
          <w:tab w:leader="none" w:pos="200"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Note and interest payable solely in restricted shares of the Company's common stock.</w:t>
      </w:r>
    </w:p>
    <w:p>
      <w:pPr>
        <w:sectPr>
          <w:pgSz w:w="11900" w:h="16838" w:orient="portrait"/>
          <w:cols w:equalWidth="0" w:num="1">
            <w:col w:w="11420"/>
          </w:cols>
          <w:pgMar w:left="240" w:top="124" w:right="239" w:bottom="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87630</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Notes Issued to Platinum</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On July 2, 2012 and on August 31, 2012, the Company issued to Platinum senior secured convertible promissory notes in the principal amount of $500,000 (the </w:t>
      </w:r>
      <w:r>
        <w:rPr>
          <w:rFonts w:ascii="Times New Roman" w:cs="Times New Roman" w:eastAsia="Times New Roman" w:hAnsi="Times New Roman"/>
          <w:sz w:val="18"/>
          <w:szCs w:val="18"/>
          <w:i w:val="1"/>
          <w:iCs w:val="1"/>
          <w:color w:val="auto"/>
        </w:rPr>
        <w:t>“July 2012 Platinum Note</w:t>
      </w:r>
      <w:r>
        <w:rPr>
          <w:rFonts w:ascii="Times New Roman" w:cs="Times New Roman" w:eastAsia="Times New Roman" w:hAnsi="Times New Roman"/>
          <w:sz w:val="18"/>
          <w:szCs w:val="18"/>
          <w:color w:val="auto"/>
        </w:rPr>
        <w:t>”) and $750,000 (the "</w:t>
      </w:r>
      <w:r>
        <w:rPr>
          <w:rFonts w:ascii="Times New Roman" w:cs="Times New Roman" w:eastAsia="Times New Roman" w:hAnsi="Times New Roman"/>
          <w:sz w:val="18"/>
          <w:szCs w:val="18"/>
          <w:i w:val="1"/>
          <w:iCs w:val="1"/>
          <w:color w:val="auto"/>
        </w:rPr>
        <w:t>August 2012 Platinum Note</w:t>
      </w:r>
      <w:r>
        <w:rPr>
          <w:rFonts w:ascii="Times New Roman" w:cs="Times New Roman" w:eastAsia="Times New Roman" w:hAnsi="Times New Roman"/>
          <w:sz w:val="18"/>
          <w:szCs w:val="18"/>
          <w:color w:val="auto"/>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spacing w:after="0" w:line="21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October 11, 2012, the Company and Platinum entered into a Note Exchange and Purchase Agreement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in which the July 2012 Platinum Note and the August 2012 Platinum Note (together,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as well as the related accrued interest, were consolidated into and exchanged for a single senior secured convertible note in the amount of $1,272,600 (the “</w:t>
      </w:r>
      <w:r>
        <w:rPr>
          <w:rFonts w:ascii="Times New Roman" w:cs="Times New Roman" w:eastAsia="Times New Roman" w:hAnsi="Times New Roman"/>
          <w:sz w:val="18"/>
          <w:szCs w:val="18"/>
          <w:i w:val="1"/>
          <w:iCs w:val="1"/>
          <w:color w:val="auto"/>
        </w:rPr>
        <w:t>Exchange Note</w:t>
      </w:r>
      <w:r>
        <w:rPr>
          <w:rFonts w:ascii="Times New Roman" w:cs="Times New Roman" w:eastAsia="Times New Roman" w:hAnsi="Times New Roman"/>
          <w:sz w:val="18"/>
          <w:szCs w:val="18"/>
          <w:color w:val="auto"/>
        </w:rPr>
        <w:t>”) and Platinum agreed to purchase four additional 10% senior secured convertible promissory notes in the aggregate principal amount of $2.0 million (the “</w:t>
      </w:r>
      <w:r>
        <w:rPr>
          <w:rFonts w:ascii="Times New Roman" w:cs="Times New Roman" w:eastAsia="Times New Roman" w:hAnsi="Times New Roman"/>
          <w:sz w:val="18"/>
          <w:szCs w:val="18"/>
          <w:i w:val="1"/>
          <w:iCs w:val="1"/>
          <w:color w:val="auto"/>
        </w:rPr>
        <w:t>Investment Notes</w:t>
      </w:r>
      <w:r>
        <w:rPr>
          <w:rFonts w:ascii="Times New Roman" w:cs="Times New Roman" w:eastAsia="Times New Roman" w:hAnsi="Times New Roman"/>
          <w:sz w:val="18"/>
          <w:szCs w:val="18"/>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20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November 14, 2012 and January 31, 2013, the Company and Platinum entered into amendments to the October 2012 Agreement (the “</w:t>
      </w:r>
      <w:r>
        <w:rPr>
          <w:rFonts w:ascii="Times New Roman" w:cs="Times New Roman" w:eastAsia="Times New Roman" w:hAnsi="Times New Roman"/>
          <w:sz w:val="18"/>
          <w:szCs w:val="18"/>
          <w:i w:val="1"/>
          <w:iCs w:val="1"/>
          <w:color w:val="auto"/>
        </w:rPr>
        <w:t>NEPA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pursuant to which the final two $500,000 tranches contemplated by the October 2012 Agreement were combined into a single Investment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aggregate principal amount of $1.0 million (the </w:t>
      </w:r>
      <w:r>
        <w:rPr>
          <w:rFonts w:ascii="Times New Roman" w:cs="Times New Roman" w:eastAsia="Times New Roman" w:hAnsi="Times New Roman"/>
          <w:sz w:val="18"/>
          <w:szCs w:val="18"/>
          <w:i w:val="1"/>
          <w:iCs w:val="1"/>
          <w:color w:val="auto"/>
        </w:rPr>
        <w:t>“$1.0 Million Note</w:t>
      </w:r>
      <w:r>
        <w:rPr>
          <w:rFonts w:ascii="Times New Roman" w:cs="Times New Roman" w:eastAsia="Times New Roman" w:hAnsi="Times New Roman"/>
          <w:sz w:val="18"/>
          <w:szCs w:val="18"/>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cs="Times New Roman" w:eastAsia="Times New Roman" w:hAnsi="Times New Roman"/>
          <w:sz w:val="18"/>
          <w:szCs w:val="18"/>
          <w:i w:val="1"/>
          <w:iCs w:val="1"/>
          <w:color w:val="auto"/>
        </w:rPr>
        <w:t>Additional Financing Requirement</w:t>
      </w:r>
      <w:r>
        <w:rPr>
          <w:rFonts w:ascii="Times New Roman" w:cs="Times New Roman" w:eastAsia="Times New Roman" w:hAnsi="Times New Roman"/>
          <w:sz w:val="18"/>
          <w:szCs w:val="18"/>
          <w:color w:val="auto"/>
        </w:rPr>
        <w:t>”). The Company satisfied the Additional Financing Requirement on February 12, 2013.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Exchange Note and each Investment Note (together,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respective Investment Notes. At maturity, all principal and accrued interest under the Notes will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cs="Times New Roman" w:eastAsia="Times New Roman" w:hAnsi="Times New Roman"/>
          <w:sz w:val="18"/>
          <w:szCs w:val="18"/>
          <w:i w:val="1"/>
          <w:iCs w:val="1"/>
          <w:color w:val="auto"/>
        </w:rPr>
        <w:t>Investment Warrant</w:t>
      </w:r>
      <w:r>
        <w:rPr>
          <w:rFonts w:ascii="Times New Roman" w:cs="Times New Roman" w:eastAsia="Times New Roman" w:hAnsi="Times New Roman"/>
          <w:sz w:val="18"/>
          <w:szCs w:val="18"/>
          <w:color w:val="auto"/>
        </w:rPr>
        <w:t>”). In addition, the Company issued Platinum a warrant to purchase 1,272,577 shares of the Company’s common stock in connection with the issuance of the Exchange Note (the “</w:t>
      </w:r>
      <w:r>
        <w:rPr>
          <w:rFonts w:ascii="Times New Roman" w:cs="Times New Roman" w:eastAsia="Times New Roman" w:hAnsi="Times New Roman"/>
          <w:sz w:val="18"/>
          <w:szCs w:val="18"/>
          <w:i w:val="1"/>
          <w:iCs w:val="1"/>
          <w:color w:val="auto"/>
        </w:rPr>
        <w:t>Exchange Warrant</w:t>
      </w:r>
      <w:r>
        <w:rPr>
          <w:rFonts w:ascii="Times New Roman" w:cs="Times New Roman" w:eastAsia="Times New Roman" w:hAnsi="Times New Roman"/>
          <w:sz w:val="18"/>
          <w:szCs w:val="18"/>
          <w:color w:val="auto"/>
        </w:rPr>
        <w:t xml:space="preserve">”). At issuance, the Platinum Exchange Warrant and each Investment Warrant had a term of 5 years and an exercise price of $1.50 per share, subject to certain adjustments.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regarding a modification of the exercise price of the Exchange Warrant and the Investment Warrants made in May 2013. In connection with the October 2012 Agreement, the Company and Platinum also executed and subsequently amended a security agreement to secure repayment of all obligations due and payable under the terms of the Exchange Note and all of the Investment Notes.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On July 26, 2013, the Company issued an additional senior secured convertible promissory note in the principal amount of $250,000 to Platinum (the “</w:t>
      </w:r>
      <w:r>
        <w:rPr>
          <w:rFonts w:ascii="Times New Roman" w:cs="Times New Roman" w:eastAsia="Times New Roman" w:hAnsi="Times New Roman"/>
          <w:sz w:val="18"/>
          <w:szCs w:val="18"/>
          <w:i w:val="1"/>
          <w:iCs w:val="1"/>
          <w:color w:val="auto"/>
        </w:rPr>
        <w:t>July 2013 Note</w:t>
      </w:r>
      <w:r>
        <w:rPr>
          <w:rFonts w:ascii="Times New Roman" w:cs="Times New Roman" w:eastAsia="Times New Roman" w:hAnsi="Times New Roman"/>
          <w:sz w:val="18"/>
          <w:szCs w:val="18"/>
          <w:color w:val="auto"/>
        </w:rPr>
        <w:t>”).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earlier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Times New Roman" w:cs="Times New Roman" w:eastAsia="Times New Roman" w:hAnsi="Times New Roman"/>
          <w:sz w:val="18"/>
          <w:szCs w:val="18"/>
          <w:i w:val="1"/>
          <w:iCs w:val="1"/>
          <w:color w:val="auto"/>
        </w:rPr>
        <w:t>July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 Warrant</w:t>
      </w:r>
      <w:r>
        <w:rPr>
          <w:rFonts w:ascii="Times New Roman" w:cs="Times New Roman" w:eastAsia="Times New Roman" w:hAnsi="Times New Roman"/>
          <w:sz w:val="18"/>
          <w:szCs w:val="18"/>
          <w:color w:val="auto"/>
        </w:rPr>
        <w:t>”). In addition, the Company granted Platinum the right to exchange all amounts due under the terms of the July 2013 Note into the 2013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Private Placement securities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offered by the Company to third party investors to finance its short-term working capital needs (the “</w:t>
      </w:r>
      <w:r>
        <w:rPr>
          <w:rFonts w:ascii="Times New Roman" w:cs="Times New Roman" w:eastAsia="Times New Roman" w:hAnsi="Times New Roman"/>
          <w:sz w:val="18"/>
          <w:szCs w:val="18"/>
          <w:i w:val="1"/>
          <w:iCs w:val="1"/>
          <w:color w:val="auto"/>
        </w:rPr>
        <w:t>Exchange Securities</w:t>
      </w:r>
      <w:r>
        <w:rPr>
          <w:rFonts w:ascii="Times New Roman" w:cs="Times New Roman" w:eastAsia="Times New Roman" w:hAnsi="Times New Roman"/>
          <w:sz w:val="18"/>
          <w:szCs w:val="18"/>
          <w:color w:val="auto"/>
        </w:rPr>
        <w:t>”). Upon the Company’s receipt of gross proceeds of at least $10.0 million from the Autilion Financing, the Company expects the July 2013 Note to be converted into the Exchange Securities.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Subject to limited exceptions,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exercise price (subsequently modified to $0.50 per share exercise price as described in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or $0.50 per share exercise price in the case of the July 2013 Warrant. As a result of these provisions, the Exchange Warrant, the Investment Warrants and the July 2013 Warrant do not meet the criteria set forth in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to be considered indexed to the Company’s own stock and treated as equity instruments. Consequently, the Company recorded the Exchange Warrant, each of the Investment Warrants and the July 2013 Warrant as liabilities at their fair value, which was estimated at the issuance date using a Monte Carlo simulation model or the Black-Scholes Option Pricing model. The fair value of the Exchange Warrant at the date of issuance was recorded as a liability and as a corresponding charge to loss on early extinguishment of debt in the Statement of Operations and Comprehensive Income in the third quarter of the fiscal year ended March 31, 2013. The fair value of each Investment Warrant at the date of issuance was recorded as a liability and as a corresponding discount to the respective Investment Note. Subject to limitations of the absolute amount of discount attributable to each Investment Note and the July 2013 Note, the Company treated the issuance-date intrinsic value of the beneficial conversion feature embedded in each note as an additional component of the discount attributable to each note and recorded a discount attributable to the beneficial conversion feature for each note.</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July 2013 Warrant at inception was determined to be $146,800 using the Black-Scholes Option Pricing Model and the following assumptions: market price per share: $0.75; exercise price per share: $0.50; risk-free interest rate: 1.36%; contractual term: 5.0 years; volatility: 96.9%; expected dividend rate: 0%. The fair value was recorded as a liability and as a corresponding discount to the July 2013 Note. The table below summarizes the components of the discount and the effective interest rate at inception for the July 2013 Note.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4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Discount attributable to:</w:t>
            </w: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Beneficial conversion feature</w:t>
            </w: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Inception date carrying value</w:t>
            </w:r>
          </w:p>
        </w:tc>
        <w:tc>
          <w:tcPr>
            <w:tcW w:w="4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4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Company amortizes the aggregate discount attributable to each of the Investment Notes and the July 2013 Note using the interest method over the respective term of each note. The effective interest rate attributable to the July 2013 Note is 159.05%</w:t>
      </w:r>
    </w:p>
    <w:p>
      <w:pPr>
        <w:spacing w:after="0" w:line="190"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fair value of the Exchange Warrant, Investment Warrants and the July 2013 Warrant was re-measured as of December 31, 2013 at an aggregate fair value of $780,400. The accompanying Condensed Consolidated Statement of Operations and Comprehensive Loss reflects the $620,900 and $1,354,400 decrease in fair value of these warrants for the quarter and nine months ended December 31, 2013, respectively.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Notes Issued in Connection with 2013 Unit Private Placement</w:t>
      </w:r>
    </w:p>
    <w:p>
      <w:pPr>
        <w:spacing w:after="0" w:line="24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As described more completely in the section entitled 2013 Unit Private Placement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between August and December 2013, the Company issued to accredited investors 10% convertible notes (the “</w:t>
      </w:r>
      <w:r>
        <w:rPr>
          <w:rFonts w:ascii="Times New Roman" w:cs="Times New Roman" w:eastAsia="Times New Roman" w:hAnsi="Times New Roman"/>
          <w:sz w:val="18"/>
          <w:szCs w:val="18"/>
          <w:i w:val="1"/>
          <w:iCs w:val="1"/>
          <w:color w:val="auto"/>
        </w:rPr>
        <w:t>Unit Notes</w:t>
      </w:r>
      <w:r>
        <w:rPr>
          <w:rFonts w:ascii="Times New Roman" w:cs="Times New Roman" w:eastAsia="Times New Roman" w:hAnsi="Times New Roman"/>
          <w:sz w:val="18"/>
          <w:szCs w:val="18"/>
          <w:color w:val="auto"/>
        </w:rPr>
        <w:t>”) in an aggregate face amount of $580,000 in connection with its private placement offering of Units. The Unit Notes mature on July 30, 2014 and each Unit Note and its related accrued interest is convertible into shares of the Company’s common stock at a fixed conversion price of $0.50 per share at or prior to maturity, at the option of the investor. The Company has the right to prepay the Unit Notes and accrued interest in cash prior to maturity without penalty.</w:t>
      </w:r>
    </w:p>
    <w:p>
      <w:pPr>
        <w:spacing w:after="0" w:line="21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Company allocated the proceeds from the sale of the Units to the Unit Notes, the common stock and the warrants comprising the Units based on the relative fair values of the individual securities on the dates of the Unit sales. Based on the short-duration of the Unit Notes and their other terms, the Company determined that the fair value of the Unit Notes at the date of issuance was equal to their face value. Accordingly, the Company recorded an initial discount attributable to each Unit Note for an amount representing the difference between the face value of the Unit Note and its relative value. Additionally, the Unit Notes contain an embedded conversion feature, certain of which have an intrinsic value at the issuance date, which value the Company treated as an additional discount attributable to those Unit Notes, subject to limitations on the absolute amount of discount attributable to each Unit Note. The Company recorded a corresponding credit to additional paid-in capital, an equity account in the Condensed Consolidated Balance Sheet, attributable to the beneficial conversion feature. The Company amortizes the aggregate discount attributable to each of the Unit Notes using the interest method over the respective term of each Unit Note. Based on their respective discounts, the effective interest rates attributable to the Unit Notes range from 72.8% to 701.9%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to Morrison &amp; Foerster</w:t>
      </w:r>
    </w:p>
    <w:p>
      <w:pPr>
        <w:spacing w:after="0" w:line="244"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On May 5, 2011, the Company and Morrison &amp; Foerster LLP (“</w:t>
      </w:r>
      <w:r>
        <w:rPr>
          <w:rFonts w:ascii="Times New Roman" w:cs="Times New Roman" w:eastAsia="Times New Roman" w:hAnsi="Times New Roman"/>
          <w:sz w:val="18"/>
          <w:szCs w:val="18"/>
          <w:i w:val="1"/>
          <w:iCs w:val="1"/>
          <w:color w:val="auto"/>
        </w:rPr>
        <w:t>Morrison &amp; Foerster</w:t>
      </w:r>
      <w:r>
        <w:rPr>
          <w:rFonts w:ascii="Times New Roman" w:cs="Times New Roman" w:eastAsia="Times New Roman" w:hAnsi="Times New Roman"/>
          <w:sz w:val="18"/>
          <w:szCs w:val="18"/>
          <w:color w:val="auto"/>
        </w:rPr>
        <w:t>”), the Company’s legal and intellectual property counsel, amended a previously outstanding note (the “</w:t>
      </w:r>
      <w:r>
        <w:rPr>
          <w:rFonts w:ascii="Times New Roman" w:cs="Times New Roman" w:eastAsia="Times New Roman" w:hAnsi="Times New Roman"/>
          <w:sz w:val="18"/>
          <w:szCs w:val="18"/>
          <w:i w:val="1"/>
          <w:iCs w:val="1"/>
          <w:color w:val="auto"/>
        </w:rPr>
        <w:t>Original Note</w:t>
      </w:r>
      <w:r>
        <w:rPr>
          <w:rFonts w:ascii="Times New Roman" w:cs="Times New Roman" w:eastAsia="Times New Roman" w:hAnsi="Times New Roman"/>
          <w:sz w:val="18"/>
          <w:szCs w:val="18"/>
          <w:color w:val="auto"/>
        </w:rPr>
        <w:t>”) issued by the Company in payment of legal services (the “</w:t>
      </w:r>
      <w:r>
        <w:rPr>
          <w:rFonts w:ascii="Times New Roman" w:cs="Times New Roman" w:eastAsia="Times New Roman" w:hAnsi="Times New Roman"/>
          <w:sz w:val="18"/>
          <w:szCs w:val="18"/>
          <w:i w:val="1"/>
          <w:iCs w:val="1"/>
          <w:color w:val="auto"/>
        </w:rPr>
        <w:t>Amended Note</w:t>
      </w:r>
      <w:r>
        <w:rPr>
          <w:rFonts w:ascii="Times New Roman" w:cs="Times New Roman" w:eastAsia="Times New Roman" w:hAnsi="Times New Roman"/>
          <w:sz w:val="18"/>
          <w:szCs w:val="18"/>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which the Company made in a timely manner.</w:t>
      </w:r>
    </w:p>
    <w:p>
      <w:pPr>
        <w:spacing w:after="0" w:line="20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On August 31, 2012, the Company restructured the Amended Note (the “</w:t>
      </w:r>
      <w:r>
        <w:rPr>
          <w:rFonts w:ascii="Times New Roman" w:cs="Times New Roman" w:eastAsia="Times New Roman" w:hAnsi="Times New Roman"/>
          <w:sz w:val="18"/>
          <w:szCs w:val="18"/>
          <w:i w:val="1"/>
          <w:iCs w:val="1"/>
          <w:color w:val="auto"/>
        </w:rPr>
        <w:t>Restructuring Agreement</w:t>
      </w:r>
      <w:r>
        <w:rPr>
          <w:rFonts w:ascii="Times New Roman" w:cs="Times New Roman" w:eastAsia="Times New Roman" w:hAnsi="Times New Roman"/>
          <w:sz w:val="18"/>
          <w:szCs w:val="18"/>
          <w:color w:val="auto"/>
        </w:rPr>
        <w:t>”). Pursuant to the Restructuring Agreement, the Company issued to Morrison &amp; Foerster two new unsecured promissory notes to replace the Amended Note, one in the principal amount of $1,000,000 ("</w:t>
      </w:r>
      <w:r>
        <w:rPr>
          <w:rFonts w:ascii="Times New Roman" w:cs="Times New Roman" w:eastAsia="Times New Roman" w:hAnsi="Times New Roman"/>
          <w:sz w:val="18"/>
          <w:szCs w:val="18"/>
          <w:i w:val="1"/>
          <w:iCs w:val="1"/>
          <w:color w:val="auto"/>
        </w:rPr>
        <w:t>Replacement Note A</w:t>
      </w:r>
      <w:r>
        <w:rPr>
          <w:rFonts w:ascii="Times New Roman" w:cs="Times New Roman" w:eastAsia="Times New Roman" w:hAnsi="Times New Roman"/>
          <w:sz w:val="18"/>
          <w:szCs w:val="18"/>
          <w:color w:val="auto"/>
        </w:rPr>
        <w:t>") and the other in the principal amount of $1,379,400 ("</w:t>
      </w:r>
      <w:r>
        <w:rPr>
          <w:rFonts w:ascii="Times New Roman" w:cs="Times New Roman" w:eastAsia="Times New Roman" w:hAnsi="Times New Roman"/>
          <w:sz w:val="18"/>
          <w:szCs w:val="18"/>
          <w:i w:val="1"/>
          <w:iCs w:val="1"/>
          <w:color w:val="auto"/>
        </w:rPr>
        <w:t>Replacement Note B</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xml:space="preserve">"); amended an outstanding warrant to purchase 425,000 restricted shares of the Company’s common stock (the </w:t>
      </w:r>
      <w:r>
        <w:rPr>
          <w:rFonts w:ascii="Times New Roman" w:cs="Times New Roman" w:eastAsia="Times New Roman" w:hAnsi="Times New Roman"/>
          <w:sz w:val="18"/>
          <w:szCs w:val="18"/>
          <w:i w:val="1"/>
          <w:iCs w:val="1"/>
          <w:color w:val="auto"/>
        </w:rPr>
        <w:t>“Amended M&amp;F Warrant”)</w:t>
      </w:r>
      <w:r>
        <w:rPr>
          <w:rFonts w:ascii="Times New Roman" w:cs="Times New Roman" w:eastAsia="Times New Roman" w:hAnsi="Times New Roman"/>
          <w:sz w:val="18"/>
          <w:szCs w:val="18"/>
          <w:color w:val="auto"/>
        </w:rPr>
        <w:t>; and issued a new warrant to purchase 1,379,376 restricted shares of the Company’s common stock (the “</w:t>
      </w:r>
      <w:r>
        <w:rPr>
          <w:rFonts w:ascii="Times New Roman" w:cs="Times New Roman" w:eastAsia="Times New Roman" w:hAnsi="Times New Roman"/>
          <w:sz w:val="18"/>
          <w:szCs w:val="18"/>
          <w:i w:val="1"/>
          <w:iCs w:val="1"/>
          <w:color w:val="auto"/>
        </w:rPr>
        <w:t>New M&amp;F Warrant”).</w:t>
      </w:r>
      <w:r>
        <w:rPr>
          <w:rFonts w:ascii="Times New Roman" w:cs="Times New Roman" w:eastAsia="Times New Roman" w:hAnsi="Times New Roman"/>
          <w:sz w:val="18"/>
          <w:szCs w:val="18"/>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the Company has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w:t>
      </w:r>
    </w:p>
    <w:p>
      <w:pPr>
        <w:spacing w:after="0" w:line="21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Company treated the aggregate of the incremental value of the Amended M&amp;F Warrant and the fair value of the New M&amp;F Warrant as a discount to the Replacement Notes. Through December 31, 2013, the Company has adjusted the New M&amp;F Warrant to increase the number of restricted shares available for purchase by 161,179 shares, based on interest accrued on Replacement Note B through that date. The Company has recorded the fair value of the additional warrant shares as a charge to interest expense and a corresponding credit to additional paid-in capital.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University Health Network (“</w:t>
      </w:r>
      <w:r>
        <w:rPr>
          <w:rFonts w:ascii="Times New Roman" w:cs="Times New Roman" w:eastAsia="Times New Roman" w:hAnsi="Times New Roman"/>
          <w:sz w:val="18"/>
          <w:szCs w:val="18"/>
          <w:b w:val="1"/>
          <w:bCs w:val="1"/>
          <w:i w:val="1"/>
          <w:iCs w:val="1"/>
          <w:color w:val="auto"/>
        </w:rPr>
        <w:t>UHN</w:t>
      </w:r>
      <w:r>
        <w:rPr>
          <w:rFonts w:ascii="Times New Roman" w:cs="Times New Roman" w:eastAsia="Times New Roman" w:hAnsi="Times New Roman"/>
          <w:sz w:val="18"/>
          <w:szCs w:val="18"/>
          <w:b w:val="1"/>
          <w:bCs w:val="1"/>
          <w:color w:val="auto"/>
        </w:rPr>
        <w:t>”)</w:t>
      </w:r>
    </w:p>
    <w:p>
      <w:pPr>
        <w:spacing w:after="0" w:line="24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Sponsored Research Collaboration Agreement (“</w:t>
      </w:r>
      <w:r>
        <w:rPr>
          <w:rFonts w:ascii="Times New Roman" w:cs="Times New Roman" w:eastAsia="Times New Roman" w:hAnsi="Times New Roman"/>
          <w:sz w:val="18"/>
          <w:szCs w:val="18"/>
          <w:i w:val="1"/>
          <w:iCs w:val="1"/>
          <w:color w:val="auto"/>
        </w:rPr>
        <w:t>SRCA</w:t>
      </w:r>
      <w:r>
        <w:rPr>
          <w:rFonts w:ascii="Times New Roman" w:cs="Times New Roman" w:eastAsia="Times New Roman" w:hAnsi="Times New Roman"/>
          <w:sz w:val="18"/>
          <w:szCs w:val="18"/>
          <w:color w:val="auto"/>
        </w:rPr>
        <w:t xml:space="preserve">”, described in Note 8, </w:t>
      </w:r>
      <w:r>
        <w:rPr>
          <w:rFonts w:ascii="Times New Roman" w:cs="Times New Roman" w:eastAsia="Times New Roman" w:hAnsi="Times New Roman"/>
          <w:sz w:val="18"/>
          <w:szCs w:val="18"/>
          <w:i w:val="1"/>
          <w:iCs w:val="1"/>
          <w:color w:val="auto"/>
        </w:rPr>
        <w:t>Licensing and Collaborative Agreements</w:t>
      </w:r>
      <w:r>
        <w:rPr>
          <w:rFonts w:ascii="Times New Roman" w:cs="Times New Roman" w:eastAsia="Times New Roman" w:hAnsi="Times New Roman"/>
          <w:sz w:val="18"/>
          <w:szCs w:val="18"/>
          <w:color w:val="auto"/>
        </w:rPr>
        <w:t>) through September 30, 2012 (the “</w:t>
      </w:r>
      <w:r>
        <w:rPr>
          <w:rFonts w:ascii="Times New Roman" w:cs="Times New Roman" w:eastAsia="Times New Roman" w:hAnsi="Times New Roman"/>
          <w:sz w:val="18"/>
          <w:szCs w:val="18"/>
          <w:i w:val="1"/>
          <w:iCs w:val="1"/>
          <w:color w:val="auto"/>
        </w:rPr>
        <w:t>UHN Note</w:t>
      </w:r>
      <w:r>
        <w:rPr>
          <w:rFonts w:ascii="Times New Roman" w:cs="Times New Roman" w:eastAsia="Times New Roman" w:hAnsi="Times New Roman"/>
          <w:sz w:val="18"/>
          <w:szCs w:val="18"/>
          <w:color w:val="auto"/>
        </w:rPr>
        <w:t>”), and (ii) a five-year warrant to purchase, at a price of $1.00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549,500 restricted shares of the Company’s common stock, the amount equal to the sum of the principal amount of the UHN Note, plus all accrued interest thereon, divided by $1.00 per share (the “</w:t>
      </w:r>
      <w:r>
        <w:rPr>
          <w:rFonts w:ascii="Times New Roman" w:cs="Times New Roman" w:eastAsia="Times New Roman" w:hAnsi="Times New Roman"/>
          <w:sz w:val="18"/>
          <w:szCs w:val="18"/>
          <w:i w:val="1"/>
          <w:iCs w:val="1"/>
          <w:color w:val="auto"/>
        </w:rPr>
        <w:t>UHN Warrant</w:t>
      </w:r>
      <w:r>
        <w:rPr>
          <w:rFonts w:ascii="Times New Roman" w:cs="Times New Roman" w:eastAsia="Times New Roman" w:hAnsi="Times New Roman"/>
          <w:sz w:val="18"/>
          <w:szCs w:val="18"/>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1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difference between the face value of the UHN Note and its issuance-date fair value has been treated as a discount to the note and is being amortized over the term of the note using the interest method. Through December 31, 2013, the Company has adjusted the UHN Warrant to increase the number of shares available for purchase by 50,471 shares, based on interest accrued on the UHN Note through that date. The Company has recorded the fair value of the additional warrant shares as a charge to interest expense and a corresponding credit to additional paid-in capital.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for Cancellation of Amounts Payable</w:t>
      </w:r>
    </w:p>
    <w:p>
      <w:pPr>
        <w:spacing w:after="0" w:line="24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February 25, 2011, the Company issued to Burr, Pilger, and Mayer, LLC (“</w:t>
      </w:r>
      <w:r>
        <w:rPr>
          <w:rFonts w:ascii="Times New Roman" w:cs="Times New Roman" w:eastAsia="Times New Roman" w:hAnsi="Times New Roman"/>
          <w:sz w:val="18"/>
          <w:szCs w:val="18"/>
          <w:i w:val="1"/>
          <w:iCs w:val="1"/>
          <w:color w:val="auto"/>
        </w:rPr>
        <w:t>BPM</w:t>
      </w:r>
      <w:r>
        <w:rPr>
          <w:rFonts w:ascii="Times New Roman" w:cs="Times New Roman" w:eastAsia="Times New Roman" w:hAnsi="Times New Roman"/>
          <w:sz w:val="18"/>
          <w:szCs w:val="18"/>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8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On April 29, 2011, the Company issued to Desjardins Securities, Inc. (“</w:t>
      </w:r>
      <w:r>
        <w:rPr>
          <w:rFonts w:ascii="Times New Roman" w:cs="Times New Roman" w:eastAsia="Times New Roman" w:hAnsi="Times New Roman"/>
          <w:sz w:val="17"/>
          <w:szCs w:val="17"/>
          <w:i w:val="1"/>
          <w:iCs w:val="1"/>
          <w:color w:val="auto"/>
        </w:rPr>
        <w:t>Desjardins</w:t>
      </w:r>
      <w:r>
        <w:rPr>
          <w:rFonts w:ascii="Times New Roman" w:cs="Times New Roman" w:eastAsia="Times New Roman" w:hAnsi="Times New Roman"/>
          <w:sz w:val="17"/>
          <w:szCs w:val="17"/>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shall also make payments equal to one-half percent (0.5%) of the net proceeds of all private or public equity financings closed during the term of the note.</w:t>
      </w:r>
    </w:p>
    <w:p>
      <w:pPr>
        <w:spacing w:after="0" w:line="17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On May 5, 2011, the Company issued to McCarthy Tetrault LLP (“</w:t>
      </w:r>
      <w:r>
        <w:rPr>
          <w:rFonts w:ascii="Times New Roman" w:cs="Times New Roman" w:eastAsia="Times New Roman" w:hAnsi="Times New Roman"/>
          <w:sz w:val="18"/>
          <w:szCs w:val="18"/>
          <w:i w:val="1"/>
          <w:iCs w:val="1"/>
          <w:color w:val="auto"/>
        </w:rPr>
        <w:t>McCarthy</w:t>
      </w:r>
      <w:r>
        <w:rPr>
          <w:rFonts w:ascii="Times New Roman" w:cs="Times New Roman" w:eastAsia="Times New Roman" w:hAnsi="Times New Roman"/>
          <w:sz w:val="18"/>
          <w:szCs w:val="18"/>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In October 2012, the Company and McCarthy agreed to extend the term of the note through March 2015.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 during the second quarter of the fiscal year ended March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Holding Company</w:t>
      </w:r>
    </w:p>
    <w:p>
      <w:pPr>
        <w:spacing w:after="0" w:line="24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April 2011, all amounts owed by the Company to 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a related party, and its affiliates, were consolidated into a single note, in the principal amount of $352,300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Concurrently, CHC released all of its security interests in certain of the Company’s personal property. The 2011 CHC note was to bear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w:t>
      </w:r>
    </w:p>
    <w:p>
      <w:pPr>
        <w:spacing w:after="0" w:line="21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On October 10, 2012, the Company and CHC restructured the 2011 CHC Note by cancelling the 2011 CHC Note and exchanging it for a new unsecured promissory note in the principal amount of $310,400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shares of the Company’s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The 2012 CHC Note accrues interest at a rate of 7.5% per annum and is due and payable in monthly installments of $10,000, beginning November 1, 2012 and continuing until the outstanding balance is paid in full.</w:t>
      </w:r>
    </w:p>
    <w:p>
      <w:pPr>
        <w:spacing w:after="0" w:line="20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The Company recognized the difference between the sum of the fair values of the 2012 CHC Note and the CHC Warrant less the carrying value of the 2011 CHC Note, $119,100, as a non-cash loss on early extinguishment of debt in the Consolidated Statements of Operations and Comprehensive Income for the third quarter of the fiscal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Research Ltd.</w:t>
      </w:r>
    </w:p>
    <w:p>
      <w:pPr>
        <w:spacing w:after="0" w:line="24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October 10, 2012, the Company issued to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w:t>
      </w:r>
      <w:r>
        <w:rPr>
          <w:rFonts w:ascii="Times New Roman" w:cs="Times New Roman" w:eastAsia="Times New Roman" w:hAnsi="Times New Roman"/>
          <w:sz w:val="18"/>
          <w:szCs w:val="18"/>
          <w:i w:val="1"/>
          <w:iCs w:val="1"/>
          <w:color w:val="auto"/>
        </w:rPr>
        <w:t>CRO Services</w:t>
      </w:r>
      <w:r>
        <w:rPr>
          <w:rFonts w:ascii="Times New Roman" w:cs="Times New Roman" w:eastAsia="Times New Roman" w:hAnsi="Times New Roman"/>
          <w:sz w:val="18"/>
          <w:szCs w:val="18"/>
          <w:color w:val="auto"/>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$486,200. The Company recognized the difference between the sum of the fair values of the CRL Note and the CRL Warrant less the accounts payable balance due to CRL, $335,100, as a non-cash loss on early extinguishment of debt in the Consolidated Statements of Operations and Comprehensive Income for the third quarter of the fiscal year ended March 31, 2013. The fair value of the warrant, $486,200,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Through December 31, 2013, the Company has adjusted the CRL Warrant to increase the number of restricted shares available for purchase by 96,754 shares, based on interest accrued on the CRL Note through that date. The Company has recorded the fair value of the additional warrant shares as a charge to interest expense and a corresponding credit to additional paid-in capital.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Licensing and Collaborative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Health Network</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17, 2007, the Company and UHN entered into a Sponsored Research Collaboration Agreement (“</w:t>
      </w:r>
      <w:r>
        <w:rPr>
          <w:rFonts w:ascii="Times New Roman" w:cs="Times New Roman" w:eastAsia="Times New Roman" w:hAnsi="Times New Roman"/>
          <w:sz w:val="17"/>
          <w:szCs w:val="17"/>
          <w:i w:val="1"/>
          <w:iCs w:val="1"/>
          <w:color w:val="auto"/>
        </w:rPr>
        <w:t>SRCA</w:t>
      </w:r>
      <w:r>
        <w:rPr>
          <w:rFonts w:ascii="Times New Roman" w:cs="Times New Roman" w:eastAsia="Times New Roman" w:hAnsi="Times New Roman"/>
          <w:sz w:val="17"/>
          <w:szCs w:val="17"/>
          <w:color w:val="auto"/>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7, </w:t>
      </w:r>
      <w:r>
        <w:rPr>
          <w:rFonts w:ascii="Times New Roman" w:cs="Times New Roman" w:eastAsia="Times New Roman" w:hAnsi="Times New Roman"/>
          <w:sz w:val="17"/>
          <w:szCs w:val="17"/>
          <w:i w:val="1"/>
          <w:iCs w:val="1"/>
          <w:color w:val="auto"/>
        </w:rPr>
        <w:t>Convertible Notes and Other Notes Payable</w:t>
      </w:r>
      <w:r>
        <w:rPr>
          <w:rFonts w:ascii="Times New Roman" w:cs="Times New Roman" w:eastAsia="Times New Roman" w:hAnsi="Times New Roman"/>
          <w:sz w:val="17"/>
          <w:szCs w:val="17"/>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0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National Institutes of Health</w:t>
      </w:r>
    </w:p>
    <w:p>
      <w:pPr>
        <w:spacing w:after="0" w:line="24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During fiscal years 2006 through 2008,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Cato Research Ltd.</w:t>
      </w:r>
    </w:p>
    <w:p>
      <w:pPr>
        <w:spacing w:after="0" w:line="24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Company has built a strategic development relationship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xml:space="preserve">”), a global contract research and development organization, or CRO, and an affiliate of one of the Company’s largest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$7,500 and $45,000 for the three and nine month periods ended December 31, 2013, respectively, and $124,700 and $639,300 for the three and nine month periods ended December 31, 2012, respectively. As described in Note 7, </w:t>
      </w:r>
      <w:r>
        <w:rPr>
          <w:rFonts w:ascii="Times New Roman" w:cs="Times New Roman" w:eastAsia="Times New Roman" w:hAnsi="Times New Roman"/>
          <w:sz w:val="18"/>
          <w:szCs w:val="18"/>
          <w:i w:val="1"/>
          <w:iCs w:val="1"/>
          <w:color w:val="auto"/>
        </w:rPr>
        <w:t>Convertible Promissory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Notes Payable</w:t>
      </w:r>
      <w:r>
        <w:rPr>
          <w:rFonts w:ascii="Times New Roman" w:cs="Times New Roman" w:eastAsia="Times New Roman" w:hAnsi="Times New Roman"/>
          <w:sz w:val="18"/>
          <w:szCs w:val="18"/>
          <w:color w:val="auto"/>
        </w:rPr>
        <w:t>, in October 2012, the Company issued an unsecured promissory note in the principal amount of $1,009,000, and a warrant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1,009,000 shares of the Company’s common stock, as payment in full of all amounts owed to CRL for CRO services rendered to the Company through December 31, 2012.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Autilion AG Securities Purchase Agreement</w:t>
      </w:r>
    </w:p>
    <w:p>
      <w:pPr>
        <w:spacing w:after="0" w:line="24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On April 8, 2013, the Company entered into a Securities Purchase Agreement (as amended, the “</w:t>
      </w:r>
      <w:r>
        <w:rPr>
          <w:rFonts w:ascii="Times New Roman" w:cs="Times New Roman" w:eastAsia="Times New Roman" w:hAnsi="Times New Roman"/>
          <w:sz w:val="18"/>
          <w:szCs w:val="18"/>
          <w:i w:val="1"/>
          <w:iCs w:val="1"/>
          <w:color w:val="auto"/>
        </w:rPr>
        <w:t>Securities Purchase Agreement</w:t>
      </w:r>
      <w:r>
        <w:rPr>
          <w:rFonts w:ascii="Times New Roman" w:cs="Times New Roman" w:eastAsia="Times New Roman" w:hAnsi="Times New Roman"/>
          <w:sz w:val="18"/>
          <w:szCs w:val="18"/>
          <w:color w:val="auto"/>
        </w:rPr>
        <w:t>”) with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On April 12, 2013, Autilion assigned the Purchase Agreement to its affiliate, Bergamo Acquisition Corp. PTE LTD, a corporation organized and existing under the laws of Singapore (“</w:t>
      </w:r>
      <w:r>
        <w:rPr>
          <w:rFonts w:ascii="Times New Roman" w:cs="Times New Roman" w:eastAsia="Times New Roman" w:hAnsi="Times New Roman"/>
          <w:sz w:val="18"/>
          <w:szCs w:val="18"/>
          <w:i w:val="1"/>
          <w:iCs w:val="1"/>
          <w:color w:val="auto"/>
        </w:rPr>
        <w:t>Bergamo Singapore</w:t>
      </w:r>
      <w:r>
        <w:rPr>
          <w:rFonts w:ascii="Times New Roman" w:cs="Times New Roman" w:eastAsia="Times New Roman" w:hAnsi="Times New Roman"/>
          <w:sz w:val="18"/>
          <w:szCs w:val="18"/>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At December 31, 2013, the Company had completed a nominal initial closing of the Autilion Financing in the amount of $25,000 and issued 50,000 restricted shares of common stock.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 The Securities Purchase Agreement also provides for the election to the Company’s board of directors of a designee of Autilion upon completion of the Autilion Financing.</w:t>
      </w:r>
    </w:p>
    <w:p>
      <w:pPr>
        <w:spacing w:after="0" w:line="21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cs="Times New Roman" w:eastAsia="Times New Roman" w:hAnsi="Times New Roman"/>
          <w:sz w:val="18"/>
          <w:szCs w:val="18"/>
          <w:i w:val="1"/>
          <w:iCs w:val="1"/>
          <w:color w:val="auto"/>
        </w:rPr>
        <w:t>Approved Transaction</w:t>
      </w:r>
      <w:r>
        <w:rPr>
          <w:rFonts w:ascii="Times New Roman" w:cs="Times New Roman" w:eastAsia="Times New Roman" w:hAnsi="Times New Roman"/>
          <w:sz w:val="18"/>
          <w:szCs w:val="18"/>
          <w:color w:val="auto"/>
        </w:rPr>
        <w:t>”), Autilion is required to vote all shares of capital stock of the Company held by it for such Approved Transaction.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Unit Private Placement</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Between August and December 2013, the Company entered into securities purchase agreements with accredited investors pursuant to which it sold to such investors 116 Units, each Unit consisting of (i) a 10% convertible note in the face amount of $5,000 maturing on July 30, 2014 (the “</w:t>
      </w:r>
      <w:r>
        <w:rPr>
          <w:rFonts w:ascii="Times New Roman" w:cs="Times New Roman" w:eastAsia="Times New Roman" w:hAnsi="Times New Roman"/>
          <w:sz w:val="18"/>
          <w:szCs w:val="18"/>
          <w:i w:val="1"/>
          <w:iCs w:val="1"/>
          <w:color w:val="auto"/>
        </w:rPr>
        <w:t>Unit Note</w:t>
      </w:r>
      <w:r>
        <w:rPr>
          <w:rFonts w:ascii="Times New Roman" w:cs="Times New Roman" w:eastAsia="Times New Roman" w:hAnsi="Times New Roman"/>
          <w:sz w:val="18"/>
          <w:szCs w:val="18"/>
          <w:color w:val="auto"/>
        </w:rPr>
        <w:t>”); (ii) 10,000 shares of the Company’s restricted common stock (the “</w:t>
      </w:r>
      <w:r>
        <w:rPr>
          <w:rFonts w:ascii="Times New Roman" w:cs="Times New Roman" w:eastAsia="Times New Roman" w:hAnsi="Times New Roman"/>
          <w:sz w:val="18"/>
          <w:szCs w:val="18"/>
          <w:i w:val="1"/>
          <w:iCs w:val="1"/>
          <w:color w:val="auto"/>
        </w:rPr>
        <w:t>Unit Stock</w:t>
      </w:r>
      <w:r>
        <w:rPr>
          <w:rFonts w:ascii="Times New Roman" w:cs="Times New Roman" w:eastAsia="Times New Roman" w:hAnsi="Times New Roman"/>
          <w:sz w:val="18"/>
          <w:szCs w:val="18"/>
          <w:color w:val="auto"/>
        </w:rPr>
        <w:t>”); and (iii) a warrant exercisable through July 30, 2016 to purchase 10,000 restricted shares of the Company’s common stock at an exercise price of $1.00 per share (the “</w:t>
      </w:r>
      <w:r>
        <w:rPr>
          <w:rFonts w:ascii="Times New Roman" w:cs="Times New Roman" w:eastAsia="Times New Roman" w:hAnsi="Times New Roman"/>
          <w:sz w:val="18"/>
          <w:szCs w:val="18"/>
          <w:i w:val="1"/>
          <w:iCs w:val="1"/>
          <w:color w:val="auto"/>
        </w:rPr>
        <w:t>Unit Warrant</w:t>
      </w:r>
      <w:r>
        <w:rPr>
          <w:rFonts w:ascii="Times New Roman" w:cs="Times New Roman" w:eastAsia="Times New Roman" w:hAnsi="Times New Roman"/>
          <w:sz w:val="18"/>
          <w:szCs w:val="18"/>
          <w:color w:val="auto"/>
        </w:rPr>
        <w:t>”). Accordingly, the Company issued Unit Notes in the aggregate face amount of $580,000; an aggregate of 1,160,000 shares of Unit Stock, and warrants to purchase an aggregate of 1,160,000 shares of the Company’s restricted common stock pursuant to the Unit Warrants, and received cash proceeds of $580,000, including $50,000 in lieu of repayment of previous advances to the Company made by one of its executive officers. The Unit Notes and related accrued interest are convertible into shares of the Company’s common stock at a conversion price of $0.50 per share at or prior to maturity, at the option of each investor. The Units also represent the Exchange Securities into which Platinum may convert the July 2013 Note.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Company allocated the proceeds from the sale of the Units to the various securities based on their relative fair values on the dates of the sales. As described in Note 7, </w:t>
      </w:r>
      <w:r>
        <w:rPr>
          <w:rFonts w:ascii="Times New Roman" w:cs="Times New Roman" w:eastAsia="Times New Roman" w:hAnsi="Times New Roman"/>
          <w:sz w:val="18"/>
          <w:szCs w:val="18"/>
          <w:i w:val="1"/>
          <w:iCs w:val="1"/>
          <w:color w:val="auto"/>
        </w:rPr>
        <w:t>Convertible PromissoryNotes and Other Notes Payable</w:t>
      </w:r>
      <w:r>
        <w:rPr>
          <w:rFonts w:ascii="Times New Roman" w:cs="Times New Roman" w:eastAsia="Times New Roman" w:hAnsi="Times New Roman"/>
          <w:sz w:val="18"/>
          <w:szCs w:val="18"/>
          <w:color w:val="auto"/>
        </w:rPr>
        <w:t>, based on the short-term nature of the Unit Notes, the Company determined that fair value of the Unit Notes was equal to their face value. The Company determined the fair value of the Unit Stock based on the quoted market price of its stock on the date of the Unit sale. The Company calculated the fair value of the Unit Warrants using the Black Scholes Option Pricing Model and the weighted average assumptions indicated in the table below. The table below also presents the aggregate allocation of the Unit sales proceeds based on the relative fair values of the Unit Stock, Unit Warrants and Unit Notes at the Unit sales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Unit Warrants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color w:val="auto"/>
              </w:rPr>
              <w:t>Weighted Average Issuance Date Valuation Assumptions</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Aggregate</w:t>
            </w:r>
          </w:p>
        </w:tc>
        <w:tc>
          <w:tcPr>
            <w:tcW w:w="2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Aggregate Allocation of Proceeds</w:t>
            </w:r>
          </w:p>
        </w:tc>
        <w:tc>
          <w:tcPr>
            <w:tcW w:w="0" w:type="dxa"/>
            <w:vAlign w:val="bottom"/>
          </w:tcPr>
          <w:p>
            <w:pPr>
              <w:spacing w:after="0"/>
              <w:rPr>
                <w:sz w:val="1"/>
                <w:szCs w:val="1"/>
                <w:color w:val="auto"/>
              </w:rPr>
            </w:pPr>
          </w:p>
        </w:tc>
      </w:tr>
      <w:tr>
        <w:trPr>
          <w:trHeight w:val="219"/>
        </w:trPr>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4"/>
              </w:rPr>
              <w:t>Warrant</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Risk free</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Fair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Proceeds</w:t>
            </w:r>
          </w:p>
        </w:tc>
        <w:tc>
          <w:tcPr>
            <w:tcW w:w="29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7"/>
              </w:rPr>
              <w:t>Based on Relative Fair Value of:</w:t>
            </w:r>
          </w:p>
        </w:tc>
        <w:tc>
          <w:tcPr>
            <w:tcW w:w="0" w:type="dxa"/>
            <w:vAlign w:val="bottom"/>
          </w:tcPr>
          <w:p>
            <w:pPr>
              <w:spacing w:after="0"/>
              <w:rPr>
                <w:sz w:val="1"/>
                <w:szCs w:val="1"/>
                <w:color w:val="auto"/>
              </w:rPr>
            </w:pPr>
          </w:p>
        </w:tc>
      </w:tr>
      <w:tr>
        <w:trPr>
          <w:trHeight w:val="194"/>
        </w:trPr>
        <w:tc>
          <w:tcPr>
            <w:tcW w:w="92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Shares</w:t>
            </w:r>
          </w:p>
        </w:tc>
        <w:tc>
          <w:tcPr>
            <w:tcW w:w="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Market</w:t>
            </w:r>
          </w:p>
        </w:tc>
        <w:tc>
          <w:tcPr>
            <w:tcW w:w="82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8"/>
                <w:szCs w:val="18"/>
                <w:color w:val="auto"/>
                <w:w w:val="96"/>
              </w:rPr>
              <w:t>Exercise</w:t>
            </w:r>
          </w:p>
        </w:tc>
        <w:tc>
          <w:tcPr>
            <w:tcW w:w="70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8"/>
                <w:szCs w:val="18"/>
                <w:color w:val="auto"/>
                <w:w w:val="92"/>
              </w:rPr>
              <w:t>Term</w:t>
            </w:r>
          </w:p>
        </w:tc>
        <w:tc>
          <w:tcPr>
            <w:tcW w:w="880" w:type="dxa"/>
            <w:vAlign w:val="bottom"/>
          </w:tcPr>
          <w:p>
            <w:pPr>
              <w:jc w:val="center"/>
              <w:ind w:right="32"/>
              <w:spacing w:after="0" w:line="194" w:lineRule="exact"/>
              <w:rPr>
                <w:sz w:val="20"/>
                <w:szCs w:val="20"/>
                <w:color w:val="auto"/>
              </w:rPr>
            </w:pPr>
            <w:r>
              <w:rPr>
                <w:rFonts w:ascii="Times New Roman" w:cs="Times New Roman" w:eastAsia="Times New Roman" w:hAnsi="Times New Roman"/>
                <w:sz w:val="18"/>
                <w:szCs w:val="18"/>
                <w:color w:val="auto"/>
                <w:w w:val="96"/>
              </w:rPr>
              <w:t>Interest</w:t>
            </w:r>
          </w:p>
        </w:tc>
        <w:tc>
          <w:tcPr>
            <w:tcW w:w="900" w:type="dxa"/>
            <w:vAlign w:val="bottom"/>
          </w:tcPr>
          <w:p>
            <w:pPr>
              <w:spacing w:after="0"/>
              <w:rPr>
                <w:sz w:val="16"/>
                <w:szCs w:val="16"/>
                <w:color w:val="auto"/>
              </w:rPr>
            </w:pPr>
          </w:p>
        </w:tc>
        <w:tc>
          <w:tcPr>
            <w:tcW w:w="9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Dividend</w:t>
            </w: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2"/>
              </w:rPr>
              <w:t>Value of</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of Unit</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of Unit</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52"/>
              <w:spacing w:after="0" w:line="194" w:lineRule="exact"/>
              <w:rPr>
                <w:sz w:val="20"/>
                <w:szCs w:val="20"/>
                <w:color w:val="auto"/>
              </w:rPr>
            </w:pPr>
            <w:r>
              <w:rPr>
                <w:rFonts w:ascii="Times New Roman" w:cs="Times New Roman" w:eastAsia="Times New Roman" w:hAnsi="Times New Roman"/>
                <w:sz w:val="18"/>
                <w:szCs w:val="18"/>
                <w:color w:val="auto"/>
                <w:w w:val="99"/>
              </w:rPr>
              <w:t>Unit</w:t>
            </w: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Issued</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Price</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Price</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(Years)</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Rate</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Rate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Warrant</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Warrants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Sales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Unit Stock</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4"/>
              </w:rPr>
              <w:t>Warrant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Unit Note</w:t>
            </w:r>
          </w:p>
        </w:tc>
        <w:tc>
          <w:tcPr>
            <w:tcW w:w="0" w:type="dxa"/>
            <w:vAlign w:val="bottom"/>
          </w:tcPr>
          <w:p>
            <w:pPr>
              <w:spacing w:after="0"/>
              <w:rPr>
                <w:sz w:val="1"/>
                <w:szCs w:val="1"/>
                <w:color w:val="auto"/>
              </w:rPr>
            </w:pPr>
          </w:p>
        </w:tc>
      </w:tr>
      <w:tr>
        <w:trPr>
          <w:trHeight w:val="212"/>
        </w:trPr>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1,160,000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$580,000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Warrants held by Platinum</w:t>
      </w:r>
    </w:p>
    <w:p>
      <w:pPr>
        <w:spacing w:after="0" w:line="244"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Effective on May 24, 2013, the Company and Platinum entered into an Amendment and Waiver Agreement (the “</w:t>
      </w:r>
      <w:r>
        <w:rPr>
          <w:rFonts w:ascii="Times New Roman" w:cs="Times New Roman" w:eastAsia="Times New Roman" w:hAnsi="Times New Roman"/>
          <w:sz w:val="17"/>
          <w:szCs w:val="17"/>
          <w:i w:val="1"/>
          <w:iCs w:val="1"/>
          <w:color w:val="auto"/>
        </w:rPr>
        <w:t>Amendment and Waiver</w:t>
      </w:r>
      <w:r>
        <w:rPr>
          <w:rFonts w:ascii="Times New Roman" w:cs="Times New Roman" w:eastAsia="Times New Roman" w:hAnsi="Times New Roman"/>
          <w:sz w:val="17"/>
          <w:szCs w:val="17"/>
          <w:color w:val="auto"/>
        </w:rPr>
        <w:t>”) pursuant to which the Company agreed to reduce the exercise price of the Exchange Warrant and the Investment Warrants issued to Platinum in October 2012 and February 2013 and March 2013 (collectively, the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“Other Warrant Modifications and Exercises” below.)</w:t>
      </w:r>
    </w:p>
    <w:p>
      <w:pPr>
        <w:spacing w:after="0" w:line="19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 xml:space="preserve">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At December 31, 2013, the Company determined the fair values of the Exchange Warrant, the Investment Warrants and the July 2013 Warrant to be a weighted average of $0.22 per share, or an aggregate of $780,400, recorded as a component of Warrant Liability in the accompanying Condensed Consolidated Balance Sheet at December 31, 2013, using the Black Scholes Option Pricing Model and the following assumptions: market price per share: $0.42; exercise price per share: $0.50; risk-free interest rate: 1.16% to 1.54%; remaining contractual term: 3.78 years to 4.56 years; volatility: 76.1% to 81.5%; and expected dividend rate: 0%. At December 31, 2013, the Company also re-measured the fair value of the Series A Exchange Warrant which is contingently issuable to Platinum upon the exchange of its shares of the Company’s Series A Preferred Stock into shares of the Company’s restricted common stock. The Company determined the fair value of the Series A Exchange Warrant, also recorded as a component of Warrant Liability in the accompanying Condensed Consolidated Balance Sheets at December 31, 2013, to be $0.27 per share, or $1,936,700, using the Black Scholes Option Pricing Model and the following assumptions: market price per share: $0.42; exercise price per share: $0.50; risk-free interest rate: 1.75%; contractual term: 5.00 years; volatility: 85.7%; expected dividend rate: 0%; and assumed probability of issuance of 95%.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Warrant Modifications and Exercises</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shares of the Company’s restricted common stock in lieu of payment by the Company in satisfaction of amounts due for professional services in the aggregate amount of $8,300.</w:t>
      </w:r>
    </w:p>
    <w:p>
      <w:pPr>
        <w:spacing w:after="0" w:line="18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Company calculated the fair value of the warrants exercised immediately before and after the modifications and determined that the fair value of the warrants exercised decreased by $32,900,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3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 (weighted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In October 2013 the Company modified certain outstanding warrants held by its long-term investors and consultants to purchase an aggregate of 1,292,778 shares of the Company’s restricted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Condensed Consolidated Statements of Operations and Comprehensive Loss. The warrants subject to the exercise price modifications and term extensions were valued using the Black-Scholes Option Pricing Model and the following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3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modification date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 (weighted average)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0.11</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520" w:type="dxa"/>
            <w:vAlign w:val="bottom"/>
            <w:gridSpan w:val="3"/>
          </w:tcPr>
          <w:p>
            <w:pPr>
              <w:jc w:val="right"/>
              <w:ind w:right="2932"/>
              <w:spacing w:after="0"/>
              <w:rPr>
                <w:sz w:val="20"/>
                <w:szCs w:val="20"/>
                <w:color w:val="auto"/>
              </w:rPr>
            </w:pPr>
            <w:r>
              <w:rPr>
                <w:rFonts w:ascii="Times New Roman" w:cs="Times New Roman" w:eastAsia="Times New Roman" w:hAnsi="Times New Roman"/>
                <w:sz w:val="18"/>
                <w:szCs w:val="18"/>
                <w:color w:val="auto"/>
              </w:rPr>
              <w:t>F-74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Condensed Consolidated Statements of Operations and Comprehensive Loss, with a corresponding credit to additional paid-in capital, an equity account.</w:t>
      </w:r>
    </w:p>
    <w:p>
      <w:pPr>
        <w:spacing w:after="0" w:line="21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2013, the Company modified additional outstanding warrants held by certain of its long-term investors, consultants, and members of management and its Board of Directors to purchase an aggregate of 1,260,251 shares of its restricted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Condensed Consolidated Statements of Operations and Comprehensive Loss. The warrants subject to the exercise price modifications and term extensions were valued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3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 (weighted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modification for the term corresponding with the contractual term of the warrant. The dividend rate is zero as the Company has not paid and does not expect to pay dividends in the near future.</w:t>
      </w:r>
    </w:p>
    <w:p>
      <w:pPr>
        <w:spacing w:after="0" w:line="21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On June 27, 2013, the Company’s Chief Executive Officer exercised an outstanding warrant to purchase 50,000 restricted shares of the Company’s common stock at an exercise price of $0.64 per share and the Company received cash proceeds of $32,000 from his exercise.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Following the warrant issuances, modifications and exercises described above, at December 31, 2013, the Company had outstanding warrants to purchase shares of its restricted common stock at a weighted average exercise price of $0.89 per share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Subject to</w:t>
            </w: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 at</w:t>
            </w: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7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9"/>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0" w:type="dxa"/>
            <w:vAlign w:val="bottom"/>
          </w:tcPr>
          <w:p>
            <w:pPr>
              <w:spacing w:after="0"/>
              <w:rPr>
                <w:sz w:val="20"/>
                <w:szCs w:val="20"/>
                <w:color w:val="auto"/>
              </w:rPr>
            </w:pPr>
          </w:p>
        </w:tc>
        <w:tc>
          <w:tcPr>
            <w:tcW w:w="878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5/11/2014 to 7/26/2018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5,254,019</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0.64</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3/3/2023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2,940,000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0.88</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5/11/2014</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15,428</w:t>
            </w: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7/30/2016 to 9/30/2017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4,406,281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5/11/2014 to 12/31/2014</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50,280</w:t>
            </w: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5/11/2014 to 3/14/2018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2,491,016</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9/15/2017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425,000</w:t>
            </w: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5/11/2014</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42,443</w:t>
            </w: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1/31/2015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61,418</w:t>
            </w:r>
          </w:p>
        </w:tc>
      </w:tr>
      <w:tr>
        <w:trPr>
          <w:trHeight w:val="219"/>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2/13/2016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15,710,885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w:t>
      </w:r>
    </w:p>
    <w:p>
      <w:pPr>
        <w:spacing w:after="0" w:line="24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October 2012 Agreement described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Platinum’s exchange rights in the Company’s Series A Preferred were modified such that Platinum currently has the right and option to exchange 500,000 restricted shares of the Company’s Series A Preferred that it holds for (i) a total of 15,000,000 restricted shares of the Company’s common stock (increased from 5,000,000 shares), and (ii) a five-year warrant to purchase 7,500,000 restricted shares of the Company’s common stock at an initial exercise price of $1.50 per share (the “</w:t>
      </w:r>
      <w:r>
        <w:rPr>
          <w:rFonts w:ascii="Times New Roman" w:cs="Times New Roman" w:eastAsia="Times New Roman" w:hAnsi="Times New Roman"/>
          <w:sz w:val="18"/>
          <w:szCs w:val="18"/>
          <w:i w:val="1"/>
          <w:iCs w:val="1"/>
          <w:color w:val="auto"/>
        </w:rPr>
        <w:t>Series A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The modification of the exchange ratio and the contingent grant of the Series A Exchange Warrant pursuant to the October 2012 Agreement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deemed dividend on the Series A Preferred in the aggregate amount of $10,193,200 for accounting purposes, which has been reflected in the accompanying Condensed Consolidated Statement of Operations and Comprehensive Loss for the three and nine month periods ended December 31, 2012. The aggregate amount of the deemed dividend was determined based on (i) the fair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plus (ii) the fair value of the Series A Exchange Warrant, determined to be $0.43 per share, on the date of the agreement using the Black Scholes Option Pricing Model and the following assumptions: market price per share: $0.75; exercise price per share: $1.50; risk-free interest rate: 0.67%; contractual term: 5 years; volatility: 89.9%; expected dividend rate: 0%; further adjusted for an expected 95% probability of exercise of the exchange rights by Platinum, for a fair value of $3,068,200. The fair value of the Series A Exchange Warrant was also recognized as a liability at the date of the October 2012 Agreement, with a corresponding charge to additional paid-in capital, an equity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4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Between September and December 2013, one of the Company’s executive officers provided short-term cash advances aggregating $64,000 to meet the Company’s short-term working capital requirements. In lieu of cash repayment of the advances by the Company, in December 2013, the officer elected to invest $50,000 in the 2013 Unit Private Placement. The Company has partially repaid the remaining balance of the advances.</w:t>
      </w:r>
    </w:p>
    <w:p>
      <w:pPr>
        <w:spacing w:after="0" w:line="2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Cato Holding Company,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xml:space="preserve">"), the parent of CRL, is one of the Company’s largest institutional stockholders at December 31, 2013. As described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in October 2012, the 2011 CHC Note was cancelled and exchanged for the 2012 CHC Note and the CHC Warrant. The 2012 CHC Note bears interest at the rate of 7.5% compounded monthly and is payable in monthly installments of $10,000 beginning November 1, 2012 until the balance is paid in full, with the final monthly payment to be made in the amount equal to the then current outstanding balance of principal and interest due under the 2012 Cato Note. Total interest expense, including amortization of note discount, on notes payable to CHC was $7,900 and $24,000 in the three and nine month periods ended December 31, 2013, respectively, and $34,700 and $51,400 in the three and nine month periods ended December 31, 2012,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During fiscal year 2007, the Company entered into a contract research organization arrangement with CRL related to the development of its lead drug candidate, AV-101, and subsequent other projects under which the Company incurred expenses of $7,500 and $124,700 in the three month periods ended December 31, 2013 and 2012, respectively, and $45,000 and $639,300 in the nine month periods ended December 31, 2013 and 2012, respectively.</w:t>
      </w:r>
    </w:p>
    <w:p>
      <w:pPr>
        <w:spacing w:after="0" w:line="2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As described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in October 2012, the Company issued to CRL (i) the CRL Note as payment in full for all contract research and development services and regulatory advice (“</w:t>
      </w:r>
      <w:r>
        <w:rPr>
          <w:rFonts w:ascii="Times New Roman" w:cs="Times New Roman" w:eastAsia="Times New Roman" w:hAnsi="Times New Roman"/>
          <w:sz w:val="18"/>
          <w:szCs w:val="18"/>
          <w:i w:val="1"/>
          <w:iCs w:val="1"/>
          <w:color w:val="auto"/>
        </w:rPr>
        <w:t>CRO Services</w:t>
      </w:r>
      <w:r>
        <w:rPr>
          <w:rFonts w:ascii="Times New Roman" w:cs="Times New Roman" w:eastAsia="Times New Roman" w:hAnsi="Times New Roman"/>
          <w:sz w:val="18"/>
          <w:szCs w:val="18"/>
          <w:color w:val="auto"/>
        </w:rPr>
        <w:t>”) rendered by CRL to the Company and its affiliates through December 31, 2012 with respect to the preclinical and clinical development of AV-101, and (ii) the CRL Warrant. The principal amount of the CRL Note may, at the Company’s option, be automatically increased as a result of future CRO Services rendered by CRL to the Company and its affiliates from January 1, 2013 to June 30, 2013. The CRL Note accrues interest at a rate of 7.5% compounded monthly, is due and payable on March 31, 2016 and is payable solely by CRL's surrender from time to time of all or a portion of the principal and interest balance due on the CRL Note in connection with its concurrent exercise of the CRL Warrant. Total interest expense, including amortization of the note discount, on the CRL Note for the three and nine month periods ended December 31, 2013 was $32,000 and $103,500, respectively, and $26,300 for both the three and nine month periods ended December 31, 2012.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Unit Private Placement</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Through February 10, 2014, the Company entered into additional securities purchase agreements with accredited investors pursuant to which it sold to such investors aggregate Units consisting of (i) one-year 10% convertible Unit Notes in the aggregate face amount of $390,000; (ii) an aggregate of 780,000 shares of the Company’s restricted common stock; and (iii) warrants exercisable through July 30, 2016 to purchase an aggregate of 780,000 restricted shares of the Company’s common stock at an exercise price of $1.00 per share. The Company received cash proceeds of $390,000 from the sales of the Units.</w:t>
      </w:r>
    </w:p>
    <w:p>
      <w:pPr>
        <w:sectPr>
          <w:pgSz w:w="11900" w:h="16838" w:orient="portrait"/>
          <w:cols w:equalWidth="0" w:num="1">
            <w:col w:w="11420"/>
          </w:cols>
          <w:pgMar w:left="240" w:top="124" w:right="2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S-1 of our report dated July 17, 2013 relating to the consolidated financial statements of VistaGen Therapeutics, Inc. which appear in such Registration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references to us under the heading “Experts” in such Registration Statement.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2014</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lvl w:ilvl="1">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lvl w:ilvl="1">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lowerRoman"/>
      <w:start w:val="4"/>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lvl w:ilvl="1">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decimal"/>
      <w:start w:val="2"/>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4"/>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decimal"/>
      <w:start w:val="9"/>
    </w:lvl>
  </w:abstractNum>
  <w:abstractNum w:abstractNumId="51">
    <w:nsid w:val="5DC79EA8"/>
    <w:multiLevelType w:val="hybridMultilevel"/>
    <w:lvl w:ilvl="0">
      <w:lvlJc w:val="left"/>
      <w:lvlText w:val="(%1)"/>
      <w:numFmt w:val="decimal"/>
      <w:start w:val="10"/>
    </w:lvl>
  </w:abstractNum>
  <w:abstractNum w:abstractNumId="52">
    <w:nsid w:val="540A471C"/>
    <w:multiLevelType w:val="hybridMultilevel"/>
    <w:lvl w:ilvl="0">
      <w:lvlJc w:val="left"/>
      <w:lvlText w:val="(%1)"/>
      <w:numFmt w:val="decimal"/>
      <w:start w:val="11"/>
    </w:lvl>
  </w:abstractNum>
  <w:abstractNum w:abstractNumId="53">
    <w:nsid w:val="7BD3EE7B"/>
    <w:multiLevelType w:val="hybridMultilevel"/>
    <w:lvl w:ilvl="0">
      <w:lvlJc w:val="left"/>
      <w:lvlText w:val="(%1)"/>
      <w:numFmt w:val="decimal"/>
      <w:start w:val="1"/>
    </w:lvl>
    <w:lvl w:ilvl="1">
      <w:lvlJc w:val="left"/>
      <w:lvlText w:val="(%2)"/>
      <w:numFmt w:val="decimal"/>
      <w:start w:val="2"/>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lvl w:ilvl="1">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7"/>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lowerRoman"/>
      <w:start w:val="2"/>
    </w:lvl>
  </w:abstractNum>
  <w:abstractNum w:abstractNumId="74">
    <w:nsid w:val="6F6DD9AC"/>
    <w:multiLevelType w:val="hybridMultilevel"/>
    <w:lvl w:ilvl="0">
      <w:lvlJc w:val="left"/>
      <w:lvlText w:val="(%1)"/>
      <w:numFmt w:val="decimal"/>
      <w:start w:val="2"/>
    </w:lvl>
  </w:abstractNum>
  <w:abstractNum w:abstractNumId="75">
    <w:nsid w:val="94211F2"/>
    <w:multiLevelType w:val="hybridMultilevel"/>
    <w:lvl w:ilvl="0">
      <w:lvlJc w:val="left"/>
      <w:lvlText w:val="(%1)"/>
      <w:numFmt w:val="decimal"/>
      <w:start w:val="4"/>
    </w:lvl>
  </w:abstractNum>
  <w:abstractNum w:abstractNumId="76">
    <w:nsid w:val="885E1B"/>
    <w:multiLevelType w:val="hybridMultilevel"/>
    <w:lvl w:ilvl="0">
      <w:lvlJc w:val="left"/>
      <w:lvlText w:val="(%1)"/>
      <w:numFmt w:val="upperLetter"/>
      <w:start w:val="1"/>
    </w:lvl>
  </w:abstractNum>
  <w:abstractNum w:abstractNumId="77">
    <w:nsid w:val="76272110"/>
    <w:multiLevelType w:val="hybridMultilevel"/>
    <w:lvl w:ilvl="0">
      <w:lvlJc w:val="left"/>
      <w:lvlText w:val="(%1)"/>
      <w:numFmt w:val="lowerRoman"/>
      <w:start w:val="2"/>
    </w:lvl>
  </w:abstractNum>
  <w:abstractNum w:abstractNumId="78">
    <w:nsid w:val="4C04A8AF"/>
    <w:multiLevelType w:val="hybridMultilevel"/>
    <w:lvl w:ilvl="0">
      <w:lvlJc w:val="left"/>
      <w:lvlText w:val="(%1)"/>
      <w:numFmt w:val="lowerRoman"/>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1)"/>
      <w:numFmt w:val="decimal"/>
      <w:start w:val="3"/>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lowerRoman"/>
      <w:start w:val="2"/>
    </w:lvl>
  </w:abstractNum>
  <w:abstractNum w:abstractNumId="87">
    <w:nsid w:val="39EE015C"/>
    <w:multiLevelType w:val="hybridMultilevel"/>
    <w:lvl w:ilvl="0">
      <w:lvlJc w:val="left"/>
      <w:lvlText w:val="(%1)"/>
      <w:numFmt w:val="lowerRoman"/>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lowerRoman"/>
      <w:start w:val="2"/>
    </w:lvl>
  </w:abstractNum>
  <w:abstractNum w:abstractNumId="91">
    <w:nsid w:val="60EF0119"/>
    <w:multiLevelType w:val="hybridMultilevel"/>
    <w:lvl w:ilvl="0">
      <w:lvlJc w:val="left"/>
      <w:lvlText w:val="%1."/>
      <w:numFmt w:val="decimal"/>
      <w:start w:val="17"/>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2020-01-27T11:09:27Z</dcterms:created>
  <dcterms:modified xsi:type="dcterms:W3CDTF">2020-01-27T11:09:27Z</dcterms:modified>
</cp:coreProperties>
</file>