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189230</wp:posOffset>
            </wp:positionH>
            <wp:positionV relativeFrom="page">
              <wp:posOffset>237490</wp:posOffset>
            </wp:positionV>
            <wp:extent cx="7170420"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0420" cy="24765"/>
                    </a:xfrm>
                    <a:prstGeom prst="rect">
                      <a:avLst/>
                    </a:prstGeom>
                    <a:noFill/>
                  </pic:spPr>
                </pic:pic>
              </a:graphicData>
            </a:graphic>
          </wp:anchor>
        </w:drawing>
        <w:drawing>
          <wp:anchor simplePos="0" relativeHeight="251657728" behindDoc="1" locked="0" layoutInCell="0" allowOverlap="1">
            <wp:simplePos x="0" y="0"/>
            <wp:positionH relativeFrom="page">
              <wp:posOffset>189230</wp:posOffset>
            </wp:positionH>
            <wp:positionV relativeFrom="page">
              <wp:posOffset>312420</wp:posOffset>
            </wp:positionV>
            <wp:extent cx="717042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0420" cy="6350"/>
                    </a:xfrm>
                    <a:prstGeom prst="rect">
                      <a:avLst/>
                    </a:prstGeom>
                    <a:noFill/>
                  </pic:spPr>
                </pic:pic>
              </a:graphicData>
            </a:graphic>
          </wp:anchor>
        </w:drawing>
        <w:t>UNITED STATES</w:t>
      </w:r>
    </w:p>
    <w:p>
      <w:pPr>
        <w:spacing w:after="0" w:line="18"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spacing w:after="0" w:line="7"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52"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FORM 8-K</w:t>
      </w:r>
    </w:p>
    <w:p>
      <w:pPr>
        <w:spacing w:after="0" w:line="163"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18"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64"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 xml:space="preserve">Date of Report (Date of earliest event reported): </w:t>
      </w:r>
      <w:r>
        <w:rPr>
          <w:rFonts w:ascii="Times New Roman" w:cs="Times New Roman" w:eastAsia="Times New Roman" w:hAnsi="Times New Roman"/>
          <w:sz w:val="13"/>
          <w:szCs w:val="13"/>
          <w:b w:val="1"/>
          <w:bCs w:val="1"/>
          <w:u w:val="single" w:color="auto"/>
          <w:color w:val="auto"/>
        </w:rPr>
        <w:t>October 13, 2020</w:t>
      </w:r>
    </w:p>
    <w:p>
      <w:pPr>
        <w:spacing w:after="0" w:line="153"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VistaGen Therapeutics, Inc.</w:t>
      </w:r>
    </w:p>
    <w:p>
      <w:pPr>
        <w:spacing w:after="0" w:line="18"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ectPr>
          <w:pgSz w:w="11900" w:h="16838" w:orient="portrait"/>
          <w:cols w:equalWidth="0" w:num="1">
            <w:col w:w="11282"/>
          </w:cols>
          <w:pgMar w:left="298" w:top="723" w:right="319" w:bottom="1440" w:gutter="0" w:footer="0" w:header="0"/>
        </w:sectPr>
      </w:pPr>
    </w:p>
    <w:p>
      <w:pPr>
        <w:spacing w:after="0" w:line="147" w:lineRule="exact"/>
        <w:rPr>
          <w:sz w:val="24"/>
          <w:szCs w:val="24"/>
          <w:color w:val="auto"/>
        </w:rPr>
      </w:pPr>
    </w:p>
    <w:p>
      <w:pPr>
        <w:jc w:val="center"/>
        <w:ind w:right="498"/>
        <w:spacing w:after="0"/>
        <w:rPr>
          <w:sz w:val="20"/>
          <w:szCs w:val="20"/>
          <w:color w:val="auto"/>
        </w:rPr>
      </w:pPr>
      <w:r>
        <w:rPr>
          <w:rFonts w:ascii="Times New Roman" w:cs="Times New Roman" w:eastAsia="Times New Roman" w:hAnsi="Times New Roman"/>
          <w:sz w:val="13"/>
          <w:szCs w:val="13"/>
          <w:b w:val="1"/>
          <w:bCs w:val="1"/>
          <w:color w:val="auto"/>
        </w:rPr>
        <w:t>NEVADA</w:t>
      </w:r>
    </w:p>
    <w:p>
      <w:pPr>
        <w:spacing w:after="0" w:line="18" w:lineRule="exact"/>
        <w:rPr>
          <w:sz w:val="24"/>
          <w:szCs w:val="24"/>
          <w:color w:val="auto"/>
        </w:rPr>
      </w:pPr>
    </w:p>
    <w:p>
      <w:pPr>
        <w:jc w:val="center"/>
        <w:ind w:right="498"/>
        <w:spacing w:after="0"/>
        <w:rPr>
          <w:sz w:val="20"/>
          <w:szCs w:val="20"/>
          <w:color w:val="auto"/>
        </w:rPr>
      </w:pPr>
      <w:r>
        <w:rPr>
          <w:rFonts w:ascii="Times New Roman" w:cs="Times New Roman" w:eastAsia="Times New Roman" w:hAnsi="Times New Roman"/>
          <w:sz w:val="12"/>
          <w:szCs w:val="12"/>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3"/>
          <w:szCs w:val="13"/>
          <w:b w:val="1"/>
          <w:bCs w:val="1"/>
          <w:color w:val="auto"/>
        </w:rPr>
        <w:t>000-54014</w:t>
      </w:r>
    </w:p>
    <w:p>
      <w:pPr>
        <w:spacing w:after="0" w:line="18"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2"/>
          <w:szCs w:val="12"/>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3"/>
          <w:szCs w:val="13"/>
          <w:b w:val="1"/>
          <w:bCs w:val="1"/>
          <w:color w:val="auto"/>
        </w:rPr>
        <w:t>20-5093315</w:t>
      </w:r>
    </w:p>
    <w:p>
      <w:pPr>
        <w:spacing w:after="0" w:line="18"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2"/>
          <w:szCs w:val="12"/>
          <w:i w:val="1"/>
          <w:iCs w:val="1"/>
          <w:color w:val="auto"/>
        </w:rPr>
        <w:t>(IRS Employer Identification Number)</w:t>
      </w:r>
    </w:p>
    <w:p>
      <w:pPr>
        <w:spacing w:after="0" w:line="164" w:lineRule="exact"/>
        <w:rPr>
          <w:sz w:val="24"/>
          <w:szCs w:val="24"/>
          <w:color w:val="auto"/>
        </w:rPr>
      </w:pPr>
    </w:p>
    <w:p>
      <w:pPr>
        <w:sectPr>
          <w:pgSz w:w="11900" w:h="16838" w:orient="portrait"/>
          <w:cols w:equalWidth="0" w:num="3">
            <w:col w:w="4222" w:space="720"/>
            <w:col w:w="2780" w:space="720"/>
            <w:col w:w="2840"/>
          </w:cols>
          <w:pgMar w:left="298" w:top="723" w:right="319" w:bottom="1440" w:gutter="0" w:footer="0" w:header="0"/>
          <w:type w:val="continuous"/>
        </w:sectPr>
      </w:pPr>
    </w:p>
    <w:p>
      <w:pPr>
        <w:ind w:left="5182"/>
        <w:spacing w:after="0"/>
        <w:rPr>
          <w:sz w:val="20"/>
          <w:szCs w:val="20"/>
          <w:color w:val="auto"/>
        </w:rPr>
      </w:pPr>
      <w:r>
        <w:rPr>
          <w:rFonts w:ascii="Times New Roman" w:cs="Times New Roman" w:eastAsia="Times New Roman" w:hAnsi="Times New Roman"/>
          <w:sz w:val="13"/>
          <w:szCs w:val="13"/>
          <w:b w:val="1"/>
          <w:bCs w:val="1"/>
          <w:color w:val="auto"/>
        </w:rPr>
        <w:t>343 Allerton Ave.</w:t>
      </w:r>
    </w:p>
    <w:p>
      <w:pPr>
        <w:spacing w:after="0" w:line="18" w:lineRule="exact"/>
        <w:rPr>
          <w:sz w:val="24"/>
          <w:szCs w:val="24"/>
          <w:color w:val="auto"/>
        </w:rPr>
      </w:pPr>
    </w:p>
    <w:p>
      <w:pPr>
        <w:ind w:left="4602"/>
        <w:spacing w:after="0"/>
        <w:rPr>
          <w:sz w:val="20"/>
          <w:szCs w:val="20"/>
          <w:color w:val="auto"/>
        </w:rPr>
      </w:pPr>
      <w:r>
        <w:rPr>
          <w:rFonts w:ascii="Times New Roman" w:cs="Times New Roman" w:eastAsia="Times New Roman" w:hAnsi="Times New Roman"/>
          <w:sz w:val="13"/>
          <w:szCs w:val="13"/>
          <w:b w:val="1"/>
          <w:bCs w:val="1"/>
          <w:color w:val="auto"/>
        </w:rPr>
        <w:t>South San Francisco, California 94090</w:t>
      </w:r>
    </w:p>
    <w:p>
      <w:pPr>
        <w:spacing w:after="0" w:line="7" w:lineRule="exact"/>
        <w:rPr>
          <w:sz w:val="24"/>
          <w:szCs w:val="24"/>
          <w:color w:val="auto"/>
        </w:rPr>
      </w:pPr>
    </w:p>
    <w:p>
      <w:pPr>
        <w:ind w:left="4662"/>
        <w:spacing w:after="0"/>
        <w:rPr>
          <w:sz w:val="20"/>
          <w:szCs w:val="20"/>
          <w:color w:val="auto"/>
        </w:rPr>
      </w:pPr>
      <w:r>
        <w:rPr>
          <w:rFonts w:ascii="Times New Roman" w:cs="Times New Roman" w:eastAsia="Times New Roman" w:hAnsi="Times New Roman"/>
          <w:sz w:val="13"/>
          <w:szCs w:val="13"/>
          <w:i w:val="1"/>
          <w:iCs w:val="1"/>
          <w:color w:val="auto"/>
        </w:rPr>
        <w:t>(Address of principal executive offices)</w:t>
      </w:r>
    </w:p>
    <w:p>
      <w:pPr>
        <w:spacing w:after="0" w:line="152" w:lineRule="exact"/>
        <w:rPr>
          <w:sz w:val="24"/>
          <w:szCs w:val="24"/>
          <w:color w:val="auto"/>
        </w:rPr>
      </w:pPr>
    </w:p>
    <w:p>
      <w:pPr>
        <w:jc w:val="center"/>
        <w:ind w:right="-21"/>
        <w:spacing w:after="0"/>
        <w:rPr>
          <w:sz w:val="20"/>
          <w:szCs w:val="20"/>
          <w:color w:val="auto"/>
        </w:rPr>
      </w:pPr>
      <w:r>
        <w:rPr>
          <w:rFonts w:ascii="Times New Roman" w:cs="Times New Roman" w:eastAsia="Times New Roman" w:hAnsi="Times New Roman"/>
          <w:sz w:val="13"/>
          <w:szCs w:val="13"/>
          <w:b w:val="1"/>
          <w:bCs w:val="1"/>
          <w:color w:val="auto"/>
        </w:rPr>
        <w:t>(650) 577-3600</w:t>
      </w:r>
    </w:p>
    <w:p>
      <w:pPr>
        <w:spacing w:after="0" w:line="18" w:lineRule="exact"/>
        <w:rPr>
          <w:sz w:val="24"/>
          <w:szCs w:val="24"/>
          <w:color w:val="auto"/>
        </w:rPr>
      </w:pPr>
    </w:p>
    <w:p>
      <w:pPr>
        <w:jc w:val="center"/>
        <w:ind w:right="-21"/>
        <w:spacing w:after="0"/>
        <w:rPr>
          <w:sz w:val="20"/>
          <w:szCs w:val="20"/>
          <w:color w:val="auto"/>
        </w:rPr>
      </w:pPr>
      <w:r>
        <w:rPr>
          <w:rFonts w:ascii="Times New Roman" w:cs="Times New Roman" w:eastAsia="Times New Roman" w:hAnsi="Times New Roman"/>
          <w:sz w:val="13"/>
          <w:szCs w:val="13"/>
          <w:i w:val="1"/>
          <w:iCs w:val="1"/>
          <w:color w:val="auto"/>
        </w:rPr>
        <w:t>(Registrant’s telephone number, including area code)</w:t>
      </w:r>
    </w:p>
    <w:p>
      <w:pPr>
        <w:spacing w:after="0" w:line="152" w:lineRule="exact"/>
        <w:rPr>
          <w:sz w:val="24"/>
          <w:szCs w:val="24"/>
          <w:color w:val="auto"/>
        </w:rPr>
      </w:pPr>
    </w:p>
    <w:p>
      <w:pPr>
        <w:jc w:val="center"/>
        <w:ind w:right="-21"/>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8" w:lineRule="exact"/>
        <w:rPr>
          <w:sz w:val="24"/>
          <w:szCs w:val="24"/>
          <w:color w:val="auto"/>
        </w:rPr>
      </w:pPr>
    </w:p>
    <w:p>
      <w:pPr>
        <w:jc w:val="center"/>
        <w:ind w:right="-41"/>
        <w:spacing w:after="0"/>
        <w:rPr>
          <w:sz w:val="20"/>
          <w:szCs w:val="20"/>
          <w:color w:val="auto"/>
        </w:rPr>
      </w:pPr>
      <w:r>
        <w:rPr>
          <w:rFonts w:ascii="Times New Roman" w:cs="Times New Roman" w:eastAsia="Times New Roman" w:hAnsi="Times New Roman"/>
          <w:sz w:val="12"/>
          <w:szCs w:val="12"/>
          <w:i w:val="1"/>
          <w:iCs w:val="1"/>
          <w:color w:val="auto"/>
        </w:rPr>
        <w:t>(Former name or former address, if changed since last report)</w:t>
      </w:r>
    </w:p>
    <w:p>
      <w:pPr>
        <w:sectPr>
          <w:pgSz w:w="11900" w:h="16838" w:orient="portrait"/>
          <w:cols w:equalWidth="0" w:num="1">
            <w:col w:w="11282"/>
          </w:cols>
          <w:pgMar w:left="298" w:top="723" w:right="319" w:bottom="1440" w:gutter="0" w:footer="0" w:header="0"/>
          <w:type w:val="continuous"/>
        </w:sectPr>
      </w:pPr>
    </w:p>
    <w:p>
      <w:pPr>
        <w:spacing w:after="0" w:line="273" w:lineRule="exact"/>
        <w:rPr>
          <w:sz w:val="24"/>
          <w:szCs w:val="24"/>
          <w:color w:val="auto"/>
        </w:rPr>
      </w:pPr>
    </w:p>
    <w:p>
      <w:pPr>
        <w:ind w:left="2"/>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114" w:lineRule="exact"/>
        <w:rPr>
          <w:sz w:val="24"/>
          <w:szCs w:val="24"/>
          <w:color w:val="auto"/>
        </w:rPr>
      </w:pPr>
    </w:p>
    <w:p>
      <w:pPr>
        <w:ind w:left="142" w:hanging="142"/>
        <w:spacing w:after="0"/>
        <w:tabs>
          <w:tab w:leader="none" w:pos="142"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20" w:lineRule="exact"/>
        <w:rPr>
          <w:rFonts w:ascii="MS PGothic" w:cs="MS PGothic" w:eastAsia="MS PGothic" w:hAnsi="MS PGothic"/>
          <w:sz w:val="13"/>
          <w:szCs w:val="13"/>
          <w:color w:val="auto"/>
        </w:rPr>
      </w:pPr>
    </w:p>
    <w:p>
      <w:pPr>
        <w:ind w:left="142" w:hanging="142"/>
        <w:spacing w:after="0"/>
        <w:tabs>
          <w:tab w:leader="none" w:pos="142"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 -12)</w:t>
      </w:r>
    </w:p>
    <w:p>
      <w:pPr>
        <w:spacing w:after="0" w:line="6" w:lineRule="exact"/>
        <w:rPr>
          <w:rFonts w:ascii="MS PGothic" w:cs="MS PGothic" w:eastAsia="MS PGothic" w:hAnsi="MS PGothic"/>
          <w:sz w:val="13"/>
          <w:szCs w:val="13"/>
          <w:color w:val="auto"/>
        </w:rPr>
      </w:pPr>
    </w:p>
    <w:p>
      <w:pPr>
        <w:ind w:left="142" w:hanging="142"/>
        <w:spacing w:after="0"/>
        <w:tabs>
          <w:tab w:leader="none" w:pos="142"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 -2(b))</w:t>
      </w:r>
    </w:p>
    <w:p>
      <w:pPr>
        <w:spacing w:after="0" w:line="6" w:lineRule="exact"/>
        <w:rPr>
          <w:rFonts w:ascii="MS PGothic" w:cs="MS PGothic" w:eastAsia="MS PGothic" w:hAnsi="MS PGothic"/>
          <w:sz w:val="13"/>
          <w:szCs w:val="13"/>
          <w:color w:val="auto"/>
        </w:rPr>
      </w:pPr>
    </w:p>
    <w:p>
      <w:pPr>
        <w:ind w:left="142" w:hanging="142"/>
        <w:spacing w:after="0"/>
        <w:tabs>
          <w:tab w:leader="none" w:pos="142"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 -4(c))</w:t>
      </w:r>
    </w:p>
    <w:p>
      <w:pPr>
        <w:spacing w:after="0" w:line="149" w:lineRule="exact"/>
        <w:rPr>
          <w:sz w:val="24"/>
          <w:szCs w:val="24"/>
          <w:color w:val="auto"/>
        </w:rPr>
      </w:pPr>
    </w:p>
    <w:tbl>
      <w:tblPr>
        <w:tblLayout w:type="fixed"/>
        <w:tblInd w:w="2" w:type="dxa"/>
        <w:tblCellMar>
          <w:top w:w="0" w:type="dxa"/>
          <w:left w:w="0" w:type="dxa"/>
          <w:bottom w:w="0" w:type="dxa"/>
          <w:right w:w="0" w:type="dxa"/>
        </w:tblCellMar>
      </w:tblPr>
      <w:tr>
        <w:trPr>
          <w:trHeight w:val="165"/>
        </w:trPr>
        <w:tc>
          <w:tcPr>
            <w:tcW w:w="42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84"/>
        </w:trPr>
        <w:tc>
          <w:tcPr>
            <w:tcW w:w="18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40" w:type="dxa"/>
            <w:vAlign w:val="bottom"/>
            <w:gridSpan w:val="2"/>
          </w:tcPr>
          <w:p>
            <w:pPr>
              <w:jc w:val="center"/>
              <w:ind w:right="1780"/>
              <w:spacing w:after="0"/>
              <w:rPr>
                <w:sz w:val="20"/>
                <w:szCs w:val="20"/>
                <w:color w:val="auto"/>
              </w:rPr>
            </w:pPr>
            <w:r>
              <w:rPr>
                <w:rFonts w:ascii="Times New Roman" w:cs="Times New Roman" w:eastAsia="Times New Roman" w:hAnsi="Times New Roman"/>
                <w:sz w:val="13"/>
                <w:szCs w:val="13"/>
                <w:color w:val="auto"/>
                <w:w w:val="97"/>
              </w:rPr>
              <w:t>Trading Symbol(s)</w:t>
            </w: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Name of each exchange on which registered</w:t>
            </w:r>
          </w:p>
        </w:tc>
      </w:tr>
      <w:tr>
        <w:trPr>
          <w:trHeight w:val="20"/>
        </w:trPr>
        <w:tc>
          <w:tcPr>
            <w:tcW w:w="1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r>
        <w:trPr>
          <w:trHeight w:val="165"/>
        </w:trPr>
        <w:tc>
          <w:tcPr>
            <w:tcW w:w="4260" w:type="dxa"/>
            <w:vAlign w:val="bottom"/>
            <w:gridSpan w:val="3"/>
          </w:tcPr>
          <w:p>
            <w:pPr>
              <w:jc w:val="center"/>
              <w:ind w:left="197"/>
              <w:spacing w:after="0"/>
              <w:rPr>
                <w:sz w:val="20"/>
                <w:szCs w:val="20"/>
                <w:color w:val="auto"/>
              </w:rPr>
            </w:pPr>
            <w:r>
              <w:rPr>
                <w:rFonts w:ascii="Times New Roman" w:cs="Times New Roman" w:eastAsia="Times New Roman" w:hAnsi="Times New Roman"/>
                <w:sz w:val="13"/>
                <w:szCs w:val="13"/>
                <w:color w:val="auto"/>
                <w:w w:val="97"/>
              </w:rPr>
              <w:t>Common Stock, par value $0.001 per share</w:t>
            </w:r>
          </w:p>
        </w:tc>
        <w:tc>
          <w:tcPr>
            <w:tcW w:w="900" w:type="dxa"/>
            <w:vAlign w:val="bottom"/>
          </w:tcPr>
          <w:p>
            <w:pPr>
              <w:spacing w:after="0"/>
              <w:rPr>
                <w:sz w:val="14"/>
                <w:szCs w:val="14"/>
                <w:color w:val="auto"/>
              </w:rPr>
            </w:pPr>
          </w:p>
        </w:tc>
        <w:tc>
          <w:tcPr>
            <w:tcW w:w="2740" w:type="dxa"/>
            <w:vAlign w:val="bottom"/>
            <w:gridSpan w:val="2"/>
          </w:tcPr>
          <w:p>
            <w:pPr>
              <w:jc w:val="center"/>
              <w:ind w:right="1760"/>
              <w:spacing w:after="0"/>
              <w:rPr>
                <w:sz w:val="20"/>
                <w:szCs w:val="20"/>
                <w:color w:val="auto"/>
              </w:rPr>
            </w:pPr>
            <w:r>
              <w:rPr>
                <w:rFonts w:ascii="Times New Roman" w:cs="Times New Roman" w:eastAsia="Times New Roman" w:hAnsi="Times New Roman"/>
                <w:sz w:val="13"/>
                <w:szCs w:val="13"/>
                <w:color w:val="auto"/>
                <w:w w:val="94"/>
              </w:rPr>
              <w:t>VTGN</w:t>
            </w: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Nasdaq Capital Market</w:t>
            </w:r>
          </w:p>
        </w:tc>
      </w:tr>
    </w:tbl>
    <w:p>
      <w:pPr>
        <w:spacing w:after="0" w:line="147" w:lineRule="exact"/>
        <w:rPr>
          <w:sz w:val="24"/>
          <w:szCs w:val="24"/>
          <w:color w:val="auto"/>
        </w:rPr>
      </w:pPr>
    </w:p>
    <w:p>
      <w:pPr>
        <w:ind w:left="2"/>
        <w:spacing w:after="0" w:line="276"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(17 CFR 230.405) or Rule 12b-2 of the Securities Exchange Act of 1934 (17 CFR 240.12b-2)</w:t>
      </w:r>
    </w:p>
    <w:p>
      <w:pPr>
        <w:spacing w:after="0" w:line="104" w:lineRule="exact"/>
        <w:rPr>
          <w:sz w:val="24"/>
          <w:szCs w:val="24"/>
          <w:color w:val="auto"/>
        </w:rPr>
      </w:pPr>
    </w:p>
    <w:p>
      <w:pPr>
        <w:ind w:left="9702"/>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95" w:lineRule="exact"/>
        <w:rPr>
          <w:sz w:val="24"/>
          <w:szCs w:val="24"/>
          <w:color w:val="auto"/>
        </w:rPr>
      </w:pPr>
    </w:p>
    <w:p>
      <w:pPr>
        <w:ind w:left="2"/>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358140</wp:posOffset>
            </wp:positionV>
            <wp:extent cx="717042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042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414020</wp:posOffset>
            </wp:positionV>
            <wp:extent cx="7170420"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0420"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575310</wp:posOffset>
            </wp:positionV>
            <wp:extent cx="7170420"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0420" cy="12700"/>
                    </a:xfrm>
                    <a:prstGeom prst="rect">
                      <a:avLst/>
                    </a:prstGeom>
                    <a:noFill/>
                  </pic:spPr>
                </pic:pic>
              </a:graphicData>
            </a:graphic>
          </wp:anchor>
        </w:drawing>
      </w:r>
    </w:p>
    <w:p>
      <w:pPr>
        <w:sectPr>
          <w:pgSz w:w="11900" w:h="16838" w:orient="portrait"/>
          <w:cols w:equalWidth="0" w:num="1">
            <w:col w:w="11282"/>
          </w:cols>
          <w:pgMar w:left="298" w:top="723"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color w:val="auto"/>
        </w:rPr>
        <w:t>Item 3.01 Notice of Delisting or Failure to Satisfy a Continued Listing Rule or Standard; Transfer of Listing.</w:t>
      </w:r>
    </w:p>
    <w:p>
      <w:pPr>
        <w:spacing w:after="0" w:line="183" w:lineRule="exact"/>
        <w:rPr>
          <w:sz w:val="20"/>
          <w:szCs w:val="20"/>
          <w:color w:val="auto"/>
        </w:rPr>
      </w:pPr>
    </w:p>
    <w:p>
      <w:pPr>
        <w:jc w:val="both"/>
        <w:ind w:firstLine="469"/>
        <w:spacing w:after="0" w:line="265" w:lineRule="auto"/>
        <w:rPr>
          <w:sz w:val="20"/>
          <w:szCs w:val="20"/>
          <w:color w:val="auto"/>
        </w:rPr>
      </w:pPr>
      <w:r>
        <w:rPr>
          <w:rFonts w:ascii="Times New Roman" w:cs="Times New Roman" w:eastAsia="Times New Roman" w:hAnsi="Times New Roman"/>
          <w:sz w:val="13"/>
          <w:szCs w:val="13"/>
          <w:color w:val="auto"/>
        </w:rPr>
        <w:t>On October 13, 2020, VistaGen Therapeutics, Inc. (the “</w:t>
      </w:r>
      <w:r>
        <w:rPr>
          <w:rFonts w:ascii="Times New Roman" w:cs="Times New Roman" w:eastAsia="Times New Roman" w:hAnsi="Times New Roman"/>
          <w:sz w:val="13"/>
          <w:szCs w:val="13"/>
          <w:i w:val="1"/>
          <w:iCs w:val="1"/>
          <w:color w:val="auto"/>
        </w:rPr>
        <w:t>Company</w:t>
      </w:r>
      <w:r>
        <w:rPr>
          <w:rFonts w:ascii="Times New Roman" w:cs="Times New Roman" w:eastAsia="Times New Roman" w:hAnsi="Times New Roman"/>
          <w:sz w:val="13"/>
          <w:szCs w:val="13"/>
          <w:color w:val="auto"/>
        </w:rPr>
        <w:t>”) received a letter (the “</w:t>
      </w:r>
      <w:r>
        <w:rPr>
          <w:rFonts w:ascii="Times New Roman" w:cs="Times New Roman" w:eastAsia="Times New Roman" w:hAnsi="Times New Roman"/>
          <w:sz w:val="13"/>
          <w:szCs w:val="13"/>
          <w:i w:val="1"/>
          <w:iCs w:val="1"/>
          <w:color w:val="auto"/>
        </w:rPr>
        <w:t>Extension Notice</w:t>
      </w:r>
      <w:r>
        <w:rPr>
          <w:rFonts w:ascii="Times New Roman" w:cs="Times New Roman" w:eastAsia="Times New Roman" w:hAnsi="Times New Roman"/>
          <w:sz w:val="13"/>
          <w:szCs w:val="13"/>
          <w:color w:val="auto"/>
        </w:rPr>
        <w:t>”) from the Listing Qualifications Staff of The Nasdaq Stock Market, LLC (“</w:t>
      </w:r>
      <w:r>
        <w:rPr>
          <w:rFonts w:ascii="Times New Roman" w:cs="Times New Roman" w:eastAsia="Times New Roman" w:hAnsi="Times New Roman"/>
          <w:sz w:val="13"/>
          <w:szCs w:val="13"/>
          <w:i w:val="1"/>
          <w:iCs w:val="1"/>
          <w:color w:val="auto"/>
        </w:rPr>
        <w:t>Nasdaq</w:t>
      </w:r>
      <w:r>
        <w:rPr>
          <w:rFonts w:ascii="Times New Roman" w:cs="Times New Roman" w:eastAsia="Times New Roman" w:hAnsi="Times New Roman"/>
          <w:sz w:val="13"/>
          <w:szCs w:val="13"/>
          <w:color w:val="auto"/>
        </w:rPr>
        <w:t>”) notifying the Company that Nasdaq has granted the Company a 180-day extension, until April 12, 2021 (the “</w:t>
      </w:r>
      <w:r>
        <w:rPr>
          <w:rFonts w:ascii="Times New Roman" w:cs="Times New Roman" w:eastAsia="Times New Roman" w:hAnsi="Times New Roman"/>
          <w:sz w:val="13"/>
          <w:szCs w:val="13"/>
          <w:i w:val="1"/>
          <w:iCs w:val="1"/>
          <w:color w:val="auto"/>
        </w:rPr>
        <w:t>Extension Period</w:t>
      </w:r>
      <w:r>
        <w:rPr>
          <w:rFonts w:ascii="Times New Roman" w:cs="Times New Roman" w:eastAsia="Times New Roman" w:hAnsi="Times New Roman"/>
          <w:sz w:val="13"/>
          <w:szCs w:val="13"/>
          <w:color w:val="auto"/>
        </w:rPr>
        <w:t>”), to regain compliance with the requirement for the Company’s common stock (“</w:t>
      </w:r>
      <w:r>
        <w:rPr>
          <w:rFonts w:ascii="Times New Roman" w:cs="Times New Roman" w:eastAsia="Times New Roman" w:hAnsi="Times New Roman"/>
          <w:sz w:val="13"/>
          <w:szCs w:val="13"/>
          <w:i w:val="1"/>
          <w:iCs w:val="1"/>
          <w:color w:val="auto"/>
        </w:rPr>
        <w:t>Common Stock</w:t>
      </w:r>
      <w:r>
        <w:rPr>
          <w:rFonts w:ascii="Times New Roman" w:cs="Times New Roman" w:eastAsia="Times New Roman" w:hAnsi="Times New Roman"/>
          <w:sz w:val="13"/>
          <w:szCs w:val="13"/>
          <w:color w:val="auto"/>
        </w:rPr>
        <w:t>”) to maintain a minimum bid price of $1.00 per share for continued listing on the Nasdaq Capital Market, as set forth in Nasdaq Listing Rule 5550(a)(2) (the “</w:t>
      </w:r>
      <w:r>
        <w:rPr>
          <w:rFonts w:ascii="Times New Roman" w:cs="Times New Roman" w:eastAsia="Times New Roman" w:hAnsi="Times New Roman"/>
          <w:sz w:val="13"/>
          <w:szCs w:val="13"/>
          <w:i w:val="1"/>
          <w:iCs w:val="1"/>
          <w:color w:val="auto"/>
        </w:rPr>
        <w:t>Minimum Bid Price Requirement</w:t>
      </w:r>
      <w:r>
        <w:rPr>
          <w:rFonts w:ascii="Times New Roman" w:cs="Times New Roman" w:eastAsia="Times New Roman" w:hAnsi="Times New Roman"/>
          <w:sz w:val="13"/>
          <w:szCs w:val="13"/>
          <w:color w:val="auto"/>
        </w:rPr>
        <w: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Extension Notice has no immediate effect on the continued listing status of the Company's Common Stock on the Nasdaq Capital Market.</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Company's listing remains fully effective.</w:t>
      </w:r>
    </w:p>
    <w:p>
      <w:pPr>
        <w:spacing w:after="0" w:line="163" w:lineRule="exact"/>
        <w:rPr>
          <w:sz w:val="20"/>
          <w:szCs w:val="20"/>
          <w:color w:val="auto"/>
        </w:rPr>
      </w:pPr>
    </w:p>
    <w:p>
      <w:pPr>
        <w:jc w:val="both"/>
        <w:ind w:firstLine="469"/>
        <w:spacing w:after="0" w:line="259" w:lineRule="auto"/>
        <w:rPr>
          <w:sz w:val="20"/>
          <w:szCs w:val="20"/>
          <w:color w:val="auto"/>
        </w:rPr>
      </w:pPr>
      <w:r>
        <w:rPr>
          <w:rFonts w:ascii="Times New Roman" w:cs="Times New Roman" w:eastAsia="Times New Roman" w:hAnsi="Times New Roman"/>
          <w:sz w:val="13"/>
          <w:szCs w:val="13"/>
          <w:color w:val="auto"/>
        </w:rPr>
        <w:t>As previously disclosed in the Company’s Current Report on Form 8-K, filed on January 31, 2020, the Company received notice from Nasdaq that the Company was not in compliance with the Minimum Bid Price Requirement for a period of 30 consecutive business days (the “</w:t>
      </w:r>
      <w:r>
        <w:rPr>
          <w:rFonts w:ascii="Times New Roman" w:cs="Times New Roman" w:eastAsia="Times New Roman" w:hAnsi="Times New Roman"/>
          <w:sz w:val="13"/>
          <w:szCs w:val="13"/>
          <w:i w:val="1"/>
          <w:iCs w:val="1"/>
          <w:color w:val="auto"/>
        </w:rPr>
        <w:t>Initial Notice</w:t>
      </w:r>
      <w:r>
        <w:rPr>
          <w:rFonts w:ascii="Times New Roman" w:cs="Times New Roman" w:eastAsia="Times New Roman" w:hAnsi="Times New Roman"/>
          <w:sz w:val="13"/>
          <w:szCs w:val="13"/>
          <w:color w:val="auto"/>
        </w:rPr>
        <w:t>”). As provided in the Initial Notice, the Company had a 180-day period, until July 29, 2020, to regain compliance with the Minimum Bid Price Requirement, which period was extended by Nasdaq until October 12, 2020 as a result of the impact on the global market caused by the COVID-19 pandemic. The Company did not regain compliance with the Minimum Bid Price Requirement before October 12, 2020, and instead advised Nasdaq of its intent to cure the deficiency within the Extension Period.</w:t>
      </w:r>
    </w:p>
    <w:p>
      <w:pPr>
        <w:spacing w:after="0" w:line="136" w:lineRule="exact"/>
        <w:rPr>
          <w:sz w:val="20"/>
          <w:szCs w:val="20"/>
          <w:color w:val="auto"/>
        </w:rPr>
      </w:pPr>
    </w:p>
    <w:p>
      <w:pPr>
        <w:jc w:val="both"/>
        <w:ind w:firstLine="469"/>
        <w:spacing w:after="0" w:line="259" w:lineRule="auto"/>
        <w:rPr>
          <w:sz w:val="20"/>
          <w:szCs w:val="20"/>
          <w:color w:val="auto"/>
        </w:rPr>
      </w:pPr>
      <w:r>
        <w:rPr>
          <w:rFonts w:ascii="Times New Roman" w:cs="Times New Roman" w:eastAsia="Times New Roman" w:hAnsi="Times New Roman"/>
          <w:sz w:val="13"/>
          <w:szCs w:val="13"/>
          <w:color w:val="auto"/>
        </w:rPr>
        <w:t>The Company will continue to monitor the closing bid price of its Common Stock and seek to regain compliance with the Minimum Bid Price Requirement within the Extension Period. If the Company does not regain compliance with the Minimum Bid Price Requirement within the Extension Period, Nasdaq will provide written notification to the Company that its Common Stock will be subject to delisting, at which time the Company may appeal Nasdaq’s delisting determination to a Nasdaq Hearing Panel (the “</w:t>
      </w:r>
      <w:r>
        <w:rPr>
          <w:rFonts w:ascii="Times New Roman" w:cs="Times New Roman" w:eastAsia="Times New Roman" w:hAnsi="Times New Roman"/>
          <w:sz w:val="13"/>
          <w:szCs w:val="13"/>
          <w:i w:val="1"/>
          <w:iCs w:val="1"/>
          <w:color w:val="auto"/>
        </w:rPr>
        <w:t>Panel</w:t>
      </w:r>
      <w:r>
        <w:rPr>
          <w:rFonts w:ascii="Times New Roman" w:cs="Times New Roman" w:eastAsia="Times New Roman" w:hAnsi="Times New Roman"/>
          <w:sz w:val="13"/>
          <w:szCs w:val="13"/>
          <w:color w:val="auto"/>
        </w:rPr>
        <w:t>”). There can be no assurance that, if the Company does need to appeal a Nasdaq delisting determination to the Panel, that such appeal would be successful.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On October 13, 2020, the Company began utilizing a new corporate presentation. A copy of the updated corporate presentation is attached to this Current Report on Form 8-K as Exhibit 99.1.</w:t>
      </w:r>
    </w:p>
    <w:p>
      <w:pPr>
        <w:spacing w:after="0" w:line="163" w:lineRule="exact"/>
        <w:rPr>
          <w:sz w:val="20"/>
          <w:szCs w:val="20"/>
          <w:color w:val="auto"/>
        </w:rPr>
      </w:pPr>
    </w:p>
    <w:p>
      <w:pPr>
        <w:jc w:val="both"/>
        <w:ind w:firstLine="469"/>
        <w:spacing w:after="0" w:line="263" w:lineRule="auto"/>
        <w:rPr>
          <w:sz w:val="20"/>
          <w:szCs w:val="20"/>
          <w:color w:val="auto"/>
        </w:rPr>
      </w:pPr>
      <w:r>
        <w:rPr>
          <w:rFonts w:ascii="Times New Roman" w:cs="Times New Roman" w:eastAsia="Times New Roman" w:hAnsi="Times New Roman"/>
          <w:sz w:val="13"/>
          <w:szCs w:val="13"/>
          <w:color w:val="auto"/>
        </w:rPr>
        <w:t>The information in this Item 7.01 of this Current Report on Form 8-K, including the information set forth in Exhibit 99.1, is being furnished and shall not be deemed “filed” for purposes of Section 18 of the Securities Exchange Act of 1934, as amended (the “</w:t>
      </w:r>
      <w:r>
        <w:rPr>
          <w:rFonts w:ascii="Times New Roman" w:cs="Times New Roman" w:eastAsia="Times New Roman" w:hAnsi="Times New Roman"/>
          <w:sz w:val="13"/>
          <w:szCs w:val="13"/>
          <w:i w:val="1"/>
          <w:iCs w:val="1"/>
          <w:color w:val="auto"/>
        </w:rPr>
        <w:t>Exchange Act</w:t>
      </w:r>
      <w:r>
        <w:rPr>
          <w:rFonts w:ascii="Times New Roman" w:cs="Times New Roman" w:eastAsia="Times New Roman" w:hAnsi="Times New Roman"/>
          <w:sz w:val="13"/>
          <w:szCs w:val="13"/>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(d) Exhibits.</w:t>
      </w:r>
    </w:p>
    <w:p>
      <w:pPr>
        <w:spacing w:after="0" w:line="16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See Exhibit Index.</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Disclaimer.</w:t>
      </w:r>
    </w:p>
    <w:p>
      <w:pPr>
        <w:spacing w:after="0" w:line="165" w:lineRule="exact"/>
        <w:rPr>
          <w:sz w:val="20"/>
          <w:szCs w:val="20"/>
          <w:color w:val="auto"/>
        </w:rPr>
      </w:pPr>
    </w:p>
    <w:p>
      <w:pPr>
        <w:jc w:val="both"/>
        <w:ind w:firstLine="469"/>
        <w:spacing w:after="0" w:line="295" w:lineRule="auto"/>
        <w:rPr>
          <w:sz w:val="20"/>
          <w:szCs w:val="20"/>
          <w:color w:val="auto"/>
        </w:rPr>
      </w:pPr>
      <w:r>
        <w:rPr>
          <w:rFonts w:ascii="Times New Roman" w:cs="Times New Roman" w:eastAsia="Times New Roman" w:hAnsi="Times New Roman"/>
          <w:sz w:val="12"/>
          <w:szCs w:val="12"/>
          <w:color w:val="auto"/>
        </w:rPr>
        <w:t>This Current Report on Form 8-K may contain, among other things, certain forward-looking statements within the meaning of the Private Securities Litigation Reform Act of 1995, including, without limitation, (i) statements with respect to the Company's plans, objectives, expectations and intentions; and (ii) other statements identified by words such as "may", "could", "would", should", "believes", "expects", "anticipates", "estimates", "intends", "plans" or similar expressions. These statements are based upon the current beliefs and expectations of the Company's management and are subject to significant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278765</wp:posOffset>
            </wp:positionV>
            <wp:extent cx="7170420"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0420" cy="12700"/>
                    </a:xfrm>
                    <a:prstGeom prst="rect">
                      <a:avLst/>
                    </a:prstGeom>
                    <a:noFill/>
                  </pic:spPr>
                </pic:pic>
              </a:graphicData>
            </a:graphic>
          </wp:anchor>
        </w:drawing>
      </w:r>
    </w:p>
    <w:p>
      <w:pPr>
        <w:sectPr>
          <w:pgSz w:w="11900" w:h="16838" w:orient="portrait"/>
          <w:cols w:equalWidth="0" w:num="1">
            <w:col w:w="11280"/>
          </w:cols>
          <w:pgMar w:left="300" w:top="596" w:right="319" w:bottom="1440" w:gutter="0" w:footer="0" w:header="0"/>
        </w:sectPr>
      </w:pPr>
    </w:p>
    <w:bookmarkStart w:id="2" w:name="page3"/>
    <w:bookmarkEnd w:id="2"/>
    <w:p>
      <w:pPr>
        <w:jc w:val="center"/>
        <w:ind w:left="46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20" w:type="dxa"/>
            <w:vAlign w:val="bottom"/>
          </w:tcPr>
          <w:p>
            <w:pPr>
              <w:spacing w:after="0"/>
              <w:rPr>
                <w:sz w:val="14"/>
                <w:szCs w:val="14"/>
                <w:color w:val="auto"/>
              </w:rPr>
            </w:pPr>
          </w:p>
        </w:tc>
        <w:tc>
          <w:tcPr>
            <w:tcW w:w="7960" w:type="dxa"/>
            <w:vAlign w:val="bottom"/>
            <w:gridSpan w:val="3"/>
          </w:tcPr>
          <w:p>
            <w:pPr>
              <w:ind w:left="2100"/>
              <w:spacing w:after="0"/>
              <w:rPr>
                <w:sz w:val="20"/>
                <w:szCs w:val="20"/>
                <w:color w:val="auto"/>
              </w:rPr>
            </w:pPr>
            <w:r>
              <w:rPr>
                <w:rFonts w:ascii="Times New Roman" w:cs="Times New Roman" w:eastAsia="Times New Roman" w:hAnsi="Times New Roman"/>
                <w:sz w:val="13"/>
                <w:szCs w:val="13"/>
                <w:color w:val="auto"/>
              </w:rPr>
              <w:t>VistaGen Therapeutics, Inc.</w:t>
            </w:r>
          </w:p>
        </w:tc>
      </w:tr>
      <w:tr>
        <w:trPr>
          <w:trHeight w:val="284"/>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Date: October 13, 2020</w:t>
            </w:r>
          </w:p>
        </w:tc>
        <w:tc>
          <w:tcPr>
            <w:tcW w:w="2660" w:type="dxa"/>
            <w:vAlign w:val="bottom"/>
          </w:tcPr>
          <w:p>
            <w:pPr>
              <w:ind w:left="2100"/>
              <w:spacing w:after="0"/>
              <w:rPr>
                <w:sz w:val="20"/>
                <w:szCs w:val="20"/>
                <w:color w:val="auto"/>
              </w:rPr>
            </w:pPr>
            <w:r>
              <w:rPr>
                <w:rFonts w:ascii="Times New Roman" w:cs="Times New Roman" w:eastAsia="Times New Roman" w:hAnsi="Times New Roman"/>
                <w:sz w:val="13"/>
                <w:szCs w:val="13"/>
                <w:color w:val="auto"/>
              </w:rPr>
              <w:t>By:</w:t>
            </w: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/s/ Shawn K. Singh</w:t>
            </w:r>
          </w:p>
        </w:tc>
      </w:tr>
      <w:tr>
        <w:trPr>
          <w:trHeight w:val="20"/>
        </w:trPr>
        <w:tc>
          <w:tcPr>
            <w:tcW w:w="33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56"/>
        </w:trPr>
        <w:tc>
          <w:tcPr>
            <w:tcW w:w="33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Shawn K. Singh, J.D.</w:t>
            </w:r>
          </w:p>
        </w:tc>
      </w:tr>
      <w:tr>
        <w:trPr>
          <w:trHeight w:val="165"/>
        </w:trPr>
        <w:tc>
          <w:tcPr>
            <w:tcW w:w="33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Chief Executive Officer</w:t>
            </w:r>
          </w:p>
        </w:tc>
      </w:tr>
      <w:tr>
        <w:trPr>
          <w:trHeight w:val="1095"/>
        </w:trPr>
        <w:tc>
          <w:tcPr>
            <w:tcW w:w="33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440" w:right="3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360" w:type="dxa"/>
            <w:vAlign w:val="bottom"/>
          </w:tcPr>
          <w:p>
            <w:pPr>
              <w:ind w:left="3240"/>
              <w:spacing w:after="0"/>
              <w:rPr>
                <w:sz w:val="20"/>
                <w:szCs w:val="20"/>
                <w:color w:val="auto"/>
              </w:rPr>
            </w:pPr>
            <w:r>
              <w:rPr>
                <w:rFonts w:ascii="Times New Roman" w:cs="Times New Roman" w:eastAsia="Times New Roman" w:hAnsi="Times New Roman"/>
                <w:sz w:val="13"/>
                <w:szCs w:val="13"/>
                <w:b w:val="1"/>
                <w:bCs w:val="1"/>
                <w:color w:val="auto"/>
              </w:rPr>
              <w:t>EXHIBIT INDEX</w:t>
            </w:r>
          </w:p>
        </w:tc>
      </w:tr>
      <w:tr>
        <w:trPr>
          <w:trHeight w:val="313"/>
        </w:trPr>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440" w:type="dxa"/>
            <w:vAlign w:val="bottom"/>
          </w:tcPr>
          <w:p>
            <w:pPr>
              <w:spacing w:after="0"/>
              <w:rPr>
                <w:sz w:val="24"/>
                <w:szCs w:val="24"/>
                <w:color w:val="auto"/>
              </w:rPr>
            </w:pPr>
          </w:p>
        </w:tc>
        <w:tc>
          <w:tcPr>
            <w:tcW w:w="9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56"/>
        </w:trPr>
        <w:tc>
          <w:tcPr>
            <w:tcW w:w="1480" w:type="dxa"/>
            <w:vAlign w:val="bottom"/>
            <w:shd w:val="clear" w:color="auto" w:fill="CCEEFF"/>
          </w:tcPr>
          <w:p>
            <w:pPr>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99.1</w:t>
              </w:r>
            </w:hyperlink>
          </w:p>
        </w:tc>
        <w:tc>
          <w:tcPr>
            <w:tcW w:w="9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VistaGen Therapeutics, Inc. Corporate Presentation, dated October 2020.</w:t>
            </w:r>
          </w:p>
        </w:tc>
      </w:tr>
      <w:tr>
        <w:trPr>
          <w:trHeight w:val="781"/>
        </w:trPr>
        <w:tc>
          <w:tcPr>
            <w:tcW w:w="1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440" w:right="319" w:bottom="1440" w:gutter="0" w:footer="0" w:header="0"/>
        </w:sectPr>
      </w:pPr>
    </w:p>
    <w:bookmarkStart w:id="4" w:name="page5"/>
    <w:bookmarkEnd w:id="4"/>
    <w:p>
      <w:pPr>
        <w:ind w:left="950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354330</wp:posOffset>
            </wp:positionV>
            <wp:extent cx="7214870" cy="56692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0" w:num="1">
            <w:col w:w="10160"/>
          </w:cols>
          <w:pgMar w:left="1440" w:top="245" w:right="29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2020-10-13T16:08:18Z</dcterms:created>
  <dcterms:modified xsi:type="dcterms:W3CDTF">2020-10-13T16:08:18Z</dcterms:modified>
</cp:coreProperties>
</file>