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sta8kapr102013.htm"/>
      <w:bookmarkStart w:id="1" w:name="ksvsta8kapr102013"/>
      <w:bookmarkStart w:id="2" w:name="vsta8kapr102013.htm"/>
      <w:bookmarkStart w:id="3" w:name="ksvsta8kapr102013"/>
      <w:bookmarkEnd w:id="2"/>
      <w:bookmarkEnd w:id="3"/>
    </w:p>
    <w:p>
      <w:pPr>
        <w:pStyle w:val="HorizontalLine"/>
        <w:pBdr>
          <w:bottom w:val="single" w:sz="6" w:space="0" w:color="808080"/>
        </w:pBdr>
        <w:rPr/>
      </w:pPr>
      <w:r>
        <w:rPr/>
      </w:r>
    </w:p>
    <w:p>
      <w:pPr>
        <w:pStyle w:val="TextBody"/>
        <w:spacing w:before="0" w:after="0"/>
        <w:ind w:left="0" w:right="26"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27"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27"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27" w:hanging="0"/>
        <w:jc w:val="center"/>
        <w:rPr/>
      </w:pPr>
      <w:r>
        <w:rPr/>
        <w:t> </w:t>
      </w:r>
    </w:p>
    <w:p>
      <w:pPr>
        <w:pStyle w:val="TextBody"/>
        <w:spacing w:before="0" w:after="0"/>
        <w:ind w:left="0" w:right="27" w:hanging="0"/>
        <w:jc w:val="center"/>
        <w:rPr>
          <w:rFonts w:ascii="Times New Roman" w:hAnsi="Times New Roman"/>
          <w:b/>
          <w:sz w:val="36"/>
        </w:rPr>
      </w:pPr>
      <w:r>
        <w:rPr>
          <w:rFonts w:ascii="Times New Roman" w:hAnsi="Times New Roman"/>
          <w:b/>
          <w:sz w:val="36"/>
        </w:rPr>
        <w:t>FORM 8-K</w:t>
      </w:r>
    </w:p>
    <w:p>
      <w:pPr>
        <w:pStyle w:val="TextBody"/>
        <w:spacing w:before="0" w:after="0"/>
        <w:ind w:left="0" w:right="0" w:hanging="0"/>
        <w:jc w:val="both"/>
        <w:rPr/>
      </w:pPr>
      <w:r>
        <w:rPr/>
        <w:t> </w:t>
      </w:r>
    </w:p>
    <w:p>
      <w:pPr>
        <w:pStyle w:val="TextBody"/>
        <w:spacing w:before="0" w:after="0"/>
        <w:ind w:left="0" w:right="2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370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19" w:hanging="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sz w:val="20"/>
          <w:u w:val="single"/>
        </w:rPr>
        <w:t>April 8, 2013</w:t>
      </w:r>
    </w:p>
    <w:p>
      <w:pPr>
        <w:pStyle w:val="TextBody"/>
        <w:spacing w:before="0" w:after="0"/>
        <w:ind w:left="0" w:right="19" w:hanging="0"/>
        <w:jc w:val="center"/>
        <w:rPr/>
      </w:pPr>
      <w:r>
        <w:rPr/>
        <w:t> </w:t>
      </w:r>
    </w:p>
    <w:p>
      <w:pPr>
        <w:pStyle w:val="TextBody"/>
        <w:spacing w:before="0" w:after="0"/>
        <w:ind w:left="0" w:right="19" w:hanging="0"/>
        <w:jc w:val="center"/>
        <w:rPr>
          <w:rFonts w:ascii="Times New Roman" w:hAnsi="Times New Roman"/>
          <w:sz w:val="20"/>
        </w:rPr>
      </w:pPr>
      <w:r>
        <w:rPr>
          <w:rFonts w:ascii="Times New Roman" w:hAnsi="Times New Roman"/>
          <w:sz w:val="20"/>
        </w:rPr>
        <w:t xml:space="preserve">Commission File Number: </w:t>
      </w:r>
      <w:r>
        <w:rPr>
          <w:rFonts w:ascii="Times New Roman" w:hAnsi="Times New Roman"/>
          <w:sz w:val="20"/>
          <w:u w:val="single"/>
        </w:rPr>
        <w:t>000-54014</w:t>
      </w:r>
    </w:p>
    <w:p>
      <w:pPr>
        <w:pStyle w:val="TextBody"/>
        <w:spacing w:before="0" w:after="0"/>
        <w:ind w:left="0" w:right="0" w:hanging="0"/>
        <w:jc w:val="both"/>
        <w:rPr/>
      </w:pPr>
      <w:r>
        <w:rPr/>
        <w:t> </w:t>
      </w:r>
    </w:p>
    <w:p>
      <w:pPr>
        <w:pStyle w:val="TextBody"/>
        <w:spacing w:before="0" w:after="0"/>
        <w:ind w:left="0" w:right="5" w:hanging="0"/>
        <w:jc w:val="center"/>
        <w:rPr>
          <w:rFonts w:ascii="Times New Roman" w:hAnsi="Times New Roman"/>
          <w:b/>
          <w:sz w:val="44"/>
        </w:rPr>
      </w:pPr>
      <w:r>
        <w:rPr>
          <w:rFonts w:ascii="Times New Roman" w:hAnsi="Times New Roman"/>
          <w:b/>
          <w:sz w:val="44"/>
        </w:rPr>
        <w:t>VistaGen Therapeutics, Inc.</w:t>
      </w:r>
    </w:p>
    <w:p>
      <w:pPr>
        <w:pStyle w:val="TextBody"/>
        <w:spacing w:before="0" w:after="0"/>
        <w:ind w:left="0" w:right="19" w:hanging="0"/>
        <w:jc w:val="center"/>
        <w:rPr>
          <w:rFonts w:ascii="Times New Roman" w:hAnsi="Times New Roman"/>
          <w:sz w:val="20"/>
        </w:rPr>
      </w:pPr>
      <w:r>
        <w:rPr>
          <w:rFonts w:ascii="Times New Roman" w:hAnsi="Times New Roman"/>
          <w:sz w:val="20"/>
        </w:rPr>
        <w:t>(Exact name of small business issuer as specified in its charter)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Nevada</w:t>
      </w:r>
    </w:p>
    <w:p>
      <w:pPr>
        <w:pStyle w:val="TextBody"/>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205093315</w:t>
      </w:r>
    </w:p>
    <w:p>
      <w:pPr>
        <w:pStyle w:val="TextBody"/>
        <w:spacing w:before="0" w:after="0"/>
        <w:ind w:left="0" w:right="0" w:hanging="0"/>
        <w:jc w:val="center"/>
        <w:rPr>
          <w:rFonts w:ascii="Times New Roman" w:hAnsi="Times New Roman"/>
          <w:sz w:val="20"/>
        </w:rPr>
      </w:pPr>
      <w:r>
        <w:rPr>
          <w:rFonts w:ascii="Times New Roman" w:hAnsi="Times New Roman"/>
          <w:sz w:val="20"/>
        </w:rPr>
        <w:t>(IRS Employer Identification No.)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384 Oyster Point Blvd, No. 8, South San Francisco, California 94080</w:t>
      </w:r>
    </w:p>
    <w:p>
      <w:pPr>
        <w:pStyle w:val="TextBody"/>
        <w:spacing w:before="0" w:after="0"/>
        <w:ind w:left="0" w:right="0" w:hanging="0"/>
        <w:jc w:val="center"/>
        <w:rPr>
          <w:rFonts w:ascii="Times New Roman" w:hAnsi="Times New Roman"/>
          <w:sz w:val="20"/>
        </w:rPr>
      </w:pPr>
      <w:r>
        <w:rPr>
          <w:rFonts w:ascii="Times New Roman" w:hAnsi="Times New Roman"/>
          <w:sz w:val="20"/>
        </w:rPr>
        <w:t>(Address of principal executive offices)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650-244-9990</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Not Applicable</w:t>
      </w:r>
    </w:p>
    <w:p>
      <w:pPr>
        <w:pStyle w:val="TextBody"/>
        <w:spacing w:before="0" w:after="0"/>
        <w:ind w:left="0" w:right="19" w:hanging="0"/>
        <w:jc w:val="center"/>
        <w:rPr>
          <w:rFonts w:ascii="Times New Roman" w:hAnsi="Times New Roman"/>
          <w:sz w:val="20"/>
        </w:rPr>
      </w:pPr>
      <w:r>
        <w:rPr>
          <w:rFonts w:ascii="Times New Roman" w:hAnsi="Times New Roman"/>
          <w:sz w:val="20"/>
        </w:rPr>
        <w:t>(Former Name or Former Address, if Changed Since Last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 Written communications pursuant to Rule 425 under the Securities Act (17 CFR 230.425)</w:t>
      </w:r>
    </w:p>
    <w:p>
      <w:pPr>
        <w:pStyle w:val="TextBody"/>
        <w:spacing w:before="0" w:after="0"/>
        <w:ind w:left="0" w:right="0" w:hanging="0"/>
        <w:jc w:val="left"/>
        <w:rPr>
          <w:rFonts w:ascii="Times New Roman" w:hAnsi="Times New Roman"/>
          <w:sz w:val="20"/>
        </w:rPr>
      </w:pPr>
      <w:r>
        <w:rPr>
          <w:rFonts w:ascii="Times New Roman" w:hAnsi="Times New Roman"/>
          <w:sz w:val="20"/>
        </w:rPr>
        <w:t>[   ] Soliciting material pursuant to Rule 14a-12 under the Exchange Act (17 CFR 240.14a-12)</w:t>
      </w:r>
    </w:p>
    <w:p>
      <w:pPr>
        <w:pStyle w:val="TextBody"/>
        <w:spacing w:before="0" w:after="0"/>
        <w:ind w:left="0" w:right="0" w:hanging="0"/>
        <w:jc w:val="left"/>
        <w:rPr>
          <w:rFonts w:ascii="Times New Roman" w:hAnsi="Times New Roman"/>
          <w:sz w:val="20"/>
        </w:rPr>
      </w:pPr>
      <w:r>
        <w:rPr>
          <w:rFonts w:ascii="Times New Roman" w:hAnsi="Times New Roman"/>
          <w:sz w:val="20"/>
        </w:rPr>
        <w:t>[   ] Pre-commencement communications pursuant to Rule 14d-2(b) under the Exchange Act (17 CFR 240.14d-2(b))</w:t>
      </w:r>
    </w:p>
    <w:p>
      <w:pPr>
        <w:pStyle w:val="TextBody"/>
        <w:spacing w:before="0" w:after="0"/>
        <w:ind w:left="0" w:right="0" w:hanging="0"/>
        <w:jc w:val="left"/>
        <w:rPr>
          <w:rFonts w:ascii="Times New Roman" w:hAnsi="Times New Roman"/>
          <w:sz w:val="20"/>
        </w:rPr>
      </w:pPr>
      <w:r>
        <w:rPr>
          <w:rFonts w:ascii="Times New Roman" w:hAnsi="Times New Roman"/>
          <w:sz w:val="20"/>
        </w:rPr>
        <w:t>[   ] Pre-commencement communications pursuant to Rule 13e-4(c) under the Exchange Act (17 CFR 240.13e-4(c))</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193" w:hanging="0"/>
        <w:jc w:val="left"/>
        <w:rPr>
          <w:rFonts w:ascii="Times New Roman" w:hAnsi="Times New Roman"/>
          <w:b/>
          <w:sz w:val="20"/>
        </w:rPr>
      </w:pPr>
      <w:r>
        <w:rPr>
          <w:rFonts w:ascii="Times New Roman" w:hAnsi="Times New Roman"/>
          <w:b/>
          <w:sz w:val="20"/>
        </w:rPr>
        <w:t>Item 1.01  Entry into a Material Definitive Agreement.</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i/>
          <w:sz w:val="20"/>
        </w:rPr>
      </w:pPr>
      <w:r>
        <w:rPr>
          <w:rFonts w:ascii="Times New Roman" w:hAnsi="Times New Roman"/>
          <w:i/>
          <w:sz w:val="20"/>
        </w:rPr>
        <w:t>Securities Purchase Agreement</w:t>
      </w:r>
    </w:p>
    <w:p>
      <w:pPr>
        <w:pStyle w:val="TextBody"/>
        <w:spacing w:before="0" w:after="0"/>
        <w:ind w:left="0" w:right="0" w:hanging="0"/>
        <w:jc w:val="both"/>
        <w:rPr/>
      </w:pPr>
      <w:r>
        <w:rPr/>
        <w:t> </w:t>
      </w:r>
    </w:p>
    <w:p>
      <w:pPr>
        <w:pStyle w:val="TextBody"/>
        <w:spacing w:before="0" w:after="0"/>
        <w:ind w:left="0" w:right="0" w:hanging="0"/>
        <w:jc w:val="both"/>
        <w:rPr/>
      </w:pPr>
      <w:bookmarkStart w:id="4" w:name="TAB2"/>
      <w:bookmarkEnd w:id="4"/>
      <w:r>
        <w:rPr>
          <w:spacing w:val="180"/>
        </w:rPr>
        <w:t>   </w:t>
      </w:r>
      <w:r>
        <w:rPr/>
        <w:t> </w:t>
      </w:r>
      <w:r>
        <w:rPr>
          <w:rFonts w:ascii="Times New Roman" w:hAnsi="Times New Roman"/>
          <w:sz w:val="20"/>
        </w:rPr>
        <w:t>On April 8, 2013, VistaGen Therapeutics, Inc. (the “</w:t>
      </w:r>
      <w:r>
        <w:rPr>
          <w:rFonts w:ascii="Times New Roman" w:hAnsi="Times New Roman"/>
          <w:i/>
          <w:sz w:val="20"/>
        </w:rPr>
        <w:t>Company</w:t>
      </w:r>
      <w:r>
        <w:rPr>
          <w:rFonts w:ascii="Times New Roman" w:hAnsi="Times New Roman"/>
          <w:sz w:val="20"/>
        </w:rPr>
        <w:t>”) and Autilion AG (the “</w:t>
      </w:r>
      <w:r>
        <w:rPr>
          <w:rFonts w:ascii="Times New Roman" w:hAnsi="Times New Roman"/>
          <w:i/>
          <w:sz w:val="20"/>
        </w:rPr>
        <w:t>Purchaser</w:t>
      </w:r>
      <w:r>
        <w:rPr>
          <w:rFonts w:ascii="Times New Roman" w:hAnsi="Times New Roman"/>
          <w:sz w:val="20"/>
        </w:rPr>
        <w:t>”) entered into a Securities Purchase Agreement pursuant to which the Company has agreed to sell, and the Purchaser has agreed to purchase, 72.0 million shares of the Company’s Common Stock, for $0.50 per share, on or before April 30, 2013 (the “</w:t>
      </w:r>
      <w:r>
        <w:rPr>
          <w:rFonts w:ascii="Times New Roman" w:hAnsi="Times New Roman"/>
          <w:i/>
          <w:sz w:val="20"/>
        </w:rPr>
        <w:t>Financing</w:t>
      </w:r>
      <w:r>
        <w:rPr>
          <w:rFonts w:ascii="Times New Roman" w:hAnsi="Times New Roman"/>
          <w:sz w:val="20"/>
        </w:rPr>
        <w:t>”).  The Securities Purchase Agreement contains standard representations and warranties and provides that closing is subject to usual and customary closing conditions.  The Securities Purchase Agreement also provides for the election of one designee of the Purchaser to the Company’s Board of Directors.</w:t>
      </w:r>
    </w:p>
    <w:p>
      <w:pPr>
        <w:pStyle w:val="TextBody"/>
        <w:spacing w:before="0" w:after="0"/>
        <w:ind w:left="0" w:right="0" w:hanging="0"/>
        <w:rPr/>
      </w:pPr>
      <w:r>
        <w:rPr/>
        <w:t> </w:t>
      </w:r>
    </w:p>
    <w:p>
      <w:pPr>
        <w:pStyle w:val="TextBody"/>
        <w:spacing w:before="0" w:after="0"/>
        <w:ind w:left="0" w:right="0" w:hanging="0"/>
        <w:jc w:val="both"/>
        <w:rPr/>
      </w:pPr>
      <w:bookmarkStart w:id="5" w:name="TAB21"/>
      <w:bookmarkEnd w:id="5"/>
      <w:r>
        <w:rPr>
          <w:spacing w:val="180"/>
        </w:rPr>
        <w:t>   </w:t>
      </w:r>
      <w:r>
        <w:rPr/>
        <w:t> </w:t>
      </w:r>
      <w:r>
        <w:rPr>
          <w:rFonts w:ascii="Times New Roman" w:hAnsi="Times New Roman"/>
          <w:sz w:val="20"/>
        </w:rPr>
        <w:t>Upon closing, the Company will receive gross proceeds of $36.0 million, and the Purchaser will beneficially own in excess of a majority of the Company's currently issued and outstanding Common Stock. No warrants were issued in connection with, and no underwriters or agents are involved in the Financing. A copy of the Securities Purchase Agreement is attached to this Current Report on Form 8-K as Exhibit 10.1.</w:t>
      </w:r>
    </w:p>
    <w:p>
      <w:pPr>
        <w:pStyle w:val="TextBody"/>
        <w:spacing w:before="0" w:after="0"/>
        <w:ind w:left="0" w:right="0" w:hanging="0"/>
        <w:jc w:val="both"/>
        <w:rPr/>
      </w:pPr>
      <w:r>
        <w:rPr/>
        <w:t> </w:t>
      </w:r>
    </w:p>
    <w:p>
      <w:pPr>
        <w:pStyle w:val="TextBody"/>
        <w:spacing w:before="0" w:after="0"/>
        <w:ind w:left="0" w:right="0" w:hanging="0"/>
        <w:jc w:val="both"/>
        <w:rPr/>
      </w:pPr>
      <w:bookmarkStart w:id="6" w:name="TAB22"/>
      <w:bookmarkEnd w:id="6"/>
      <w:r>
        <w:rPr>
          <w:spacing w:val="180"/>
        </w:rPr>
        <w:t>   </w:t>
      </w:r>
      <w:r>
        <w:rPr/>
        <w:t> </w:t>
      </w:r>
      <w:r>
        <w:rPr/>
        <w:t>The Company issued a press release on April 10, 2013 announcing the execution of the Securities Purchase Agreement.  A copy of the press release is attached hereto as Exhibit 99.1</w:t>
      </w:r>
    </w:p>
    <w:p>
      <w:pPr>
        <w:pStyle w:val="TextBody"/>
        <w:spacing w:before="0" w:after="0"/>
        <w:ind w:left="0" w:right="0" w:hanging="0"/>
        <w:rPr/>
      </w:pPr>
      <w:r>
        <w:rPr/>
        <w:t> </w:t>
      </w:r>
    </w:p>
    <w:p>
      <w:pPr>
        <w:pStyle w:val="TextBody"/>
        <w:spacing w:before="0" w:after="0"/>
        <w:ind w:left="0" w:right="0" w:hanging="0"/>
        <w:rPr>
          <w:rFonts w:ascii="Times New Roman" w:hAnsi="Times New Roman"/>
          <w:i/>
          <w:sz w:val="20"/>
        </w:rPr>
      </w:pPr>
      <w:r>
        <w:rPr>
          <w:rFonts w:ascii="Times New Roman" w:hAnsi="Times New Roman"/>
          <w:i/>
          <w:sz w:val="20"/>
        </w:rPr>
        <w:t>Voting Agreement</w:t>
      </w:r>
    </w:p>
    <w:p>
      <w:pPr>
        <w:pStyle w:val="TextBody"/>
        <w:spacing w:before="0" w:after="0"/>
        <w:ind w:left="0" w:right="0" w:hanging="0"/>
        <w:jc w:val="both"/>
        <w:rPr/>
      </w:pPr>
      <w:r>
        <w:rPr/>
        <w:t> </w:t>
      </w:r>
    </w:p>
    <w:p>
      <w:pPr>
        <w:pStyle w:val="TextBody"/>
        <w:spacing w:before="0" w:after="0"/>
        <w:ind w:left="0" w:right="0" w:hanging="0"/>
        <w:jc w:val="both"/>
        <w:rPr>
          <w:caps w:val="false"/>
          <w:smallCaps w:val="false"/>
        </w:rPr>
      </w:pPr>
      <w:bookmarkStart w:id="7" w:name="TAB23"/>
      <w:bookmarkEnd w:id="7"/>
      <w:r>
        <w:rPr>
          <w:caps w:val="false"/>
          <w:smallCaps w:val="false"/>
          <w:spacing w:val="180"/>
        </w:rPr>
        <w:t>   </w:t>
      </w:r>
      <w:r>
        <w:rPr>
          <w:caps w:val="false"/>
          <w:smallCaps w:val="false"/>
        </w:rPr>
        <w:t> </w:t>
      </w:r>
      <w:r>
        <w:rPr>
          <w:rFonts w:ascii="times new roman" w:hAnsi="times new roman"/>
          <w:i w:val="false"/>
          <w:caps w:val="false"/>
          <w:smallCaps w:val="false"/>
          <w:sz w:val="20"/>
        </w:rPr>
        <w:t>Contemporaneous with the execution of the Securities Purchase Agreement, the Company and the Purchaser entered into a Voting Agreement, pursuant to which the Purchaser agreed to vote all shares of capital stock of the Company held by the Purchaser consistent with the recommendation of a majority of the members of the Company’s Board of Directors.  In addition, in the event of a Change in Control of the Company, as defined in the Voting Agreement, or an extraordinary transaction outside of the ordinary course of the Company’s business, in each case approved by a majority of the Company’s Board of Directors, including the Purchaser Designee, as well as by the holders of a majority of the outstanding shares of Common Stock held by stockholders unaffiliated with the Purchaser (an “Approved Transaction”), the Purchaser is required to vote all shares of capital stock of the Company held by the Purchaser for such Approved Transaction.  A copy of the Voting Agreement is attached to this Current Report on Form 8-K as Exhibit 10.2.</w:t>
      </w:r>
    </w:p>
    <w:p>
      <w:pPr>
        <w:pStyle w:val="TextBody"/>
        <w:spacing w:before="0" w:after="0"/>
        <w:ind w:left="0" w:right="0" w:hanging="0"/>
        <w:rPr/>
      </w:pPr>
      <w:r>
        <w:rPr/>
        <w:t> </w:t>
      </w:r>
    </w:p>
    <w:p>
      <w:pPr>
        <w:pStyle w:val="TextBody"/>
        <w:spacing w:before="0" w:after="0"/>
        <w:ind w:left="0" w:right="0" w:hanging="0"/>
        <w:rPr>
          <w:rFonts w:ascii="Times New Roman" w:hAnsi="Times New Roman"/>
          <w:i/>
          <w:sz w:val="20"/>
        </w:rPr>
      </w:pPr>
      <w:r>
        <w:rPr>
          <w:rFonts w:ascii="Times New Roman" w:hAnsi="Times New Roman"/>
          <w:i/>
          <w:sz w:val="20"/>
        </w:rPr>
        <w:t>Conversion of Debt; Termination of Security Interest</w:t>
      </w:r>
    </w:p>
    <w:p>
      <w:pPr>
        <w:pStyle w:val="TextBody"/>
        <w:spacing w:before="0" w:after="0"/>
        <w:ind w:left="0" w:right="0" w:hanging="0"/>
        <w:jc w:val="both"/>
        <w:rPr/>
      </w:pPr>
      <w:r>
        <w:rPr/>
        <w:t> </w:t>
      </w:r>
    </w:p>
    <w:p>
      <w:pPr>
        <w:pStyle w:val="TextBody"/>
        <w:spacing w:before="0" w:after="0"/>
        <w:ind w:left="0" w:right="0" w:hanging="0"/>
        <w:jc w:val="both"/>
        <w:rPr/>
      </w:pPr>
      <w:bookmarkStart w:id="8" w:name="TAB24"/>
      <w:bookmarkEnd w:id="8"/>
      <w:r>
        <w:rPr>
          <w:spacing w:val="180"/>
        </w:rPr>
        <w:t>   </w:t>
      </w:r>
      <w:r>
        <w:rPr/>
        <w:t> </w:t>
      </w:r>
      <w:r>
        <w:rPr>
          <w:rFonts w:ascii="Times New Roman" w:hAnsi="Times New Roman"/>
          <w:sz w:val="20"/>
        </w:rPr>
        <w:t>Upon consummation of the Financing, Platinum Long Term Growth VII, LLC (“</w:t>
      </w:r>
      <w:r>
        <w:rPr>
          <w:rFonts w:ascii="Times New Roman" w:hAnsi="Times New Roman"/>
          <w:i/>
          <w:sz w:val="20"/>
        </w:rPr>
        <w:t>Platinum</w:t>
      </w:r>
      <w:r>
        <w:rPr>
          <w:rFonts w:ascii="Times New Roman" w:hAnsi="Times New Roman"/>
          <w:sz w:val="20"/>
        </w:rPr>
        <w:t>”) has agreed to convert all of its Senior Secured Convertible Promissory Notes issued by the Company, in the aggregate principal amount of approximately $3.3 million plus accrued but unpaid interest into approximately 6.8 million restricted shares of the Company’s Common Stock at a conversion price of $0.50 per share; and to (i) terminate a certain Amended and Restated Security Agreement, pursuant to which Platinum was granted a security interest in substantially all of the Company’s assets; (ii) terminate a Negative Covenant prohibiting VistaGen Therapeutics, Inc., a wholly owned subsidiary of the Company (“</w:t>
      </w:r>
      <w:r>
        <w:rPr>
          <w:rFonts w:ascii="Times New Roman" w:hAnsi="Times New Roman"/>
          <w:i/>
          <w:sz w:val="20"/>
        </w:rPr>
        <w:t>VistaGen California</w:t>
      </w:r>
      <w:r>
        <w:rPr>
          <w:rFonts w:ascii="Times New Roman" w:hAnsi="Times New Roman"/>
          <w:sz w:val="20"/>
        </w:rPr>
        <w:t>”), and Artemis Neuroscience, Inc., a wholly owned subsidiary of VistaGen California (“</w:t>
      </w:r>
      <w:r>
        <w:rPr>
          <w:rFonts w:ascii="Times New Roman" w:hAnsi="Times New Roman"/>
          <w:i/>
          <w:sz w:val="20"/>
        </w:rPr>
        <w:t>Artemis</w:t>
      </w:r>
      <w:r>
        <w:rPr>
          <w:rFonts w:ascii="Times New Roman" w:hAnsi="Times New Roman"/>
          <w:sz w:val="20"/>
        </w:rPr>
        <w:t>”), from incurring, among other things, certain kinds of liens or indebtedness, and from agreeing to any merger or other organizational change; and (iii) terminate the Intellectual Property and Stock Pledge Agreement, pursuant to which Platinum was granted a security interest in all intellectual property of VistaGen California, and all of the capital stock and other equity interests of VistaGen California in Artemis.  A copy of the Note Conversion Agreement is attached to this Current Report on Form 8-K as Exhibit 10.3.</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Disclaimer</w:t>
      </w:r>
    </w:p>
    <w:p>
      <w:pPr>
        <w:pStyle w:val="TextBody"/>
        <w:spacing w:before="0" w:after="0"/>
        <w:ind w:left="0" w:right="0" w:hanging="0"/>
        <w:rPr/>
      </w:pPr>
      <w:r>
        <w:rPr/>
        <w:t> </w:t>
      </w:r>
    </w:p>
    <w:p>
      <w:pPr>
        <w:pStyle w:val="TextBody"/>
        <w:spacing w:before="0" w:after="0"/>
        <w:ind w:left="0" w:right="0" w:hanging="0"/>
        <w:jc w:val="both"/>
        <w:rPr/>
      </w:pPr>
      <w:bookmarkStart w:id="9" w:name="TAB25"/>
      <w:bookmarkEnd w:id="9"/>
      <w:r>
        <w:rPr>
          <w:spacing w:val="180"/>
        </w:rPr>
        <w:t>   </w:t>
      </w:r>
      <w:r>
        <w:rPr/>
        <w:t> </w:t>
      </w:r>
      <w:r>
        <w:rPr>
          <w:rFonts w:ascii="Times New Roman" w:hAnsi="Times New Roman"/>
          <w:sz w:val="20"/>
        </w:rPr>
        <w:t>The descriptions of the Securities Purchase Agreement, Voting Agreement and Note Conversion Agreement do not purport to be complete, and are qualified in their entirety by reference to the full text of the Securities Purchase Agreement, Voting agreement and Note Conversion Agreement, attached as Exhibit 10.1, 10.2 and 10.3, respectively, to this Current Report on Form 8-K, and are incorporates herein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jc w:val="both"/>
        <w:rPr/>
      </w:pPr>
      <w:r>
        <w:rPr/>
        <w:t> </w:t>
      </w:r>
    </w:p>
    <w:p>
      <w:pPr>
        <w:pStyle w:val="TextBody"/>
        <w:spacing w:before="0" w:after="0"/>
        <w:ind w:left="0" w:right="0" w:hanging="0"/>
        <w:rPr/>
      </w:pPr>
      <w:bookmarkStart w:id="10" w:name="TAB26"/>
      <w:bookmarkEnd w:id="10"/>
      <w:r>
        <w:rPr>
          <w:spacing w:val="180"/>
        </w:rPr>
        <w:t>   </w:t>
      </w:r>
      <w:r>
        <w:rPr/>
        <w:t> </w:t>
      </w:r>
      <w:r>
        <w:rPr>
          <w:rFonts w:ascii="Times New Roman" w:hAnsi="Times New Roman"/>
          <w:sz w:val="20"/>
        </w:rPr>
        <w:t>See Exhibit Index.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Disclaimer</w:t>
      </w:r>
    </w:p>
    <w:p>
      <w:pPr>
        <w:pStyle w:val="TextBody"/>
        <w:spacing w:before="0" w:after="0"/>
        <w:ind w:left="0" w:right="0" w:hanging="0"/>
        <w:jc w:val="both"/>
        <w:rPr/>
      </w:pPr>
      <w:r>
        <w:rPr/>
        <w:t> </w:t>
      </w:r>
    </w:p>
    <w:p>
      <w:pPr>
        <w:pStyle w:val="TextBody"/>
        <w:spacing w:before="0" w:after="0"/>
        <w:ind w:left="0" w:right="0" w:hanging="0"/>
        <w:jc w:val="both"/>
        <w:rPr/>
      </w:pPr>
      <w:bookmarkStart w:id="11" w:name="TAB27"/>
      <w:bookmarkEnd w:id="11"/>
      <w:r>
        <w:rPr>
          <w:spacing w:val="180"/>
        </w:rPr>
        <w:t>   </w:t>
      </w:r>
      <w:r>
        <w:rPr/>
        <w:t> </w:t>
      </w:r>
      <w:r>
        <w:rPr>
          <w:rFonts w:ascii="Times New Roman" w:hAnsi="Times New Roman"/>
          <w:b w:val="false"/>
          <w:sz w:val="20"/>
        </w:rPr>
        <w:t>The descriptions of the Securities Purchase Agreement, Voting Agreement and Note Conversion Agreement do not purport to be complete, and are qualified in their entirety by reference to the full text of the Securities Purchase Agreement, Voting agreement and Note Conversion Agreement, attached as Exhibit 10.1, 10.2 and 10.3, respectively, to this Current Report on Form 8-K, and are incorporates herein by reference.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 w:name="PGBRK"/>
      <w:bookmarkStart w:id="13" w:name="PGBRK"/>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FTR"/>
      <w:bookmarkStart w:id="15" w:name="FT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 w:name="GLFTR"/>
      <w:bookmarkEnd w:id="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 w:name="PN"/>
      <w:bookmarkEnd w:id="1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HDR"/>
      <w:bookmarkStart w:id="19" w:name="HDR"/>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 w:name="GLHDR"/>
      <w:bookmarkEnd w:id="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Date:  </w:t>
      </w:r>
      <w:r>
        <w:rPr>
          <w:rFonts w:ascii="Times New Roman" w:hAnsi="Times New Roman"/>
          <w:i/>
          <w:sz w:val="20"/>
        </w:rPr>
        <w:t>April</w:t>
      </w:r>
      <w:r>
        <w:rPr>
          <w:rFonts w:ascii="Times New Roman" w:hAnsi="Times New Roman"/>
          <w:sz w:val="20"/>
        </w:rPr>
        <w:t> </w:t>
      </w:r>
      <w:r>
        <w:rPr>
          <w:rFonts w:ascii="Times New Roman" w:hAnsi="Times New Roman"/>
          <w:i/>
          <w:sz w:val="20"/>
        </w:rPr>
        <w:t>10,</w:t>
      </w:r>
      <w:r>
        <w:rPr>
          <w:rFonts w:ascii="Times New Roman" w:hAnsi="Times New Roman"/>
          <w:sz w:val="20"/>
        </w:rPr>
        <w:t> </w:t>
      </w:r>
      <w:r>
        <w:rPr>
          <w:rFonts w:ascii="Times New Roman" w:hAnsi="Times New Roman"/>
          <w:i/>
          <w:sz w:val="20"/>
        </w:rPr>
        <w:t>2013</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 xml:space="preserve">By:  </w:t>
      </w:r>
      <w:r>
        <w:rPr>
          <w:rFonts w:ascii="Times New Roman" w:hAnsi="Times New Roman"/>
          <w:sz w:val="20"/>
          <w:u w:val="single"/>
        </w:rPr>
        <w:t>/s/ Shawn K. Singh</w:t>
      </w:r>
      <w:bookmarkStart w:id="21" w:name="TAB28"/>
      <w:bookmarkEnd w:id="21"/>
      <w:r>
        <w:rPr>
          <w:rFonts w:ascii="Times New Roman" w:hAnsi="Times New Roman"/>
          <w:color w:val="000000"/>
          <w:spacing w:val="60"/>
          <w:sz w:val="20"/>
        </w:rPr>
        <w:t> </w:t>
      </w:r>
    </w:p>
    <w:p>
      <w:pPr>
        <w:pStyle w:val="TextBody"/>
        <w:spacing w:before="0" w:after="0"/>
        <w:ind w:left="0" w:right="0" w:hanging="0"/>
        <w:rPr/>
      </w:pPr>
      <w:r>
        <w:rPr/>
        <w:t> </w:t>
      </w:r>
    </w:p>
    <w:p>
      <w:pPr>
        <w:pStyle w:val="TextBody"/>
        <w:spacing w:before="0" w:after="0"/>
        <w:ind w:left="0" w:right="0" w:hanging="0"/>
        <w:rPr>
          <w:rFonts w:ascii="Times New Roman" w:hAnsi="Times New Roman"/>
          <w:i/>
          <w:sz w:val="20"/>
        </w:rPr>
      </w:pPr>
      <w:r>
        <w:rPr>
          <w:rFonts w:ascii="Times New Roman" w:hAnsi="Times New Roman"/>
          <w:i/>
          <w:sz w:val="20"/>
        </w:rPr>
        <w:t>Name: Shawn K. Singh</w:t>
      </w:r>
    </w:p>
    <w:p>
      <w:pPr>
        <w:pStyle w:val="TextBody"/>
        <w:spacing w:before="0" w:after="0"/>
        <w:ind w:left="0" w:right="0" w:hanging="0"/>
        <w:jc w:val="both"/>
        <w:rPr>
          <w:rFonts w:ascii="Times New Roman" w:hAnsi="Times New Roman"/>
          <w:i/>
          <w:sz w:val="20"/>
        </w:rPr>
      </w:pPr>
      <w:r>
        <w:rPr>
          <w:rFonts w:ascii="Times New Roman" w:hAnsi="Times New Roman"/>
          <w:i/>
          <w:sz w:val="20"/>
        </w:rPr>
        <w:t>Title: Chief Executive Officer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 w:name="PGBRK1"/>
      <w:bookmarkStart w:id="23" w:name="PGBRK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FTR1"/>
      <w:bookmarkStart w:id="25" w:name="FTR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 w:name="GLFTR1"/>
      <w:bookmarkEnd w:id="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 w:name="PN1"/>
      <w:bookmarkEnd w:id="2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HDR1"/>
      <w:bookmarkStart w:id="29" w:name="HDR1"/>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 w:name="GLHDR1"/>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b/>
        </w:rPr>
      </w:pPr>
      <w:r>
        <w:rPr>
          <w:b/>
        </w:rPr>
        <w:t>EXHIBIT INDEX</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1529"/>
        <w:gridCol w:w="8676"/>
      </w:tblGrid>
      <w:tr>
        <w:trPr/>
        <w:tc>
          <w:tcPr>
            <w:tcW w:w="1529" w:type="dxa"/>
            <w:tcBorders/>
            <w:shd w:fill="FFFFFF" w:val="clear"/>
            <w:vAlign w:val="center"/>
          </w:tcPr>
          <w:p>
            <w:pPr>
              <w:pStyle w:val="TableContents"/>
              <w:spacing w:before="0" w:after="283"/>
              <w:rPr>
                <w:rFonts w:ascii="times new roman" w:hAnsi="times new roman"/>
                <w:b/>
                <w:sz w:val="20"/>
                <w:u w:val="single"/>
              </w:rPr>
            </w:pPr>
            <w:r>
              <w:rPr>
                <w:rFonts w:ascii="times new roman" w:hAnsi="times new roman"/>
                <w:b/>
                <w:sz w:val="20"/>
                <w:u w:val="single"/>
              </w:rPr>
              <w:t>Exhibit Number</w:t>
            </w:r>
          </w:p>
        </w:tc>
        <w:tc>
          <w:tcPr>
            <w:tcW w:w="8676" w:type="dxa"/>
            <w:tcBorders/>
            <w:shd w:fill="FFFFFF" w:val="clear"/>
            <w:vAlign w:val="center"/>
          </w:tcPr>
          <w:p>
            <w:pPr>
              <w:pStyle w:val="TableContents"/>
              <w:spacing w:before="0" w:after="283"/>
              <w:rPr>
                <w:rFonts w:ascii="times new roman" w:hAnsi="times new roman"/>
                <w:b/>
                <w:sz w:val="20"/>
                <w:u w:val="single"/>
              </w:rPr>
            </w:pPr>
            <w:r>
              <w:rPr>
                <w:rFonts w:ascii="times new roman" w:hAnsi="times new roman"/>
                <w:b/>
                <w:sz w:val="20"/>
                <w:u w:val="single"/>
              </w:rPr>
              <w:t>Exhibit Description</w:t>
            </w:r>
          </w:p>
        </w:tc>
      </w:tr>
      <w:tr>
        <w:trPr/>
        <w:tc>
          <w:tcPr>
            <w:tcW w:w="1529"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10.1</w:t>
            </w:r>
          </w:p>
        </w:tc>
        <w:tc>
          <w:tcPr>
            <w:tcW w:w="8676"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Securities Purchase Agreement</w:t>
            </w:r>
          </w:p>
        </w:tc>
      </w:tr>
      <w:tr>
        <w:trPr/>
        <w:tc>
          <w:tcPr>
            <w:tcW w:w="1529"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10.2</w:t>
            </w:r>
          </w:p>
        </w:tc>
        <w:tc>
          <w:tcPr>
            <w:tcW w:w="867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Voting Agreement</w:t>
            </w:r>
          </w:p>
        </w:tc>
      </w:tr>
      <w:tr>
        <w:trPr/>
        <w:tc>
          <w:tcPr>
            <w:tcW w:w="1529"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10.3</w:t>
            </w:r>
          </w:p>
        </w:tc>
        <w:tc>
          <w:tcPr>
            <w:tcW w:w="8676"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Note Conversion Agreement</w:t>
            </w:r>
          </w:p>
        </w:tc>
      </w:tr>
      <w:tr>
        <w:trPr/>
        <w:tc>
          <w:tcPr>
            <w:tcW w:w="1529"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99.1 </w:t>
            </w:r>
          </w:p>
        </w:tc>
        <w:tc>
          <w:tcPr>
            <w:tcW w:w="867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Press Release dated April 10, 2013</w:t>
            </w:r>
          </w:p>
        </w:tc>
      </w:tr>
    </w:tbl>
    <w:p>
      <w:pPr>
        <w:pStyle w:val="TextBody"/>
        <w:rPr/>
      </w:pPr>
      <w:r>
        <w:rPr/>
        <w:t> </w:t>
      </w:r>
      <w:r>
        <w:br w:type="page"/>
      </w:r>
    </w:p>
    <w:p>
      <w:pPr>
        <w:pStyle w:val="TextBody"/>
        <w:spacing w:before="0" w:after="0"/>
        <w:ind w:left="0" w:right="0" w:hanging="0"/>
        <w:jc w:val="right"/>
        <w:rPr>
          <w:rFonts w:ascii="Times New Roman" w:hAnsi="Times New Roman"/>
          <w:b/>
          <w:sz w:val="20"/>
        </w:rPr>
      </w:pPr>
      <w:bookmarkStart w:id="31" w:name="ex10-1.htm"/>
      <w:bookmarkStart w:id="32" w:name="ksex101"/>
      <w:bookmarkEnd w:id="31"/>
      <w:bookmarkEnd w:id="32"/>
      <w:r>
        <w:rPr>
          <w:rFonts w:ascii="Times New Roman" w:hAnsi="Times New Roman"/>
          <w:b/>
          <w:sz w:val="20"/>
        </w:rPr>
        <w:t>Exhibit 10.1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PURCHASE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Securities Purchase Agreement (this “</w:t>
      </w:r>
      <w:r>
        <w:rPr>
          <w:rFonts w:ascii="Times New Roman" w:hAnsi="Times New Roman"/>
          <w:i/>
          <w:sz w:val="20"/>
        </w:rPr>
        <w:t>Agreement</w:t>
      </w:r>
      <w:r>
        <w:rPr>
          <w:rFonts w:ascii="Times New Roman" w:hAnsi="Times New Roman"/>
          <w:sz w:val="20"/>
        </w:rPr>
        <w:t>”) is dated as of April 8, 2013, between VistaGen Therapeutics, Inc.  (the “</w:t>
      </w:r>
      <w:r>
        <w:rPr>
          <w:rFonts w:ascii="Times New Roman" w:hAnsi="Times New Roman"/>
          <w:i/>
          <w:sz w:val="20"/>
        </w:rPr>
        <w:t>Company</w:t>
      </w:r>
      <w:r>
        <w:rPr>
          <w:rFonts w:ascii="Times New Roman" w:hAnsi="Times New Roman"/>
          <w:sz w:val="20"/>
        </w:rPr>
        <w:t>”), and Autilion AG (the “</w:t>
      </w:r>
      <w:r>
        <w:rPr>
          <w:rFonts w:ascii="Times New Roman" w:hAnsi="Times New Roman"/>
          <w:i/>
          <w:sz w:val="20"/>
        </w:rPr>
        <w:t>Purchaser</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subject to the terms and conditions set forth in this Agreement and pursuant to Section 4(2) of the Securities Act of 1933, as amended (the “</w:t>
      </w:r>
      <w:r>
        <w:rPr>
          <w:rFonts w:ascii="Times New Roman" w:hAnsi="Times New Roman"/>
          <w:i/>
          <w:sz w:val="20"/>
        </w:rPr>
        <w:t>Securities Act</w:t>
      </w:r>
      <w:r>
        <w:rPr>
          <w:rFonts w:ascii="Times New Roman" w:hAnsi="Times New Roman"/>
          <w:sz w:val="20"/>
        </w:rPr>
        <w:t>”), and Rule 506 promulgated thereunder, the Company desires to issue and sell to the Purchaser, and the Purchaser, desires to purchase from the Company, securities of the Company as more fully described in this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NOW, THEREFORE, IN CONSIDERATION</w:t>
      </w:r>
      <w:r>
        <w:rPr>
          <w:rFonts w:ascii="Times New Roman" w:hAnsi="Times New Roman"/>
          <w:sz w:val="20"/>
        </w:rPr>
        <w:t xml:space="preserve"> of the mutual covenants contained in this Agreement, and for other good and valuable consideration, the receipt and adequacy of which are hereby acknowledged, the Company and Purchaser agree as follows: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I.</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DEFINITIONS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1.1</w:t>
      </w:r>
      <w:bookmarkStart w:id="33" w:name="TAB29"/>
      <w:bookmarkEnd w:id="33"/>
      <w:r>
        <w:rPr>
          <w:color w:val="000000"/>
          <w:spacing w:val="180"/>
        </w:rPr>
        <w:t> </w:t>
      </w:r>
      <w:r>
        <w:rPr>
          <w:rFonts w:ascii="Times New Roman" w:hAnsi="Times New Roman"/>
          <w:sz w:val="20"/>
          <w:u w:val="single"/>
        </w:rPr>
        <w:t>Definitions</w:t>
      </w:r>
      <w:r>
        <w:rPr>
          <w:rFonts w:ascii="Times New Roman" w:hAnsi="Times New Roman"/>
          <w:sz w:val="20"/>
        </w:rPr>
        <w:t>. In addition to the terms defined elsewhere in this Agreement, for all purposes of this Agreement, the following terms have the meanings set forth in this Section 1.1:</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u w:val="single"/>
        </w:rPr>
        <w:t>Affiliate</w:t>
      </w:r>
      <w:r>
        <w:rPr>
          <w:rFonts w:ascii="Times New Roman" w:hAnsi="Times New Roman"/>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Board of Directors</w:t>
      </w:r>
      <w:r>
        <w:rPr>
          <w:rFonts w:ascii="Times New Roman" w:hAnsi="Times New Roman"/>
          <w:sz w:val="20"/>
        </w:rPr>
        <w:t>” means the board of directors of the Company.</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Business Day</w:t>
      </w:r>
      <w:r>
        <w:rPr>
          <w:rFonts w:ascii="Times New Roman" w:hAnsi="Times New Roman"/>
          <w:sz w:val="20"/>
        </w:rPr>
        <w:t>” means any day except any Saturday, any Sunday, any day which is a federal legal holiday in the United States or any day on which banking institutions in the State of California are authorized or required by law or other governmental action to close.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Closing</w:t>
      </w:r>
      <w:r>
        <w:rPr>
          <w:rFonts w:ascii="Times New Roman" w:hAnsi="Times New Roman"/>
          <w:sz w:val="20"/>
        </w:rPr>
        <w:t>” means a closing of the purchase and sale of the Shares pursuant to Section 2.1.</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u w:val="single"/>
        </w:rPr>
        <w:t>Commission</w:t>
      </w:r>
      <w:r>
        <w:rPr>
          <w:rFonts w:ascii="Times New Roman" w:hAnsi="Times New Roman"/>
          <w:sz w:val="20"/>
        </w:rPr>
        <w:t>” means the United States Securities and Exchange Commission.</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Common Stock</w:t>
      </w:r>
      <w:r>
        <w:rPr>
          <w:rFonts w:ascii="Times New Roman" w:hAnsi="Times New Roman"/>
          <w:sz w:val="20"/>
        </w:rPr>
        <w:t>” means the common stock of the Company, par value $0.001 per share, and any other class of securities into which such securities may hereafter be reclassified or changed.</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Common Stock Equivalents</w:t>
      </w:r>
      <w:r>
        <w:rPr>
          <w:rFonts w:ascii="Times New Roman" w:hAnsi="Times New Roman"/>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Company Counsel</w:t>
      </w:r>
      <w:r>
        <w:rPr>
          <w:rFonts w:ascii="Times New Roman" w:hAnsi="Times New Roman"/>
          <w:sz w:val="20"/>
        </w:rPr>
        <w:t>” means Disclosure Law Group, with offices located at 501 W. Broadway, Suite 800, San Diego, California 92101 USA.</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Disclosure Schedules</w:t>
      </w:r>
      <w:r>
        <w:rPr>
          <w:rFonts w:ascii="Times New Roman" w:hAnsi="Times New Roman"/>
          <w:sz w:val="20"/>
        </w:rPr>
        <w:t>” shall have the meaning ascribed to such term in Section 3.1.</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Exchange Act</w:t>
      </w:r>
      <w:r>
        <w:rPr>
          <w:rFonts w:ascii="Times New Roman" w:hAnsi="Times New Roman"/>
          <w:sz w:val="20"/>
        </w:rPr>
        <w:t>” means the Securities Exchange Act of 1934, as amended, and the rules and regulations promulgated thereunder.</w:t>
      </w:r>
    </w:p>
    <w:p>
      <w:pPr>
        <w:pStyle w:val="TextBody"/>
        <w:spacing w:before="0" w:after="0"/>
        <w:ind w:left="0" w:right="0" w:hanging="0"/>
        <w:rPr/>
      </w:pPr>
      <w:r>
        <w:rPr/>
      </w:r>
    </w:p>
    <w:p>
      <w:pPr>
        <w:pStyle w:val="TextBody"/>
        <w:spacing w:before="0" w:after="0"/>
        <w:ind w:left="0" w:right="0" w:firstLine="720"/>
        <w:jc w:val="both"/>
        <w:rPr/>
      </w:pPr>
      <w:r>
        <w:rPr/>
        <w:t>“</w:t>
      </w:r>
      <w:r>
        <w:rPr>
          <w:rFonts w:ascii="Times New Roman" w:hAnsi="Times New Roman"/>
          <w:sz w:val="20"/>
          <w:u w:val="single"/>
        </w:rPr>
        <w:t>Liens</w:t>
      </w:r>
      <w:r>
        <w:rPr>
          <w:rFonts w:ascii="Times New Roman" w:hAnsi="Times New Roman"/>
          <w:sz w:val="20"/>
        </w:rPr>
        <w:t>” means a lien, charge pledge, security interest, encumbrance, right of first refusal, preemptive right or other restriction.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 w:name="PGBRK2"/>
      <w:bookmarkStart w:id="35" w:name="PGBRK2"/>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FTR2"/>
      <w:bookmarkStart w:id="37" w:name="FTR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 w:name="GLFTR2"/>
      <w:bookmarkEnd w:id="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 w:name="PN2"/>
      <w:bookmarkEnd w:id="39"/>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HDR2"/>
      <w:bookmarkStart w:id="41" w:name="HDR2"/>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 w:name="GLHDR2"/>
      <w:bookmarkEnd w:id="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t>“</w:t>
      </w:r>
      <w:r>
        <w:rPr>
          <w:rFonts w:ascii="Times New Roman" w:hAnsi="Times New Roman"/>
          <w:sz w:val="20"/>
          <w:u w:val="single"/>
        </w:rPr>
        <w:t>Material Adverse Effect</w:t>
      </w:r>
      <w:r>
        <w:rPr>
          <w:rFonts w:ascii="Times New Roman" w:hAnsi="Times New Roman"/>
          <w:sz w:val="20"/>
        </w:rPr>
        <w:t>” shall have the meaning assigned to such term in Section 3.1(b).</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Person</w:t>
      </w:r>
      <w:r>
        <w:rPr>
          <w:rFonts w:ascii="Times New Roman" w:hAnsi="Times New Roman"/>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Proceeding</w:t>
      </w:r>
      <w:r>
        <w:rPr>
          <w:rFonts w:ascii="Times New Roman" w:hAnsi="Times New Roman"/>
          <w:sz w:val="20"/>
        </w:rPr>
        <w:t>” means an action, claim, suit, investigation or proceeding (including, without limitation, an informal investigation or partial proceeding, such as a deposition), whether commenced or threatened in which the Company has knowledge.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Registration Statement</w:t>
      </w:r>
      <w:r>
        <w:rPr>
          <w:rFonts w:ascii="Times New Roman" w:hAnsi="Times New Roman"/>
          <w:sz w:val="20"/>
        </w:rPr>
        <w:t>” means a registration statement meeting the requirements set forth in Section 4.1, covering the resale of the Shares by the Purchaser.</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Required Approvals</w:t>
      </w:r>
      <w:r>
        <w:rPr>
          <w:rFonts w:ascii="Times New Roman" w:hAnsi="Times New Roman"/>
          <w:sz w:val="20"/>
        </w:rPr>
        <w:t>” shall have the meaning ascribed to such term in Section 3.1(e).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Rule 144</w:t>
      </w:r>
      <w:r>
        <w:rPr>
          <w:rFonts w:ascii="Times New Roman" w:hAnsi="Times New Roman"/>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Rule 424</w:t>
      </w:r>
      <w:r>
        <w:rPr>
          <w:rFonts w:ascii="Times New Roman" w:hAnsi="Times New Roman"/>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Securities Act</w:t>
      </w:r>
      <w:r>
        <w:rPr>
          <w:rFonts w:ascii="Times New Roman" w:hAnsi="Times New Roman"/>
          <w:sz w:val="20"/>
        </w:rPr>
        <w:t>” means the Securities Act of 1933, as amended, and the rules and regulations promulgated thereunder.</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Shares</w:t>
      </w:r>
      <w:r>
        <w:rPr>
          <w:rFonts w:ascii="Times New Roman" w:hAnsi="Times New Roman"/>
          <w:sz w:val="20"/>
        </w:rPr>
        <w:t>” means the shares of Common Stock issued or issuable to Purchaser pursuant to this Agreement.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Short Sales</w:t>
      </w:r>
      <w:r>
        <w:rPr>
          <w:rFonts w:ascii="Times New Roman" w:hAnsi="Times New Roman"/>
          <w:sz w:val="20"/>
        </w:rPr>
        <w:t>” means all “short sales” as defined in Rule 200 of Regulation SHO under the Exchange Act (but shall not be deemed to include the location and/or reservation of borrowable shares of Common Stock). </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Subscription Amount</w:t>
      </w:r>
      <w:r>
        <w:rPr>
          <w:rFonts w:ascii="Times New Roman" w:hAnsi="Times New Roman"/>
          <w:sz w:val="20"/>
        </w:rPr>
        <w:t>” means the aggregate amount to be paid for Shares purchased hereunder as specified in this Agreement, in United States dollars and in immediately available funds.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Subsidiary</w:t>
      </w:r>
      <w:r>
        <w:rPr>
          <w:rFonts w:ascii="Times New Roman" w:hAnsi="Times New Roman"/>
          <w:sz w:val="20"/>
        </w:rPr>
        <w:t xml:space="preserve">” means any subsidiary of the Company as set forth on </w:t>
      </w:r>
      <w:r>
        <w:rPr>
          <w:rFonts w:ascii="Times New Roman" w:hAnsi="Times New Roman"/>
          <w:sz w:val="20"/>
          <w:u w:val="single"/>
        </w:rPr>
        <w:t>Schedule 3.1(a)</w:t>
      </w:r>
      <w:r>
        <w:rPr>
          <w:rFonts w:ascii="Times New Roman" w:hAnsi="Times New Roman"/>
          <w:sz w:val="20"/>
        </w:rPr>
        <w:t xml:space="preserve"> and shall, where applicable, also include any direct or indirect subsidiary of the Company formed or acquired after the date hereof.</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Trading Day</w:t>
      </w:r>
      <w:r>
        <w:rPr>
          <w:rFonts w:ascii="Times New Roman" w:hAnsi="Times New Roman"/>
          <w:sz w:val="20"/>
        </w:rPr>
        <w:t>” means a day on which the principal Trading Market is open for trading.</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Trading Market</w:t>
      </w:r>
      <w:r>
        <w:rPr>
          <w:rFonts w:ascii="Times New Roman" w:hAnsi="Times New Roman"/>
          <w:sz w:val="20"/>
        </w:rPr>
        <w:t>” means any of the following markets or exchanges on which the Common Stock is listed or quoted for trading on the date in question: the NYSE MKT, the Nasdaq Capital Market, the Nasdaq Global Market, the Nasdaq Global Select Market, the New York Stock Exchange, the OTC BB, or any quotation service maintained by the OTC Markets (or any successors to any of the foregoing).</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Transaction Documents</w:t>
      </w:r>
      <w:r>
        <w:rPr>
          <w:rFonts w:ascii="Times New Roman" w:hAnsi="Times New Roman"/>
          <w:sz w:val="20"/>
        </w:rPr>
        <w:t>” means this Agreement, the Voting Agreement, all exhibits and schedules thereto and hereto and any other documents or agreements executed in connection with the transactions contemplated hereunder.</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Transfer Agent</w:t>
      </w:r>
      <w:r>
        <w:rPr>
          <w:rFonts w:ascii="Times New Roman" w:hAnsi="Times New Roman"/>
          <w:sz w:val="20"/>
        </w:rPr>
        <w:t>” means Registrar and Transfer Company, the current transfer agent of the Company, with a mailing address of 10 Commerce Drive, Cranford, New Jersey 07016 USA, and any successor transfer agent of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3"/>
      <w:bookmarkStart w:id="44" w:name="PGBRK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FTR3"/>
      <w:bookmarkStart w:id="46" w:name="FTR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 w:name="GLFTR3"/>
      <w:bookmarkEnd w:id="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 w:name="PN3"/>
      <w:bookmarkEnd w:id="48"/>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HDR3"/>
      <w:bookmarkStart w:id="50" w:name="HDR3"/>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 w:name="GLHDR3"/>
      <w:bookmarkEnd w:id="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II.</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PURCHASE AND SALE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w:t>
      </w:r>
      <w:bookmarkStart w:id="52" w:name="TAB210"/>
      <w:bookmarkEnd w:id="52"/>
      <w:r>
        <w:rPr>
          <w:color w:val="000000"/>
          <w:spacing w:val="180"/>
        </w:rPr>
        <w:t> </w:t>
      </w:r>
      <w:r>
        <w:rPr>
          <w:rFonts w:ascii="Times New Roman" w:hAnsi="Times New Roman"/>
          <w:sz w:val="20"/>
          <w:u w:val="single"/>
        </w:rPr>
        <w:t>Closing</w:t>
      </w:r>
      <w:r>
        <w:rPr>
          <w:rFonts w:ascii="Times New Roman" w:hAnsi="Times New Roman"/>
          <w:sz w:val="20"/>
        </w:rPr>
        <w:t>.  Upon the terms and subject to the conditions set forth herein, the Company agrees to sell, and the Purchaser agrees to purchase, Seventy Two Million (72,000,000) Shares of Common Stock of the Company for Thirty Six Million U.S. Dollars ($36,000,000), or $0.50 per Share, in one tranche or a series of tranches (each, a “</w:t>
      </w:r>
      <w:r>
        <w:rPr>
          <w:rFonts w:ascii="Times New Roman" w:hAnsi="Times New Roman"/>
          <w:i/>
          <w:sz w:val="20"/>
        </w:rPr>
        <w:t>Closing</w:t>
      </w:r>
      <w:r>
        <w:rPr>
          <w:rFonts w:ascii="Times New Roman" w:hAnsi="Times New Roman"/>
          <w:sz w:val="20"/>
        </w:rPr>
        <w:t>” and the date of each such Closing, an “</w:t>
      </w:r>
      <w:r>
        <w:rPr>
          <w:rFonts w:ascii="Times New Roman" w:hAnsi="Times New Roman"/>
          <w:i/>
          <w:sz w:val="20"/>
        </w:rPr>
        <w:t>Investment Date</w:t>
      </w:r>
      <w:r>
        <w:rPr>
          <w:rFonts w:ascii="Times New Roman" w:hAnsi="Times New Roman"/>
          <w:sz w:val="20"/>
        </w:rPr>
        <w:t>”), on or before April 30, 2013.  On each Investment Date, the Company and the Purchaser shall deliver the items set forth in Section 2.3 deliverable at the Closing.  Upon satisfaction of the covenants and conditions set forth in Section 2.3, each Closing shall occur at the offices of Company Counsel or such other location as the parties shall mutually agree.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2.2</w:t>
      </w:r>
      <w:bookmarkStart w:id="53" w:name="TAB211"/>
      <w:bookmarkEnd w:id="53"/>
      <w:r>
        <w:rPr>
          <w:color w:val="000000"/>
          <w:spacing w:val="180"/>
        </w:rPr>
        <w:t> </w:t>
      </w:r>
      <w:r>
        <w:rPr>
          <w:rFonts w:ascii="Times New Roman" w:hAnsi="Times New Roman"/>
          <w:sz w:val="20"/>
          <w:u w:val="single"/>
        </w:rPr>
        <w:t>Method of Funding.  Purchaser shall purchase the Shares, and pay the applicable Subscription Amount, by wire transfer of immediately available funds to the Company using the wire instructions attached hereto as Exhibit C.</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2.3</w:t>
      </w:r>
      <w:bookmarkStart w:id="54" w:name="TAB212"/>
      <w:bookmarkEnd w:id="54"/>
      <w:r>
        <w:rPr>
          <w:color w:val="000000"/>
          <w:spacing w:val="180"/>
        </w:rPr>
        <w:t> </w:t>
      </w:r>
      <w:r>
        <w:rPr>
          <w:rFonts w:ascii="Times New Roman" w:hAnsi="Times New Roman"/>
          <w:sz w:val="20"/>
          <w:u w:val="single"/>
        </w:rPr>
        <w:t>Closing Conditions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The obligations of the Company hereunder in connection with each Closing are subject to the following conditions, which conditions may be waived by the Company in its sole discretion: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w:t>
      </w:r>
      <w:bookmarkStart w:id="55" w:name="TAB213"/>
      <w:bookmarkEnd w:id="55"/>
      <w:r>
        <w:rPr>
          <w:color w:val="000000"/>
          <w:spacing w:val="180"/>
        </w:rPr>
        <w:t> </w:t>
      </w:r>
      <w:r>
        <w:rPr>
          <w:rFonts w:ascii="Times New Roman" w:hAnsi="Times New Roman"/>
          <w:sz w:val="20"/>
        </w:rPr>
        <w:t>the accuracy, in all material respects, of the representations and warranties of the Purchaser; and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(ii)</w:t>
      </w:r>
      <w:bookmarkStart w:id="56" w:name="TAB214"/>
      <w:bookmarkEnd w:id="56"/>
      <w:r>
        <w:rPr>
          <w:color w:val="000000"/>
          <w:spacing w:val="180"/>
        </w:rPr>
        <w:t> </w:t>
      </w:r>
      <w:r>
        <w:rPr>
          <w:rFonts w:ascii="Times New Roman" w:hAnsi="Times New Roman"/>
          <w:sz w:val="20"/>
        </w:rPr>
        <w:t>all obligations, covenants and agreements of the Purchaser required to be performed at or prior to the applicable Investment Date shall have been performed.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(b)</w:t>
      </w:r>
      <w:bookmarkStart w:id="57" w:name="TAB215"/>
      <w:bookmarkEnd w:id="57"/>
      <w:r>
        <w:rPr>
          <w:color w:val="000000"/>
          <w:spacing w:val="180"/>
        </w:rPr>
        <w:t> </w:t>
      </w:r>
      <w:r>
        <w:rPr>
          <w:rFonts w:ascii="Times New Roman" w:hAnsi="Times New Roman"/>
          <w:sz w:val="20"/>
        </w:rPr>
        <w:t>The obligations of the Purchaser hereunder in connection with each Closing are subject to the following conditions: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w:t>
      </w:r>
      <w:bookmarkStart w:id="58" w:name="TAB216"/>
      <w:bookmarkEnd w:id="58"/>
      <w:r>
        <w:rPr>
          <w:color w:val="000000"/>
          <w:spacing w:val="180"/>
        </w:rPr>
        <w:t> </w:t>
      </w:r>
      <w:r>
        <w:rPr>
          <w:rFonts w:ascii="Times New Roman" w:hAnsi="Times New Roman"/>
          <w:sz w:val="20"/>
        </w:rPr>
        <w:t>the accuracy in all material respects when made of the representations and warranties of the Company contained herein (unless as of a specific date therein);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(ii)</w:t>
      </w:r>
      <w:bookmarkStart w:id="59" w:name="TAB217"/>
      <w:bookmarkEnd w:id="59"/>
      <w:r>
        <w:rPr>
          <w:color w:val="000000"/>
          <w:spacing w:val="180"/>
        </w:rPr>
        <w:t> </w:t>
      </w:r>
      <w:r>
        <w:rPr>
          <w:rFonts w:ascii="Times New Roman" w:hAnsi="Times New Roman"/>
          <w:sz w:val="20"/>
        </w:rPr>
        <w:t>all obligations, covenants and agreements of the Company required to be performed at the applicable Investment Date shall have been performed;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(iii)</w:t>
      </w:r>
      <w:bookmarkStart w:id="60" w:name="TAB218"/>
      <w:bookmarkEnd w:id="60"/>
      <w:r>
        <w:rPr>
          <w:color w:val="000000"/>
          <w:spacing w:val="180"/>
        </w:rPr>
        <w:t> </w:t>
      </w:r>
      <w:r>
        <w:rPr>
          <w:rFonts w:ascii="Times New Roman" w:hAnsi="Times New Roman"/>
          <w:sz w:val="20"/>
        </w:rPr>
        <w:t>there shall have been no Material Adverse Effect with respect to the Company since the date hereof;</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(iv)</w:t>
      </w:r>
      <w:bookmarkStart w:id="61" w:name="TAB219"/>
      <w:bookmarkEnd w:id="61"/>
      <w:r>
        <w:rPr>
          <w:color w:val="000000"/>
          <w:spacing w:val="180"/>
        </w:rPr>
        <w:t> </w:t>
      </w:r>
      <w:r>
        <w:rPr>
          <w:rFonts w:ascii="Times New Roman" w:hAnsi="Times New Roman"/>
          <w:sz w:val="20"/>
        </w:rPr>
        <w:t>trading in the Common Stock shall not have been suspended by the Commission or the Company’s principal Trading Market, and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California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Shares;</w:t>
      </w:r>
    </w:p>
    <w:p>
      <w:pPr>
        <w:pStyle w:val="TextBody"/>
        <w:spacing w:before="0" w:after="0"/>
        <w:ind w:left="0" w:right="0" w:hanging="0"/>
        <w:jc w:val="both"/>
        <w:rPr/>
      </w:pPr>
      <w:r>
        <w:rPr/>
        <w:t> </w:t>
      </w:r>
    </w:p>
    <w:p>
      <w:pPr>
        <w:pStyle w:val="TextBody"/>
        <w:spacing w:before="0" w:after="0"/>
        <w:ind w:left="0" w:right="0" w:firstLine="1440"/>
        <w:rPr/>
      </w:pPr>
      <w:bookmarkStart w:id="62" w:name="TAB220"/>
      <w:bookmarkEnd w:id="62"/>
      <w:r>
        <w:rPr>
          <w:color w:val="000000"/>
          <w:spacing w:val="180"/>
        </w:rPr>
        <w:t> </w:t>
      </w:r>
      <w:r>
        <w:rPr>
          <w:rFonts w:ascii="Times New Roman" w:hAnsi="Times New Roman"/>
          <w:sz w:val="20"/>
        </w:rPr>
        <w:t>(v)           no default or event of default shall have occurred under and as defined in any of the Transaction Documents;</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(vi)           Investor shall have received a certificate executed by an officer of the Company and dated as of such Investment Date, which certificate ratifies and confirms the representations and warranties of the Company contained herein; and</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(vii)           Investor shall have received a legal opinion of Company Counsel, substantially in the form of </w:t>
      </w:r>
      <w:r>
        <w:rPr>
          <w:rFonts w:ascii="Times New Roman" w:hAnsi="Times New Roman"/>
          <w:sz w:val="20"/>
          <w:u w:val="single"/>
        </w:rPr>
        <w:t>Exhibit B</w:t>
      </w:r>
      <w:r>
        <w:rPr>
          <w:rFonts w:ascii="Times New Roman" w:hAnsi="Times New Roman"/>
          <w:sz w:val="20"/>
        </w:rPr>
        <w:t xml:space="preserve"> attached hereto.</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 w:name="PGBRK4"/>
      <w:bookmarkStart w:id="64" w:name="PGBRK4"/>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 w:name="FTR4"/>
      <w:bookmarkStart w:id="66" w:name="FTR4"/>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 w:name="GLFTR4"/>
      <w:bookmarkEnd w:id="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8" w:name="PN4"/>
      <w:bookmarkEnd w:id="6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HDR4"/>
      <w:bookmarkStart w:id="70" w:name="HDR4"/>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1" w:name="GLHDR4"/>
      <w:bookmarkEnd w:id="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III.</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REPRESENTATIONS AND WARRANTIES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3.1</w:t>
      </w:r>
      <w:bookmarkStart w:id="72" w:name="TAB221"/>
      <w:bookmarkEnd w:id="72"/>
      <w:r>
        <w:rPr>
          <w:color w:val="000000"/>
          <w:spacing w:val="180"/>
        </w:rPr>
        <w:t> </w:t>
      </w:r>
      <w:r>
        <w:rPr>
          <w:rFonts w:ascii="Times New Roman" w:hAnsi="Times New Roman"/>
          <w:sz w:val="20"/>
          <w:u w:val="single"/>
        </w:rPr>
        <w:t>Representations and Warranties of the Company</w:t>
      </w:r>
      <w:r>
        <w:rPr>
          <w:rFonts w:ascii="Times New Roman" w:hAnsi="Times New Roman"/>
          <w:sz w:val="20"/>
        </w:rPr>
        <w:t>. Except as set forth in the Disclosure Schedules, which Disclosure Schedules shall be deemed a part hereof and shall qualify any representation or warranty otherwise made herein to the extent of the disclosure contained in the corresponding section of the Disclosure Schedules, the Company hereby makes the following representations and warranties to the Purchaser: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73" w:name="TAB222"/>
      <w:bookmarkEnd w:id="73"/>
      <w:r>
        <w:rPr>
          <w:color w:val="000000"/>
          <w:spacing w:val="180"/>
        </w:rPr>
        <w:t> </w:t>
      </w:r>
      <w:r>
        <w:rPr>
          <w:rFonts w:ascii="Times New Roman" w:hAnsi="Times New Roman"/>
          <w:sz w:val="20"/>
          <w:u w:val="single"/>
        </w:rPr>
        <w:t>Subsidiaries</w:t>
      </w:r>
      <w:r>
        <w:rPr>
          <w:rFonts w:ascii="Times New Roman" w:hAnsi="Times New Roman"/>
          <w:sz w:val="20"/>
        </w:rPr>
        <w:t xml:space="preserve">.  All of the direct and indirect subsidiaries of the Company are set forth on </w:t>
      </w:r>
      <w:r>
        <w:rPr>
          <w:rFonts w:ascii="Times New Roman" w:hAnsi="Times New Roman"/>
          <w:sz w:val="20"/>
          <w:u w:val="single"/>
        </w:rPr>
        <w:t>Schedule 3.1(a)</w:t>
      </w:r>
      <w:r>
        <w:rPr>
          <w:rFonts w:ascii="Times New Roman" w:hAnsi="Times New Roman"/>
          <w:sz w:val="20"/>
        </w:rPr>
        <w:t>.  The Company owns, directly or indirectly, all of the capital stock or other equity interests of each Subsidiary free and clear of any Liens, and all of the issued and outstanding shares of capital stock of each Subsidiary are validly issued and are fully paid, non-assessable.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(b)</w:t>
      </w:r>
      <w:bookmarkStart w:id="74" w:name="TAB223"/>
      <w:bookmarkEnd w:id="74"/>
      <w:r>
        <w:rPr>
          <w:color w:val="000000"/>
          <w:spacing w:val="180"/>
        </w:rPr>
        <w:t> </w:t>
      </w:r>
      <w:r>
        <w:rPr>
          <w:rFonts w:ascii="Times New Roman" w:hAnsi="Times New Roman"/>
          <w:sz w:val="20"/>
          <w:u w:val="single"/>
        </w:rPr>
        <w:t>Organization and Qualification</w:t>
      </w:r>
      <w:r>
        <w:rPr>
          <w:rFonts w:ascii="Times New Roman" w:hAnsi="Times New Roman"/>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hAnsi="Times New Roman"/>
          <w:i/>
          <w:sz w:val="20"/>
        </w:rPr>
        <w:t>Material Adverse Effect</w:t>
      </w:r>
      <w:r>
        <w:rPr>
          <w:rFonts w:ascii="Times New Roman" w:hAnsi="Times New Roman"/>
          <w:sz w:val="20"/>
        </w:rPr>
        <w:t>”) and no Proceeding has been instituted in any such jurisdiction revoking, limiting or curtailing or seeking to revoke, limit or curtail such power and authority or qualification.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(c)</w:t>
      </w:r>
      <w:bookmarkStart w:id="75" w:name="TAB224"/>
      <w:bookmarkEnd w:id="75"/>
      <w:r>
        <w:rPr>
          <w:color w:val="000000"/>
          <w:spacing w:val="180"/>
        </w:rPr>
        <w:t> </w:t>
      </w:r>
      <w:r>
        <w:rPr>
          <w:rFonts w:ascii="Times New Roman" w:hAnsi="Times New Roman"/>
          <w:sz w:val="20"/>
          <w:u w:val="single"/>
        </w:rPr>
        <w:t>Authorization; Enforcement</w:t>
      </w:r>
      <w:r>
        <w:rPr>
          <w:rFonts w:ascii="Times New Roman" w:hAnsi="Times New Roman"/>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each of this Agreement and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(d)</w:t>
      </w:r>
      <w:bookmarkStart w:id="76" w:name="TAB225"/>
      <w:bookmarkEnd w:id="76"/>
      <w:r>
        <w:rPr>
          <w:color w:val="000000"/>
          <w:spacing w:val="180"/>
        </w:rPr>
        <w:t> </w:t>
      </w:r>
      <w:r>
        <w:rPr>
          <w:rFonts w:ascii="Times New Roman" w:hAnsi="Times New Roman"/>
          <w:sz w:val="20"/>
          <w:u w:val="single"/>
        </w:rPr>
        <w:t>No Conflicts</w:t>
      </w:r>
      <w:r>
        <w:rPr>
          <w:rFonts w:ascii="Times New Roman" w:hAnsi="Times New Roman"/>
          <w:sz w:val="20"/>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7" w:name="PGBRK5"/>
      <w:bookmarkStart w:id="78" w:name="PGBRK5"/>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9" w:name="FTR5"/>
      <w:bookmarkStart w:id="80" w:name="FTR5"/>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 w:name="GLFTR5"/>
      <w:bookmarkEnd w:id="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2" w:name="PN5"/>
      <w:bookmarkEnd w:id="82"/>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3" w:name="HDR5"/>
      <w:bookmarkStart w:id="84" w:name="HDR5"/>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5" w:name="GLHDR5"/>
      <w:bookmarkEnd w:id="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(e)</w:t>
      </w:r>
      <w:bookmarkStart w:id="86" w:name="TAB226"/>
      <w:bookmarkEnd w:id="86"/>
      <w:r>
        <w:rPr>
          <w:color w:val="000000"/>
          <w:spacing w:val="180"/>
        </w:rPr>
        <w:t> </w:t>
      </w:r>
      <w:r>
        <w:rPr>
          <w:rFonts w:ascii="Times New Roman" w:hAnsi="Times New Roman"/>
          <w:sz w:val="20"/>
          <w:u w:val="single"/>
        </w:rPr>
        <w:t>Filings, Consents and Approvals</w:t>
      </w:r>
      <w:r>
        <w:rPr>
          <w:rFonts w:ascii="Times New Roman" w:hAnsi="Times New Roman"/>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the Exchange Act, and (ii) the filing of Form D with the Commission and such filings as are required to be made under applicable state securities laws (collectively, the “</w:t>
      </w:r>
      <w:r>
        <w:rPr>
          <w:rFonts w:ascii="Times New Roman" w:hAnsi="Times New Roman"/>
          <w:i/>
          <w:sz w:val="20"/>
        </w:rPr>
        <w:t>Required Approvals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(f)</w:t>
      </w:r>
      <w:bookmarkStart w:id="87" w:name="TAB227"/>
      <w:bookmarkEnd w:id="87"/>
      <w:r>
        <w:rPr>
          <w:color w:val="000000"/>
          <w:spacing w:val="180"/>
        </w:rPr>
        <w:t> </w:t>
      </w:r>
      <w:r>
        <w:rPr>
          <w:rFonts w:ascii="Times New Roman" w:hAnsi="Times New Roman"/>
          <w:sz w:val="20"/>
          <w:u w:val="single"/>
        </w:rPr>
        <w:t>Issuance of the Shares</w:t>
      </w:r>
      <w:r>
        <w:rPr>
          <w:rFonts w:ascii="Times New Roman" w:hAnsi="Times New Roman"/>
          <w:sz w:val="20"/>
        </w:rPr>
        <w:t>.  The Shares are duly authorized and, when issued and paid for in accordance with this Agreement,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(g)</w:t>
      </w:r>
      <w:bookmarkStart w:id="88" w:name="TAB228"/>
      <w:bookmarkEnd w:id="88"/>
      <w:r>
        <w:rPr>
          <w:color w:val="000000"/>
          <w:spacing w:val="180"/>
        </w:rPr>
        <w:t> </w:t>
      </w:r>
      <w:r>
        <w:rPr>
          <w:rFonts w:ascii="Times New Roman" w:hAnsi="Times New Roman"/>
          <w:sz w:val="20"/>
          <w:u w:val="single"/>
        </w:rPr>
        <w:t>Capitalization</w:t>
      </w:r>
      <w:r>
        <w:rPr>
          <w:rFonts w:ascii="Times New Roman" w:hAnsi="Times New Roman"/>
          <w:sz w:val="20"/>
        </w:rPr>
        <w:t xml:space="preserve">.  The capitalization of the Company is as set forth on </w:t>
      </w:r>
      <w:r>
        <w:rPr>
          <w:rFonts w:ascii="Times New Roman" w:hAnsi="Times New Roman"/>
          <w:sz w:val="20"/>
          <w:u w:val="single"/>
        </w:rPr>
        <w:t>Schedule 3.1(g)</w:t>
      </w:r>
      <w:r>
        <w:rPr>
          <w:rFonts w:ascii="Times New Roman" w:hAnsi="Times New Roman"/>
          <w:sz w:val="20"/>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Shares will not obligate the Company to issue shares of Common Stock or other securities to any Person (other than the Purchaser) and will not result in a right of any holder of Company securities to adjust the exercise, conversion, exchange or reset price under any of such securities.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(h)</w:t>
      </w:r>
      <w:bookmarkStart w:id="89" w:name="TAB229"/>
      <w:bookmarkEnd w:id="89"/>
      <w:r>
        <w:rPr>
          <w:color w:val="000000"/>
          <w:spacing w:val="180"/>
        </w:rPr>
        <w:t> </w:t>
      </w:r>
      <w:r>
        <w:rPr>
          <w:rFonts w:ascii="Times New Roman" w:hAnsi="Times New Roman"/>
          <w:sz w:val="20"/>
          <w:u w:val="single"/>
        </w:rPr>
        <w:t>SEC Reports; Financial Statements</w:t>
      </w:r>
      <w:r>
        <w:rPr>
          <w:rFonts w:ascii="Times New Roman" w:hAnsi="Times New Roman"/>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hAnsi="Times New Roman"/>
          <w:i/>
          <w:sz w:val="20"/>
        </w:rPr>
        <w:t>SEC Reports</w:t>
      </w:r>
      <w:r>
        <w:rPr>
          <w:rFonts w:ascii="Times New Roman" w:hAnsi="Times New Roman"/>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i/>
          <w:sz w:val="20"/>
        </w:rPr>
        <w:t>GAAP</w:t>
      </w:r>
      <w:r>
        <w:rPr>
          <w:rFonts w:ascii="Times New Roman" w:hAnsi="Times New Roman"/>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90" w:name="PGBRK6"/>
      <w:bookmarkStart w:id="91" w:name="PGBRK6"/>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92" w:name="FTR6"/>
      <w:bookmarkStart w:id="93" w:name="FTR6"/>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 w:name="GLFTR6"/>
      <w:bookmarkEnd w:id="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5" w:name="PN6"/>
      <w:bookmarkEnd w:id="95"/>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96" w:name="HDR6"/>
      <w:bookmarkStart w:id="97" w:name="HDR6"/>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 w:name="GLHDR6"/>
      <w:bookmarkEnd w:id="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(i)</w:t>
      </w:r>
      <w:bookmarkStart w:id="99" w:name="TAB230"/>
      <w:bookmarkEnd w:id="99"/>
      <w:r>
        <w:rPr>
          <w:color w:val="000000"/>
          <w:spacing w:val="180"/>
        </w:rPr>
        <w:t> </w:t>
      </w:r>
      <w:r>
        <w:rPr>
          <w:rFonts w:ascii="Times New Roman" w:hAnsi="Times New Roman"/>
          <w:sz w:val="20"/>
          <w:u w:val="single"/>
        </w:rPr>
        <w:t>Material Changes; Undisclosed Events, Liabilities or Developments</w:t>
      </w:r>
      <w:r>
        <w:rPr>
          <w:rFonts w:ascii="Times New Roman" w:hAnsi="Times New Roman"/>
          <w:sz w:val="20"/>
        </w:rPr>
        <w:t xml:space="preserve">.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and (iv) the Company has not declared or made any dividend or distribution of cash or other property to its stockholders or purchased, redeemed or made any agreements to purchase or redeem any shares of its capital stock.  The Company does not have pending before the Commission any request for confidential treatment of information.  Except for the issuance of the Shares contemplated by this Agreement or as set forth on </w:t>
      </w:r>
      <w:r>
        <w:rPr>
          <w:rFonts w:ascii="Times New Roman" w:hAnsi="Times New Roman"/>
          <w:sz w:val="20"/>
          <w:u w:val="single"/>
        </w:rPr>
        <w:t>Schedule 3.1(i)</w:t>
      </w:r>
      <w:r>
        <w:rPr>
          <w:rFonts w:ascii="Times New Roman" w:hAnsi="Times New Roman"/>
          <w:sz w:val="20"/>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(j)</w:t>
      </w:r>
      <w:bookmarkStart w:id="100" w:name="TAB231"/>
      <w:bookmarkEnd w:id="100"/>
      <w:r>
        <w:rPr>
          <w:color w:val="000000"/>
          <w:spacing w:val="180"/>
        </w:rPr>
        <w:t> </w:t>
      </w:r>
      <w:r>
        <w:rPr>
          <w:rFonts w:ascii="Times New Roman" w:hAnsi="Times New Roman"/>
          <w:sz w:val="20"/>
          <w:u w:val="single"/>
        </w:rPr>
        <w:t>Litigation</w:t>
      </w:r>
      <w:r>
        <w:rPr>
          <w:rFonts w:ascii="Times New Roman" w:hAnsi="Times New Roman"/>
          <w:sz w:val="20"/>
        </w:rPr>
        <w:t>.  There is no action, suit, inquiry, notice of violation, proceeding or investigation pending or, to the actual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hAnsi="Times New Roman"/>
          <w:i/>
          <w:sz w:val="20"/>
        </w:rPr>
        <w:t>Action</w:t>
      </w:r>
      <w:r>
        <w:rPr>
          <w:rFonts w:ascii="Times New Roman" w:hAnsi="Times New Roman"/>
          <w:sz w:val="20"/>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(k)</w:t>
      </w:r>
      <w:bookmarkStart w:id="101" w:name="TAB232"/>
      <w:bookmarkEnd w:id="101"/>
      <w:r>
        <w:rPr>
          <w:color w:val="000000"/>
          <w:spacing w:val="180"/>
        </w:rPr>
        <w:t> </w:t>
      </w:r>
      <w:r>
        <w:rPr>
          <w:rFonts w:ascii="Times New Roman" w:hAnsi="Times New Roman"/>
          <w:sz w:val="20"/>
          <w:u w:val="single"/>
        </w:rPr>
        <w:t>Labor Relations</w:t>
      </w:r>
      <w:r>
        <w:rPr>
          <w:rFonts w:ascii="Times New Roman" w:hAnsi="Times New Roman"/>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(l)</w:t>
      </w:r>
      <w:bookmarkStart w:id="102" w:name="TAB233"/>
      <w:bookmarkEnd w:id="102"/>
      <w:r>
        <w:rPr>
          <w:color w:val="000000"/>
          <w:spacing w:val="180"/>
        </w:rPr>
        <w:t> </w:t>
      </w:r>
      <w:r>
        <w:rPr>
          <w:rFonts w:ascii="Times New Roman" w:hAnsi="Times New Roman"/>
          <w:sz w:val="20"/>
          <w:u w:val="single"/>
        </w:rPr>
        <w:t>Compliance</w:t>
      </w:r>
      <w:r>
        <w:rPr>
          <w:rFonts w:ascii="Times New Roman" w:hAnsi="Times New Roman"/>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03" w:name="PGBRK7"/>
      <w:bookmarkStart w:id="104" w:name="PGBRK7"/>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05" w:name="FTR7"/>
      <w:bookmarkStart w:id="106" w:name="FTR7"/>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 w:name="GLFTR7"/>
      <w:bookmarkEnd w:id="1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8" w:name="PN7"/>
      <w:bookmarkEnd w:id="108"/>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09" w:name="HDR7"/>
      <w:bookmarkStart w:id="110" w:name="HDR7"/>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1" w:name="GLHDR7"/>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(m)</w:t>
      </w:r>
      <w:bookmarkStart w:id="112" w:name="TAB234"/>
      <w:bookmarkEnd w:id="112"/>
      <w:r>
        <w:rPr>
          <w:color w:val="000000"/>
          <w:spacing w:val="180"/>
        </w:rPr>
        <w:t> </w:t>
      </w:r>
      <w:r>
        <w:rPr>
          <w:rFonts w:ascii="Times New Roman" w:hAnsi="Times New Roman"/>
          <w:sz w:val="20"/>
          <w:u w:val="single"/>
        </w:rPr>
        <w:t>Regulatory Permits</w:t>
      </w:r>
      <w:r>
        <w:rPr>
          <w:rFonts w:ascii="Times New Roman" w:hAnsi="Times New Roman"/>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i/>
          <w:sz w:val="20"/>
        </w:rPr>
        <w:t>Material Permits</w:t>
      </w:r>
      <w:r>
        <w:rPr>
          <w:rFonts w:ascii="Times New Roman" w:hAnsi="Times New Roman"/>
          <w:sz w:val="20"/>
        </w:rPr>
        <w:t>”), and neither the Company nor any Subsidiary has received any notice of proceedings relating to the revocation or modification of any Material Permit.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(n)</w:t>
      </w:r>
      <w:bookmarkStart w:id="113" w:name="TAB235"/>
      <w:bookmarkEnd w:id="113"/>
      <w:r>
        <w:rPr>
          <w:color w:val="000000"/>
          <w:spacing w:val="180"/>
        </w:rPr>
        <w:t> </w:t>
      </w:r>
      <w:r>
        <w:rPr>
          <w:rFonts w:ascii="Times New Roman" w:hAnsi="Times New Roman"/>
          <w:sz w:val="20"/>
          <w:u w:val="single"/>
        </w:rPr>
        <w:t>Title to Assets</w:t>
      </w:r>
      <w:r>
        <w:rPr>
          <w:rFonts w:ascii="Times New Roman" w:hAnsi="Times New Roman"/>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(o)</w:t>
      </w:r>
      <w:bookmarkStart w:id="114" w:name="TAB236"/>
      <w:bookmarkEnd w:id="114"/>
      <w:r>
        <w:rPr>
          <w:color w:val="000000"/>
          <w:spacing w:val="180"/>
        </w:rPr>
        <w:t> </w:t>
      </w:r>
      <w:r>
        <w:rPr>
          <w:rFonts w:ascii="Times New Roman" w:hAnsi="Times New Roman"/>
          <w:sz w:val="20"/>
          <w:u w:val="single"/>
        </w:rPr>
        <w:t>Intellectual Property</w:t>
      </w:r>
      <w:r>
        <w:rPr>
          <w:rFonts w:ascii="Times New Roman" w:hAnsi="Times New Roman"/>
          <w:sz w:val="20"/>
        </w:rPr>
        <w:t>.  The Company and the Subsidiaries have, or have rights to use, all patents, patent applications, trademarks, trademark applications, service marks, trade names, trade secrets, inventions, copyrights, licenses and other intellectual property rights and similar rights as described in the SEC Reports as necessary or required for use in connection with their respective businesses and which the failure to so have could have a Material Adverse Effect (collectively, the “</w:t>
      </w:r>
      <w:r>
        <w:rPr>
          <w:rFonts w:ascii="Times New Roman" w:hAnsi="Times New Roman"/>
          <w:i/>
          <w:sz w:val="20"/>
        </w:rPr>
        <w:t>Intellectual Property Rights</w:t>
      </w:r>
      <w:r>
        <w:rPr>
          <w:rFonts w:ascii="Times New Roman" w:hAnsi="Times New Roman"/>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(p)</w:t>
      </w:r>
      <w:bookmarkStart w:id="115" w:name="TAB237"/>
      <w:bookmarkEnd w:id="115"/>
      <w:r>
        <w:rPr>
          <w:color w:val="000000"/>
          <w:spacing w:val="180"/>
        </w:rPr>
        <w:t> </w:t>
      </w:r>
      <w:r>
        <w:rPr>
          <w:rFonts w:ascii="Times New Roman" w:hAnsi="Times New Roman"/>
          <w:sz w:val="20"/>
          <w:u w:val="single"/>
        </w:rPr>
        <w:t>Insurance</w:t>
      </w:r>
      <w:r>
        <w:rPr>
          <w:rFonts w:ascii="Times New Roman" w:hAnsi="Times New Roman"/>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(q)</w:t>
      </w:r>
      <w:bookmarkStart w:id="116" w:name="TAB238"/>
      <w:bookmarkEnd w:id="116"/>
      <w:r>
        <w:rPr>
          <w:color w:val="000000"/>
          <w:spacing w:val="180"/>
        </w:rPr>
        <w:t> </w:t>
      </w:r>
      <w:r>
        <w:rPr>
          <w:rFonts w:ascii="Times New Roman" w:hAnsi="Times New Roman"/>
          <w:sz w:val="20"/>
          <w:u w:val="single"/>
        </w:rPr>
        <w:t>Transactions With Affiliates and Employees</w:t>
      </w:r>
      <w:r>
        <w:rPr>
          <w:rFonts w:ascii="Times New Roman" w:hAnsi="Times New Roman"/>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 w:name="PGBRK8"/>
      <w:bookmarkStart w:id="118" w:name="PGBRK8"/>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FTR8"/>
      <w:bookmarkStart w:id="120" w:name="FTR8"/>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1" w:name="GLFTR8"/>
      <w:bookmarkEnd w:id="1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 w:name="PN8"/>
      <w:bookmarkEnd w:id="122"/>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HDR8"/>
      <w:bookmarkStart w:id="124" w:name="HDR8"/>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5" w:name="GLHDR8"/>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rFonts w:ascii="Times New Roman" w:hAnsi="Times New Roman"/>
          <w:sz w:val="20"/>
        </w:rPr>
        <w:t>(r)</w:t>
      </w:r>
      <w:bookmarkStart w:id="126" w:name="TAB239"/>
      <w:bookmarkEnd w:id="126"/>
      <w:r>
        <w:rPr>
          <w:color w:val="000000"/>
          <w:spacing w:val="180"/>
        </w:rPr>
        <w:t> </w:t>
      </w:r>
      <w:r>
        <w:rPr>
          <w:rFonts w:ascii="Times New Roman" w:hAnsi="Times New Roman"/>
          <w:sz w:val="20"/>
          <w:u w:val="single"/>
        </w:rPr>
        <w:t>Certain Fees</w:t>
      </w:r>
      <w:r>
        <w:rPr>
          <w:rFonts w:ascii="Times New Roman" w:hAnsi="Times New Roman"/>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(s)</w:t>
      </w:r>
      <w:bookmarkStart w:id="127" w:name="TAB240"/>
      <w:bookmarkEnd w:id="127"/>
      <w:r>
        <w:rPr>
          <w:color w:val="000000"/>
          <w:spacing w:val="180"/>
        </w:rPr>
        <w:t> </w:t>
      </w:r>
      <w:r>
        <w:rPr>
          <w:rFonts w:ascii="Times New Roman" w:hAnsi="Times New Roman"/>
          <w:sz w:val="20"/>
          <w:u w:val="single"/>
        </w:rPr>
        <w:t>Private Placement</w:t>
      </w:r>
      <w:r>
        <w:rPr>
          <w:rFonts w:ascii="Times New Roman" w:hAnsi="Times New Roman"/>
          <w:sz w:val="20"/>
        </w:rPr>
        <w:t>. Assuming the accuracy of the Purchaser’s representations and warranties set forth in Section 3.2, no registration under the Securities Act is required for the offer and sale of the Shares by the Company to the Purchaser as contemplated hereby. The issuance and sale of the Shares hereunder does not contravene the rules and regulations of the Trading Market.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(t)</w:t>
      </w:r>
      <w:bookmarkStart w:id="128" w:name="TAB241"/>
      <w:bookmarkEnd w:id="128"/>
      <w:r>
        <w:rPr>
          <w:color w:val="000000"/>
          <w:spacing w:val="180"/>
        </w:rPr>
        <w:t> </w:t>
      </w:r>
      <w:r>
        <w:rPr>
          <w:rFonts w:ascii="Times New Roman" w:hAnsi="Times New Roman"/>
          <w:sz w:val="20"/>
          <w:u w:val="single"/>
        </w:rPr>
        <w:t>Investment Company</w:t>
      </w:r>
      <w:r>
        <w:rPr>
          <w:rFonts w:ascii="Times New Roman" w:hAnsi="Times New Roman"/>
          <w:sz w:val="20"/>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(u)</w:t>
      </w:r>
      <w:bookmarkStart w:id="129" w:name="TAB242"/>
      <w:bookmarkEnd w:id="129"/>
      <w:r>
        <w:rPr>
          <w:color w:val="000000"/>
          <w:spacing w:val="180"/>
        </w:rPr>
        <w:t> </w:t>
      </w:r>
      <w:r>
        <w:rPr>
          <w:rFonts w:ascii="Times New Roman" w:hAnsi="Times New Roman"/>
          <w:sz w:val="20"/>
          <w:u w:val="single"/>
        </w:rPr>
        <w:t>Registration Rights</w:t>
      </w:r>
      <w:r>
        <w:rPr>
          <w:rFonts w:ascii="Times New Roman" w:hAnsi="Times New Roman"/>
          <w:sz w:val="20"/>
        </w:rPr>
        <w:t>.  Other than the Purchaser acting under Section 4.1 herein, no Person has any right to cause the Company to effect the registration under the Securities Act of any securities of the Company or any Subsidiary.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(v)</w:t>
      </w:r>
      <w:bookmarkStart w:id="130" w:name="TAB243"/>
      <w:bookmarkEnd w:id="130"/>
      <w:r>
        <w:rPr>
          <w:color w:val="000000"/>
          <w:spacing w:val="180"/>
        </w:rPr>
        <w:t> </w:t>
      </w:r>
      <w:r>
        <w:rPr>
          <w:rFonts w:ascii="Times New Roman" w:hAnsi="Times New Roman"/>
          <w:sz w:val="20"/>
          <w:u w:val="single"/>
        </w:rPr>
        <w:t>Listing and Maintenance Requirements</w:t>
      </w:r>
      <w:r>
        <w:rPr>
          <w:rFonts w:ascii="Times New Roman" w:hAnsi="Times New Roman"/>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(w)</w:t>
      </w:r>
      <w:bookmarkStart w:id="131" w:name="TAB244"/>
      <w:bookmarkEnd w:id="131"/>
      <w:r>
        <w:rPr>
          <w:color w:val="000000"/>
          <w:spacing w:val="180"/>
        </w:rPr>
        <w:t> </w:t>
      </w:r>
      <w:r>
        <w:rPr>
          <w:rFonts w:ascii="Times New Roman" w:hAnsi="Times New Roman"/>
          <w:sz w:val="20"/>
          <w:u w:val="single"/>
        </w:rPr>
        <w:t>Disclosure</w:t>
      </w:r>
      <w:r>
        <w:rPr>
          <w:rFonts w:ascii="Times New Roman" w:hAnsi="Times New Roman"/>
          <w:sz w:val="20"/>
        </w:rPr>
        <w:t>.  Except with respect to the material terms and conditions of the transactions contemplated by the Transaction Documents, the Company confirms that neither it nor any other Person acting on its behalf has provided the Purchaser or their agents or counsel with any information that it believes constitutes or might constitute material, non-public information.   The Company understands and confirms that the Purchaser will rely on the foregoing representation in effecting transactions in securities of the Company.  All of the disclosure furnished by or on behalf of the Company to the Purchaser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the Purchaser makes no or has not made any representations or warranties with respect to the transactions contemplated hereby other than those specifically set forth in Section 3.2 hereof.</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(x)</w:t>
      </w:r>
      <w:bookmarkStart w:id="132" w:name="TAB245"/>
      <w:bookmarkEnd w:id="132"/>
      <w:r>
        <w:rPr>
          <w:color w:val="000000"/>
          <w:spacing w:val="180"/>
        </w:rPr>
        <w:t> </w:t>
      </w:r>
      <w:r>
        <w:rPr>
          <w:rFonts w:ascii="Times New Roman" w:hAnsi="Times New Roman"/>
          <w:sz w:val="20"/>
          <w:u w:val="single"/>
        </w:rPr>
        <w:t>Tax Status</w:t>
      </w:r>
      <w:r>
        <w:rPr>
          <w:rFonts w:ascii="Times New Roman" w:hAnsi="Times New Roman"/>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33" w:name="PGBRK9"/>
      <w:bookmarkStart w:id="134" w:name="PGBRK9"/>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5" w:name="FTR9"/>
      <w:bookmarkStart w:id="136" w:name="FTR9"/>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7" w:name="GLFTR9"/>
      <w:bookmarkEnd w:id="1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 w:name="PN9"/>
      <w:bookmarkEnd w:id="138"/>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9" w:name="HDR9"/>
      <w:bookmarkStart w:id="140" w:name="HDR9"/>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1" w:name="GLHDR9"/>
      <w:bookmarkEnd w:id="1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(y)</w:t>
      </w:r>
      <w:bookmarkStart w:id="142" w:name="TAB246"/>
      <w:bookmarkEnd w:id="142"/>
      <w:r>
        <w:rPr>
          <w:color w:val="000000"/>
          <w:spacing w:val="180"/>
        </w:rPr>
        <w:t> </w:t>
      </w:r>
      <w:r>
        <w:rPr>
          <w:rFonts w:ascii="Times New Roman" w:hAnsi="Times New Roman"/>
          <w:sz w:val="20"/>
          <w:u w:val="single"/>
        </w:rPr>
        <w:t>No General Solicitation</w:t>
      </w:r>
      <w:r>
        <w:rPr>
          <w:rFonts w:ascii="Times New Roman" w:hAnsi="Times New Roman"/>
          <w:sz w:val="20"/>
        </w:rPr>
        <w:t>.  Neither the Company nor any person acting on behalf of the Company has offered or sold any of the Shares by any form of general solicitation or general advertising.  The Company has offered the Shares for sale only to the Purchaser and certain other “accredited investors” within the meaning of Rule 501 under the Securities Act.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3.2</w:t>
      </w:r>
      <w:bookmarkStart w:id="143" w:name="TAB247"/>
      <w:bookmarkEnd w:id="143"/>
      <w:r>
        <w:rPr>
          <w:color w:val="000000"/>
          <w:spacing w:val="180"/>
        </w:rPr>
        <w:t> </w:t>
      </w:r>
      <w:r>
        <w:rPr>
          <w:rFonts w:ascii="Times New Roman" w:hAnsi="Times New Roman"/>
          <w:sz w:val="20"/>
          <w:u w:val="single"/>
        </w:rPr>
        <w:t>Representations and Warranties of the Purchaser</w:t>
      </w:r>
      <w:r>
        <w:rPr>
          <w:rFonts w:ascii="Times New Roman" w:hAnsi="Times New Roman"/>
          <w:sz w:val="20"/>
        </w:rPr>
        <w:t>.  The Purchaser hereby represents and warrants to the Company, as of the date hereof:</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144" w:name="TAB248"/>
      <w:bookmarkEnd w:id="144"/>
      <w:r>
        <w:rPr>
          <w:color w:val="000000"/>
          <w:spacing w:val="180"/>
        </w:rPr>
        <w:t> </w:t>
      </w:r>
      <w:r>
        <w:rPr>
          <w:rFonts w:ascii="Times New Roman" w:hAnsi="Times New Roman"/>
          <w:sz w:val="20"/>
          <w:u w:val="single"/>
        </w:rPr>
        <w:t>Organization; Authority</w:t>
      </w:r>
      <w:r>
        <w:rPr>
          <w:rFonts w:ascii="Times New Roman" w:hAnsi="Times New Roman"/>
          <w:sz w:val="20"/>
        </w:rPr>
        <w:t>.  The Purchaser is an entity duly organized and formed, validly existing and in good standing under the laws of Switzerland.  The Purchaser has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(b)</w:t>
      </w:r>
      <w:bookmarkStart w:id="145" w:name="TAB249"/>
      <w:bookmarkEnd w:id="145"/>
      <w:r>
        <w:rPr>
          <w:color w:val="000000"/>
          <w:spacing w:val="180"/>
        </w:rPr>
        <w:t> </w:t>
      </w:r>
      <w:r>
        <w:rPr>
          <w:rFonts w:ascii="Times New Roman" w:hAnsi="Times New Roman"/>
          <w:sz w:val="20"/>
          <w:u w:val="single"/>
        </w:rPr>
        <w:t>Own Account</w:t>
      </w:r>
      <w:r>
        <w:rPr>
          <w:rFonts w:ascii="Times New Roman" w:hAnsi="Times New Roman"/>
          <w:sz w:val="20"/>
        </w:rPr>
        <w:t>.  The Purchaser understands that the Shares are “restricted securities” and have not been registered under the Securities Act or any applicable state securities law and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the Purchaser’s right to sell the Shares pursuant to the Registration Statement or otherwise in compliance with applicable federal and state securities laws).  The Purchaser is acquiring the Shares hereunder in the ordinary course of its business.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(c)</w:t>
      </w:r>
      <w:bookmarkStart w:id="146" w:name="TAB250"/>
      <w:bookmarkEnd w:id="146"/>
      <w:r>
        <w:rPr>
          <w:color w:val="000000"/>
          <w:spacing w:val="180"/>
        </w:rPr>
        <w:t> </w:t>
      </w:r>
      <w:r>
        <w:rPr>
          <w:rFonts w:ascii="Times New Roman" w:hAnsi="Times New Roman"/>
          <w:sz w:val="20"/>
          <w:u w:val="single"/>
        </w:rPr>
        <w:t>Purchaser Status</w:t>
      </w:r>
      <w:r>
        <w:rPr>
          <w:rFonts w:ascii="Times New Roman" w:hAnsi="Times New Roman"/>
          <w:sz w:val="20"/>
        </w:rPr>
        <w:t>.  At the time the Purchaser was offered the Shares, it was, and as of the date hereof it is, and on each Investment Date on which it purchases Shares, it will be either: (i) an “accredited investor” as defined in Rule 501(a)(1), (a)(2), (a)(3), (a)(7) or (a)(8) under the Securities Act or (ii) a “qualified institutional buyer” as defined in Rule 144A(a) under the Securities Act.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(d)</w:t>
      </w:r>
      <w:bookmarkStart w:id="147" w:name="TAB251"/>
      <w:bookmarkEnd w:id="147"/>
      <w:r>
        <w:rPr>
          <w:color w:val="000000"/>
          <w:spacing w:val="180"/>
        </w:rPr>
        <w:t> </w:t>
      </w:r>
      <w:r>
        <w:rPr>
          <w:rFonts w:ascii="Times New Roman" w:hAnsi="Times New Roman"/>
          <w:sz w:val="20"/>
          <w:u w:val="single"/>
        </w:rPr>
        <w:t>Experience of the Purchaser</w:t>
      </w:r>
      <w:r>
        <w:rPr>
          <w:rFonts w:ascii="Times New Roman" w:hAnsi="Times New Roman"/>
          <w:sz w:val="20"/>
        </w:rPr>
        <w:t>.  The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(e)</w:t>
      </w:r>
      <w:bookmarkStart w:id="148" w:name="TAB252"/>
      <w:bookmarkEnd w:id="148"/>
      <w:r>
        <w:rPr>
          <w:color w:val="000000"/>
          <w:spacing w:val="180"/>
        </w:rPr>
        <w:t> </w:t>
      </w:r>
      <w:r>
        <w:rPr>
          <w:rFonts w:ascii="Times New Roman" w:hAnsi="Times New Roman"/>
          <w:sz w:val="20"/>
          <w:u w:val="single"/>
        </w:rPr>
        <w:t>General Solicitation</w:t>
      </w:r>
      <w:r>
        <w:rPr>
          <w:rFonts w:ascii="Times New Roman" w:hAnsi="Times New Roman"/>
          <w:sz w:val="20"/>
        </w:rPr>
        <w:t>.  The 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(f)</w:t>
      </w:r>
      <w:bookmarkStart w:id="149" w:name="TAB253"/>
      <w:bookmarkEnd w:id="149"/>
      <w:r>
        <w:rPr>
          <w:color w:val="000000"/>
          <w:spacing w:val="180"/>
        </w:rPr>
        <w:t> </w:t>
      </w:r>
      <w:r>
        <w:rPr>
          <w:rFonts w:ascii="Times New Roman" w:hAnsi="Times New Roman"/>
          <w:sz w:val="20"/>
          <w:u w:val="single"/>
        </w:rPr>
        <w:t>Certain Transactions and Confidentiality</w:t>
      </w:r>
      <w:r>
        <w:rPr>
          <w:rFonts w:ascii="Times New Roman" w:hAnsi="Times New Roman"/>
          <w:sz w:val="20"/>
        </w:rPr>
        <w:t>.  Other than consummating the transactions contemplated hereunder, the Purchaser has not directly or indirectly, nor has any Person acting on behalf of or pursuant to any understanding with the Purchaser,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0" w:name="PGBRK10"/>
      <w:bookmarkStart w:id="151" w:name="PGBRK10"/>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2" w:name="FTR10"/>
      <w:bookmarkStart w:id="153" w:name="FTR10"/>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4" w:name="GLFTR10"/>
      <w:bookmarkEnd w:id="1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5" w:name="PN10"/>
      <w:bookmarkEnd w:id="155"/>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6" w:name="HDR10"/>
      <w:bookmarkStart w:id="157" w:name="HDR10"/>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8" w:name="GLHDR10"/>
      <w:bookmarkEnd w:id="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(g)</w:t>
      </w:r>
      <w:bookmarkStart w:id="159" w:name="TAB254"/>
      <w:bookmarkEnd w:id="159"/>
      <w:r>
        <w:rPr>
          <w:color w:val="000000"/>
          <w:spacing w:val="180"/>
        </w:rPr>
        <w:t> </w:t>
      </w:r>
      <w:r>
        <w:rPr>
          <w:rFonts w:ascii="Times New Roman" w:hAnsi="Times New Roman"/>
          <w:sz w:val="20"/>
          <w:u w:val="single"/>
        </w:rPr>
        <w:t>Compliance with Foreign Laws</w:t>
      </w:r>
      <w:r>
        <w:rPr>
          <w:rFonts w:ascii="Times New Roman" w:hAnsi="Times New Roman"/>
          <w:sz w:val="20"/>
        </w:rPr>
        <w:t>.  The Purchaser has satisfied itself as to the full observance of the laws of Switzerland or any other applicable jurisdiction in connection with any invitation to subscribe for the Shares or any use of, compliance with, or observance of any term or condition set forth in the Transaction Documents.  The Purchaser’s subscription and payment for and continued beneficial ownership of the Shares will not violate any applicable securities or other laws of the jurisdiction of its incorporation or any other jurisdiction applicable to Purchaser.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acknowledges and agrees that the representations contained in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IV.</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REGISTRATION  RIGHTS</w:t>
      </w:r>
    </w:p>
    <w:p>
      <w:pPr>
        <w:pStyle w:val="TextBody"/>
        <w:spacing w:before="0" w:after="0"/>
        <w:ind w:left="0" w:right="0" w:hanging="0"/>
        <w:rPr/>
      </w:pPr>
      <w:r>
        <w:rPr/>
      </w:r>
    </w:p>
    <w:p>
      <w:pPr>
        <w:pStyle w:val="TextBody"/>
        <w:spacing w:before="0" w:after="0"/>
        <w:ind w:left="0" w:right="0" w:firstLine="720"/>
        <w:jc w:val="both"/>
        <w:rPr/>
      </w:pPr>
      <w:r>
        <w:rPr>
          <w:rFonts w:ascii="Times New Roman" w:hAnsi="Times New Roman"/>
          <w:sz w:val="20"/>
        </w:rPr>
        <w:t>4.1</w:t>
      </w:r>
      <w:bookmarkStart w:id="160" w:name="TAB255"/>
      <w:bookmarkEnd w:id="160"/>
      <w:r>
        <w:rPr>
          <w:color w:val="000000"/>
          <w:spacing w:val="180"/>
        </w:rPr>
        <w:t> </w:t>
      </w:r>
      <w:r>
        <w:rPr>
          <w:rFonts w:ascii="Times New Roman" w:hAnsi="Times New Roman"/>
          <w:sz w:val="20"/>
          <w:u w:val="single"/>
        </w:rPr>
        <w:t>Demand Registration</w:t>
      </w:r>
      <w:r>
        <w:rPr>
          <w:rFonts w:ascii="Times New Roman" w:hAnsi="Times New Roman"/>
          <w:sz w:val="20"/>
        </w:rPr>
        <w:t>. If the Company shall receive from Purchaser, at any time, a written request that the Company effect any registration with respect to all, but not less than all, of the Shares, the Company shall, as soon as practicable, use its best efforts to file a Registration Statement with the Commission covering the Shares, and to effect such registration (including, without limitation, filing post-effective amendments, appropriate qualifications under applicable blue sky or other state securities laws, and appropriate compliance with the Securities Act) as would permit or facilitate the sale and distribution of the Shares as are specified in such request. The Registration Statement filed pursuant to the request of the Purchaser may include other securities of the Company, with respect to which registration rights have been granted, and may include securities of the Company being sold for the account of the Company.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4.2</w:t>
      </w:r>
      <w:bookmarkStart w:id="161" w:name="TAB256"/>
      <w:bookmarkEnd w:id="161"/>
      <w:r>
        <w:rPr>
          <w:color w:val="000000"/>
          <w:spacing w:val="180"/>
        </w:rPr>
        <w:t> </w:t>
      </w:r>
      <w:r>
        <w:rPr>
          <w:rFonts w:ascii="Times New Roman" w:hAnsi="Times New Roman"/>
          <w:sz w:val="20"/>
          <w:u w:val="single"/>
        </w:rPr>
        <w:t>Expense of Registration</w:t>
      </w:r>
      <w:r>
        <w:rPr>
          <w:rFonts w:ascii="Times New Roman" w:hAnsi="Times New Roman"/>
          <w:sz w:val="20"/>
        </w:rPr>
        <w:t xml:space="preserve">. All registration expenses incurred in connection with any registration, qualification or compliance pursuant to Section 4.1 hereof, shall be borne by the Company; </w:t>
      </w:r>
      <w:r>
        <w:rPr>
          <w:rFonts w:ascii="Times New Roman" w:hAnsi="Times New Roman"/>
          <w:i/>
          <w:sz w:val="20"/>
        </w:rPr>
        <w:t>provided, however</w:t>
      </w:r>
      <w:r>
        <w:rPr>
          <w:rFonts w:ascii="Times New Roman" w:hAnsi="Times New Roman"/>
          <w:sz w:val="20"/>
        </w:rPr>
        <w:t>, that the Purchaser shall bear the registration expenses for any registration proceeding begun pursuant to Section 4.1 and subsequently withdrawn by the Purchaser. All selling expenses relating to securities registered pursuant to Section 4.1 hereof shall be borne by the holders of such securities pro rata on the basis of the number of shares of securities so registered on their behalf.</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V.</w:t>
      </w:r>
    </w:p>
    <w:p>
      <w:pPr>
        <w:pStyle w:val="TextBody"/>
        <w:spacing w:before="0" w:after="0"/>
        <w:ind w:left="0" w:right="0" w:hanging="0"/>
        <w:jc w:val="center"/>
        <w:rPr>
          <w:rFonts w:ascii="Times New Roman" w:hAnsi="Times New Roman"/>
          <w:b/>
          <w:sz w:val="20"/>
        </w:rPr>
      </w:pPr>
      <w:r>
        <w:rPr>
          <w:rFonts w:ascii="Times New Roman" w:hAnsi="Times New Roman"/>
          <w:b/>
          <w:sz w:val="20"/>
        </w:rPr>
        <w:t>OTHER AGREEMENTS OF THE PARTIES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5.1</w:t>
      </w:r>
      <w:bookmarkStart w:id="162" w:name="TAB257"/>
      <w:bookmarkEnd w:id="162"/>
      <w:r>
        <w:rPr>
          <w:color w:val="000000"/>
          <w:spacing w:val="180"/>
        </w:rPr>
        <w:t> </w:t>
      </w:r>
      <w:r>
        <w:rPr>
          <w:rFonts w:ascii="Times New Roman" w:hAnsi="Times New Roman"/>
          <w:sz w:val="20"/>
          <w:u w:val="single"/>
        </w:rPr>
        <w:t>Transfer Restrictions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163" w:name="TAB258"/>
      <w:bookmarkEnd w:id="163"/>
      <w:r>
        <w:rPr>
          <w:color w:val="000000"/>
          <w:spacing w:val="180"/>
        </w:rPr>
        <w:t> </w:t>
      </w:r>
      <w:r>
        <w:rPr>
          <w:rFonts w:ascii="Times New Roman" w:hAnsi="Times New Roman"/>
          <w:sz w:val="20"/>
        </w:rPr>
        <w:t>The Shares may only be disposed of in compliance with state and federal securities laws.  In connection with any transfer of Shares other than pursuant to an effective registration statement or Rule 144, to the Company or to an Affiliate of the Purchaser or in connection with a pledge as contemplated in Section 5.1(b),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and obligations of the Purchaser under this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(b)</w:t>
      </w:r>
      <w:bookmarkStart w:id="164" w:name="TAB259"/>
      <w:bookmarkEnd w:id="164"/>
      <w:r>
        <w:rPr>
          <w:color w:val="000000"/>
          <w:spacing w:val="180"/>
        </w:rPr>
        <w:t> </w:t>
      </w:r>
      <w:r>
        <w:rPr>
          <w:rFonts w:ascii="Times New Roman" w:hAnsi="Times New Roman"/>
          <w:sz w:val="20"/>
        </w:rPr>
        <w:t>The Purchaser agrees to the imprinting, so long as is required by this Section 5.1, of a legend on any of the Shares in the following form: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5" w:name="PGBRK11"/>
      <w:bookmarkStart w:id="166" w:name="PGBRK11"/>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7" w:name="FTR11"/>
      <w:bookmarkStart w:id="168" w:name="FTR11"/>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9" w:name="GLFTR11"/>
      <w:bookmarkEnd w:id="1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0" w:name="PN11"/>
      <w:bookmarkEnd w:id="170"/>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1" w:name="HDR11"/>
      <w:bookmarkStart w:id="172" w:name="HDR11"/>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3" w:name="GLHDR11"/>
      <w:bookmarkEnd w:id="1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acknowledges and agrees that the Purchaser may from time to time pledge pursuant to a bona fide margin agreement with a registered broker-dealer or grant a security interest in some or all of the Shares to a financial institution that is an “accredited investor” as defined in Rule 501(a) under the Securities Act and who agrees to be bound by the provisions of this Agreement and, if required under the terms of such arrangement, the Purchaser may transfer pledged or secured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Shares may reasonably request in connection with a pledge or transfer of the Shares, including, if the Shares are subject to registration pursuant to Section 4.1 herein, the preparation and filing of any required prospectus supplement under Rule 424(b)(3) under the Securities Act or other applicable provision of the Securities Act.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(c)</w:t>
      </w:r>
      <w:bookmarkStart w:id="174" w:name="TAB260"/>
      <w:bookmarkEnd w:id="174"/>
      <w:r>
        <w:rPr>
          <w:color w:val="000000"/>
          <w:spacing w:val="180"/>
        </w:rPr>
        <w:t> </w:t>
      </w:r>
      <w:r>
        <w:rPr>
          <w:rFonts w:ascii="Times New Roman" w:hAnsi="Times New Roman"/>
          <w:sz w:val="20"/>
        </w:rPr>
        <w:t>The Purchaser agrees with the Company that the Purchaser will sell any Shares pursuant to either the registration requirements of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Section 5.1 is predicated upon the Company’s reliance upon this understanding.</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5.2</w:t>
      </w:r>
      <w:bookmarkStart w:id="175" w:name="TAB261"/>
      <w:bookmarkEnd w:id="175"/>
      <w:r>
        <w:rPr>
          <w:color w:val="000000"/>
          <w:spacing w:val="180"/>
        </w:rPr>
        <w:t> </w:t>
      </w:r>
      <w:r>
        <w:rPr>
          <w:rFonts w:ascii="Times New Roman" w:hAnsi="Times New Roman"/>
          <w:sz w:val="20"/>
          <w:u w:val="single"/>
        </w:rPr>
        <w:t>Furnishing of Information; Public Information</w:t>
      </w:r>
      <w:r>
        <w:rPr>
          <w:rFonts w:ascii="Times New Roman" w:hAnsi="Times New Roman"/>
          <w:sz w:val="20"/>
        </w:rPr>
        <w:t>.  For so long as the Purchaser owns at least fifty percent (50%) of the Shares required to be purchased under the terms of this Agreement,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5.3</w:t>
      </w:r>
      <w:bookmarkStart w:id="176" w:name="TAB262"/>
      <w:bookmarkEnd w:id="176"/>
      <w:r>
        <w:rPr>
          <w:color w:val="000000"/>
          <w:spacing w:val="180"/>
        </w:rPr>
        <w:t> </w:t>
      </w:r>
      <w:r>
        <w:rPr>
          <w:rFonts w:ascii="Times New Roman" w:hAnsi="Times New Roman"/>
          <w:sz w:val="20"/>
          <w:u w:val="single"/>
        </w:rPr>
        <w:t>Securities Laws Disclosure; Publicity</w:t>
      </w:r>
      <w:r>
        <w:rPr>
          <w:rFonts w:ascii="Times New Roman" w:hAnsi="Times New Roman"/>
          <w:sz w:val="20"/>
        </w:rPr>
        <w:t>. The Company shall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 that it shall have publicly disclosed all material, non-public information delivered to the Purchaser by the Company or any of its Subsidiaries, or any of their respective officers, directors, employees or agents in connection with the transactions contemplated by the Transaction Documents.  The Company and the Purchaser shall consult with each other in issuing any other press releases with respect to the transactions contemplated hereby, and neither the Company nor the Purchaser shall issue any such press release nor otherwise make any such public statement without the prior consent of the Company, with respect to any press release of the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the Purchaser in any filing with the Commission or any regulatory agency or Trading Market, without the prior written consent of the Purchaser, except: (a) as required by federal securities law in connection with (i) any registration statement contemplated by Section 4.1, and (ii) the filing of final Transaction Documents with the Commission and (b) to the extent such disclosure is required by law or Trading Market regulations, in which case the Company shall provide the Purchaser with prior notice of such disclosure permitted under this clause (b).</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77" w:name="PGBRK12"/>
      <w:bookmarkStart w:id="178" w:name="PGBRK12"/>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9" w:name="FTR12"/>
      <w:bookmarkStart w:id="180" w:name="FTR12"/>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1" w:name="GLFTR12"/>
      <w:bookmarkEnd w:id="1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2" w:name="PN12"/>
      <w:bookmarkEnd w:id="182"/>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3" w:name="HDR12"/>
      <w:bookmarkStart w:id="184" w:name="HDR12"/>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5" w:name="GLHDR12"/>
      <w:bookmarkEnd w:id="1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5.4</w:t>
      </w:r>
      <w:bookmarkStart w:id="186" w:name="TAB263"/>
      <w:bookmarkEnd w:id="186"/>
      <w:r>
        <w:rPr>
          <w:color w:val="000000"/>
          <w:spacing w:val="180"/>
        </w:rPr>
        <w:t> </w:t>
      </w:r>
      <w:r>
        <w:rPr>
          <w:rFonts w:ascii="Times New Roman" w:hAnsi="Times New Roman"/>
          <w:sz w:val="20"/>
          <w:u w:val="single"/>
        </w:rPr>
        <w:t>Non-Public Information</w:t>
      </w:r>
      <w:r>
        <w:rPr>
          <w:rFonts w:ascii="Times New Roman" w:hAnsi="Times New Roman"/>
          <w:sz w:val="20"/>
        </w:rPr>
        <w:t>.  Except with respect to the material terms and conditions of the transactions contemplated by the Transaction Documents, the Company covenants and agrees that neither it, nor any other Person acting on its behalf, will provide the Purchaser or its agents or counsel with any information that the Company believes constitutes material non-public information, unless prior thereto the Purchaser shall have entered into a written agreement with the Company regarding the confidentiality and use of such information.  The Company understands and confirms that the Purchaser shall be relying on the foregoing covenant in effecting transactions in securities of the Company.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5.5</w:t>
      </w:r>
      <w:bookmarkStart w:id="187" w:name="TAB264"/>
      <w:bookmarkEnd w:id="187"/>
      <w:r>
        <w:rPr>
          <w:color w:val="000000"/>
          <w:spacing w:val="180"/>
        </w:rPr>
        <w:t> </w:t>
      </w:r>
      <w:r>
        <w:rPr>
          <w:rFonts w:ascii="Times New Roman" w:hAnsi="Times New Roman"/>
          <w:sz w:val="20"/>
          <w:u w:val="single"/>
        </w:rPr>
        <w:t>Use of Proceeds</w:t>
      </w:r>
      <w:r>
        <w:rPr>
          <w:rFonts w:ascii="Times New Roman" w:hAnsi="Times New Roman"/>
          <w:sz w:val="20"/>
        </w:rPr>
        <w:t>.  The Company shall use the net proceeds from the sale of the Shares hereunder for working capital purposes and shall not use such proceeds for the redemption of any Common Stock or Common Stock Equivalents, or for the settlement of any outstanding litigation.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5.6</w:t>
      </w:r>
      <w:bookmarkStart w:id="188" w:name="TAB265"/>
      <w:bookmarkEnd w:id="188"/>
      <w:r>
        <w:rPr>
          <w:color w:val="000000"/>
          <w:spacing w:val="180"/>
        </w:rPr>
        <w:t> </w:t>
      </w:r>
      <w:r>
        <w:rPr>
          <w:rFonts w:ascii="Times New Roman" w:hAnsi="Times New Roman"/>
          <w:sz w:val="20"/>
          <w:u w:val="single"/>
        </w:rPr>
        <w:t>Indemnification of the Purchaser</w:t>
      </w:r>
      <w:r>
        <w:rPr>
          <w:rFonts w:ascii="Times New Roman" w:hAnsi="Times New Roman"/>
          <w:sz w:val="20"/>
        </w:rPr>
        <w:t>.   Subject to the provisions of this Section 5.6, the Company will indemnify and hold the Purchaser and its directors, officers, shareholders, members, partners, employees and agents (and any other Persons with a functionally equivalent role of a Person holding such titles notwithstanding a lack of such title or any other title), each Person who controls the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hAnsi="Times New Roman"/>
          <w:i/>
          <w:sz w:val="20"/>
        </w:rPr>
        <w:t>Purchaser Party</w:t>
      </w:r>
      <w:r>
        <w:rPr>
          <w:rFonts w:ascii="Times New Roman" w:hAnsi="Times New Roman"/>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Parties, with respect to any of the transactions contemplated by the Transaction Documents (unless such action is based upon a breach of such Purchaser Party’s representations, warranties or covenants under the Transaction Documents or any agreements or understandings such Purchaser Parties may have with any such stockholder or any violations by such Purchaser Parties of state or federal securities laws or any conduct by such Purchaser Parties which constitutes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5.7</w:t>
      </w:r>
      <w:bookmarkStart w:id="189" w:name="TAB266"/>
      <w:bookmarkEnd w:id="189"/>
      <w:r>
        <w:rPr>
          <w:color w:val="000000"/>
          <w:spacing w:val="180"/>
        </w:rPr>
        <w:t> </w:t>
      </w:r>
      <w:r>
        <w:rPr>
          <w:rFonts w:ascii="Times New Roman" w:hAnsi="Times New Roman"/>
          <w:sz w:val="20"/>
          <w:u w:val="single"/>
        </w:rPr>
        <w:t>Reservation of Common Stock</w:t>
      </w:r>
      <w:r>
        <w:rPr>
          <w:rFonts w:ascii="Times New Roman" w:hAnsi="Times New Roman"/>
          <w:sz w:val="20"/>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5.8</w:t>
      </w:r>
      <w:bookmarkStart w:id="190" w:name="TAB267"/>
      <w:bookmarkEnd w:id="190"/>
      <w:r>
        <w:rPr>
          <w:color w:val="000000"/>
          <w:spacing w:val="180"/>
        </w:rPr>
        <w:t> </w:t>
      </w:r>
      <w:r>
        <w:rPr/>
        <w:t>  </w:t>
      </w:r>
      <w:r>
        <w:rPr>
          <w:rFonts w:ascii="Times New Roman" w:hAnsi="Times New Roman"/>
          <w:sz w:val="20"/>
          <w:u w:val="single"/>
        </w:rPr>
        <w:t>Certain Transactions and Confidentiality</w:t>
      </w:r>
      <w:r>
        <w:rPr>
          <w:rFonts w:ascii="Times New Roman" w:hAnsi="Times New Roman"/>
          <w:sz w:val="20"/>
        </w:rPr>
        <w:t>.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an initial press release  as described in Section 5.3.  The Purchaser covenants that until such time as the transactions contemplated by this Agreement are publicly disclosed by the Company pursuant to the initial press release as described in Section 5.3, the Purchaser will maintain the confidentiality of the existence and terms of this transaction and the information included in the Transaction Documents and the Disclosure Schedules. </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5.9</w:t>
      </w:r>
      <w:bookmarkStart w:id="191" w:name="TAB268"/>
      <w:bookmarkEnd w:id="191"/>
      <w:r>
        <w:rPr>
          <w:color w:val="000000"/>
          <w:spacing w:val="180"/>
        </w:rPr>
        <w:t> </w:t>
      </w:r>
      <w:r>
        <w:rPr/>
        <w:t>      </w:t>
      </w:r>
      <w:r>
        <w:rPr>
          <w:rFonts w:ascii="Times New Roman" w:hAnsi="Times New Roman"/>
          <w:sz w:val="20"/>
          <w:u w:val="single"/>
        </w:rPr>
        <w:t>Form D; Blue Sky Filings</w:t>
      </w:r>
      <w:r>
        <w:rPr>
          <w:rFonts w:ascii="Times New Roman" w:hAnsi="Times New Roman"/>
          <w:sz w:val="20"/>
        </w:rPr>
        <w:t>.  The Company agrees to timely file a Form D with respect to the Shares as required under Regulation D and to provide a copy thereof, promptly upon request of the Purchaser. The Company shall take such action as the Company shall reasonably determine is necessary in order to obtain an exemption for, or to qualify the Shares for, sale to the Purchaser at the Closing under applicable securities or “Blue Sky” laws of the states of the United States, and shall provide evidence of such actions promptly upon request of the Purchaser.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2" w:name="PGBRK13"/>
      <w:bookmarkStart w:id="193" w:name="PGBRK13"/>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4" w:name="FTR13"/>
      <w:bookmarkStart w:id="195" w:name="FTR13"/>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6" w:name="GLFTR13"/>
      <w:bookmarkEnd w:id="1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7" w:name="PN13"/>
      <w:bookmarkEnd w:id="197"/>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8" w:name="HDR13"/>
      <w:bookmarkStart w:id="199" w:name="HDR13"/>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0" w:name="GLHDR13"/>
      <w:bookmarkEnd w:id="2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pPr>
      <w:r>
        <w:rPr>
          <w:rFonts w:ascii="Times New Roman" w:hAnsi="Times New Roman"/>
          <w:sz w:val="20"/>
        </w:rPr>
        <w:t>5.10</w:t>
      </w:r>
      <w:bookmarkStart w:id="201" w:name="TAB269"/>
      <w:bookmarkEnd w:id="201"/>
      <w:r>
        <w:rPr>
          <w:color w:val="000000"/>
          <w:spacing w:val="180"/>
        </w:rPr>
        <w:t> </w:t>
      </w:r>
      <w:r>
        <w:rPr>
          <w:rFonts w:ascii="Times New Roman" w:hAnsi="Times New Roman"/>
          <w:sz w:val="20"/>
          <w:u w:val="single"/>
        </w:rPr>
        <w:t>Acknowledgment of Dilution</w:t>
      </w:r>
      <w:r>
        <w:rPr>
          <w:rFonts w:ascii="Times New Roman" w:hAnsi="Times New Roman"/>
          <w:sz w:val="20"/>
        </w:rPr>
        <w:t>.  The Company acknowledges that the issuance of the Shares will result in dilution of the outstanding shares of Common Stock,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the Purchaser and regardless of the dilutive effect that such issuance may have on the ownership of the other stockholders of the Company.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5.11</w:t>
      </w:r>
      <w:bookmarkStart w:id="202" w:name="TAB270"/>
      <w:bookmarkEnd w:id="202"/>
      <w:r>
        <w:rPr>
          <w:color w:val="000000"/>
          <w:spacing w:val="180"/>
        </w:rPr>
        <w:t> </w:t>
      </w:r>
      <w:r>
        <w:rPr>
          <w:rFonts w:ascii="Times New Roman" w:hAnsi="Times New Roman"/>
          <w:sz w:val="20"/>
          <w:u w:val="single"/>
        </w:rPr>
        <w:t>Board Representation</w:t>
      </w:r>
      <w:r>
        <w:rPr>
          <w:rFonts w:ascii="Times New Roman" w:hAnsi="Times New Roman"/>
          <w:sz w:val="20"/>
        </w:rPr>
        <w:t>.  Upon each Closing, the Company’s Board of Directors shall consist of at least four members.  At such time as the Purchaser shall have purchased all Shares required to be purchased under the terms of this Agreement, the Purchaser shall have the right to appoint one (1) director (the “</w:t>
      </w:r>
      <w:r>
        <w:rPr>
          <w:rFonts w:ascii="Times New Roman" w:hAnsi="Times New Roman"/>
          <w:i/>
          <w:sz w:val="20"/>
        </w:rPr>
        <w:t>Purchaser Designee</w:t>
      </w:r>
      <w:r>
        <w:rPr>
          <w:rFonts w:ascii="Times New Roman" w:hAnsi="Times New Roman"/>
          <w:sz w:val="20"/>
        </w:rPr>
        <w:t>”), subject to approval by the Company’s Board of Directors, which approval shall not be unreasonably withheld. The Company shall use its best efforts to ensure that the Purchaser Designee continues to be elected to the Board of Directors for so long as the Purchaser beneficially owns at least fifty percent (50%) of the Company’s outstanding Common Stock.</w:t>
      </w:r>
      <w:r>
        <w:rPr>
          <w:rFonts w:ascii="Times New Roman" w:hAnsi="Times New Roman"/>
          <w:sz w:val="20"/>
          <w:u w:val="single"/>
        </w:rPr>
        <w:t>Voting Agreement</w:t>
      </w:r>
      <w:r>
        <w:rPr>
          <w:rFonts w:ascii="Times New Roman" w:hAnsi="Times New Roman"/>
          <w:sz w:val="20"/>
        </w:rPr>
        <w:t xml:space="preserve">.  On the date hereof, the Company and Purchaser shall enter into a Voting Agreement, substantially in the form attached hereto as </w:t>
      </w:r>
      <w:r>
        <w:rPr>
          <w:rFonts w:ascii="Times New Roman" w:hAnsi="Times New Roman"/>
          <w:sz w:val="20"/>
          <w:u w:val="single"/>
        </w:rPr>
        <w:t>Exhibit B</w:t>
      </w:r>
      <w:r>
        <w:rPr>
          <w:rFonts w:ascii="Times New Roman" w:hAnsi="Times New Roman"/>
          <w:sz w:val="20"/>
        </w:rPr>
        <w:t>, which Voting Agreement shall require the Purchaser to vote all Shares registered in its name or beneficially owned by it and any and all other securities of the Company legally or beneficially acquired by Purchaser, for, among other matters set forth in the Voting Agreement, the nominees for election to the Board of Directors, as recommended by a majority of the Board of Directors then serving as members of the Board of Directors.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5.12</w:t>
      </w:r>
      <w:bookmarkStart w:id="203" w:name="TAB271"/>
      <w:bookmarkEnd w:id="203"/>
      <w:r>
        <w:rPr>
          <w:color w:val="000000"/>
          <w:spacing w:val="180"/>
        </w:rPr>
        <w:t> </w:t>
      </w:r>
      <w:r>
        <w:rPr>
          <w:rFonts w:ascii="Times New Roman" w:hAnsi="Times New Roman"/>
          <w:sz w:val="20"/>
          <w:u w:val="single"/>
        </w:rPr>
        <w:t>Extraordinary Transactions</w:t>
      </w:r>
      <w:r>
        <w:rPr>
          <w:rFonts w:ascii="Times New Roman" w:hAnsi="Times New Roman"/>
          <w:sz w:val="20"/>
        </w:rPr>
        <w:t>.  In the event that a Change in Control of the Company, as defined in Section 1.7 of the Voting Agreement, or a material or extraordinary transaction outside of the ordinary course of the Company’s business (together, an “</w:t>
      </w:r>
      <w:r>
        <w:rPr>
          <w:rFonts w:ascii="Times New Roman" w:hAnsi="Times New Roman"/>
          <w:i/>
          <w:sz w:val="20"/>
        </w:rPr>
        <w:t>Extraordinary Transaction</w:t>
      </w:r>
      <w:r>
        <w:rPr>
          <w:rFonts w:ascii="Times New Roman" w:hAnsi="Times New Roman"/>
          <w:sz w:val="20"/>
        </w:rPr>
        <w:t>”), is proposed, such Extraordinary Transaction shall require the approval of the Purchaser Designee, acting as a fiduciary for all shareholders, in addition to Purchaser.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5.13</w:t>
      </w:r>
      <w:bookmarkStart w:id="204" w:name="TAB272"/>
      <w:bookmarkEnd w:id="204"/>
      <w:r>
        <w:rPr>
          <w:color w:val="000000"/>
          <w:spacing w:val="180"/>
        </w:rPr>
        <w:t> </w:t>
      </w:r>
      <w:r>
        <w:rPr>
          <w:rFonts w:ascii="Times New Roman" w:hAnsi="Times New Roman"/>
          <w:sz w:val="20"/>
          <w:u w:val="single"/>
        </w:rPr>
        <w:t>Right to Participate in Future Financings</w:t>
      </w:r>
      <w:r>
        <w:rPr>
          <w:rFonts w:ascii="Times New Roman" w:hAnsi="Times New Roman"/>
          <w:sz w:val="20"/>
        </w:rPr>
        <w:t>.  Subject to applicable securities laws, so long as Purchaser beneficially owns at least fifty percent (50%) of the Shares required to be purchased under the terms of this Agreement, the Purchaser shall have a pro rata right, but not an obligation, based on its percentage equity ownership of Common Stock (calculated on a fully diluted basis assuming full conversion and exercise of all outstanding options and other outstanding exercisable and convertible securities), to participate in subsequent issuances of Common Stock or other voting securities of the Company, other than: (i) the issuance Common Stock or Common Stock Equivalents to employees, consultants and directors, pursuant to plans or agreements approved by the Board of Directors; (ii) the issuance of securities pursuant to the conversion or exercise of convertible or exercisable securities; (iii) the issuance of securities that, with unanimous written approval of the Board, are offered to any existing shareholder of the Company; (iv) the issuance of securities in connection with a bona fide business acquisition by the Company, whether by merger, consolidation, sale of assets, sale or exchange of stock or otherwise; and (v) the issuance of securities to lenders, creditors, lessors or similar financing entities or strategic partners with the approval of the Board of Directors. Any shares of Common Stock or other voting securities not subscribed for by Purchaser may be reallocated pro rata among the other eligible investors.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VI.</w:t>
      </w:r>
    </w:p>
    <w:p>
      <w:pPr>
        <w:pStyle w:val="TextBody"/>
        <w:spacing w:before="0" w:after="0"/>
        <w:ind w:left="0" w:right="0" w:hanging="0"/>
        <w:jc w:val="center"/>
        <w:rPr>
          <w:rFonts w:ascii="Times New Roman" w:hAnsi="Times New Roman"/>
          <w:b/>
          <w:sz w:val="20"/>
        </w:rPr>
      </w:pPr>
      <w:r>
        <w:rPr>
          <w:rFonts w:ascii="Times New Roman" w:hAnsi="Times New Roman"/>
          <w:b/>
          <w:sz w:val="20"/>
        </w:rPr>
        <w:t>MISCELLANEOUS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6.1</w:t>
      </w:r>
      <w:bookmarkStart w:id="205" w:name="TAB273"/>
      <w:bookmarkEnd w:id="205"/>
      <w:r>
        <w:rPr>
          <w:color w:val="000000"/>
          <w:spacing w:val="180"/>
        </w:rPr>
        <w:t> </w:t>
      </w:r>
      <w:r>
        <w:rPr>
          <w:rFonts w:ascii="Times New Roman" w:hAnsi="Times New Roman"/>
          <w:sz w:val="20"/>
          <w:u w:val="single"/>
        </w:rPr>
        <w:t>Fees and Expenses</w:t>
      </w:r>
      <w:r>
        <w:rPr>
          <w:rFonts w:ascii="Times New Roman" w:hAnsi="Times New Roman"/>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the Purchaser), stamp taxes and other taxes and duties levied in connection with the delivery of any Shares to the Purchaser.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6.2</w:t>
      </w:r>
      <w:bookmarkStart w:id="206" w:name="TAB274"/>
      <w:bookmarkEnd w:id="206"/>
      <w:r>
        <w:rPr>
          <w:color w:val="000000"/>
          <w:spacing w:val="180"/>
        </w:rPr>
        <w:t> </w:t>
      </w:r>
      <w:r>
        <w:rPr>
          <w:rFonts w:ascii="Times New Roman" w:hAnsi="Times New Roman"/>
          <w:sz w:val="20"/>
          <w:u w:val="single"/>
        </w:rPr>
        <w:t>Entire Agreement</w:t>
      </w:r>
      <w:r>
        <w:rPr>
          <w:rFonts w:ascii="Times New Roman" w:hAnsi="Times New Roman"/>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 w:name="PGBRK14"/>
      <w:bookmarkStart w:id="208" w:name="PGBRK14"/>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FTR14"/>
      <w:bookmarkStart w:id="210" w:name="FTR14"/>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1" w:name="GLFTR14"/>
      <w:bookmarkEnd w:id="2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2" w:name="PN14"/>
      <w:bookmarkEnd w:id="212"/>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HDR14"/>
      <w:bookmarkStart w:id="214" w:name="HDR14"/>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5" w:name="GLHDR14"/>
      <w:bookmarkEnd w:id="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rFonts w:ascii="Times New Roman" w:hAnsi="Times New Roman"/>
          <w:sz w:val="20"/>
        </w:rPr>
        <w:t>6.3</w:t>
      </w:r>
      <w:bookmarkStart w:id="216" w:name="TAB275"/>
      <w:bookmarkEnd w:id="216"/>
      <w:r>
        <w:rPr>
          <w:color w:val="000000"/>
          <w:spacing w:val="180"/>
        </w:rPr>
        <w:t> </w:t>
      </w:r>
      <w:r>
        <w:rPr>
          <w:rFonts w:ascii="Times New Roman" w:hAnsi="Times New Roman"/>
          <w:sz w:val="20"/>
          <w:u w:val="single"/>
        </w:rPr>
        <w:t>Notices</w:t>
      </w:r>
      <w:r>
        <w:rPr>
          <w:rFonts w:ascii="Times New Roman" w:hAnsi="Times New Roman"/>
          <w:sz w:val="20"/>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set forth on the signature page attached hereto at or prior to 5:30 p.m. PST on a Trading Day, (b) the next Trading Day after the date of transmission, if such notice or communication is delivered via facsimile at the facsimile number set forth on the signature pages attached hereto on a day that is not a Trading Day or later than 5:30 p.m. PST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6.4</w:t>
      </w:r>
      <w:bookmarkStart w:id="217" w:name="TAB276"/>
      <w:bookmarkEnd w:id="217"/>
      <w:r>
        <w:rPr>
          <w:color w:val="000000"/>
          <w:spacing w:val="180"/>
        </w:rPr>
        <w:t> </w:t>
      </w:r>
      <w:r>
        <w:rPr>
          <w:rFonts w:ascii="Times New Roman" w:hAnsi="Times New Roman"/>
          <w:sz w:val="20"/>
          <w:u w:val="single"/>
        </w:rPr>
        <w:t>Amendments; Waivers</w:t>
      </w:r>
      <w:r>
        <w:rPr>
          <w:rFonts w:ascii="Times New Roman" w:hAnsi="Times New Roman"/>
          <w:sz w:val="20"/>
        </w:rPr>
        <w:t>.  No provision of this Agreement may be waived, modified, supplemented or amended except in a written instrument signed, in the case of an amendment, by the Company and the Purchaser,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6.5</w:t>
      </w:r>
      <w:bookmarkStart w:id="218" w:name="TAB277"/>
      <w:bookmarkEnd w:id="218"/>
      <w:r>
        <w:rPr>
          <w:color w:val="000000"/>
          <w:spacing w:val="180"/>
        </w:rPr>
        <w:t> </w:t>
      </w:r>
      <w:r>
        <w:rPr>
          <w:rFonts w:ascii="Times New Roman" w:hAnsi="Times New Roman"/>
          <w:sz w:val="20"/>
          <w:u w:val="single"/>
        </w:rPr>
        <w:t>Headings</w:t>
      </w:r>
      <w:r>
        <w:rPr>
          <w:rFonts w:ascii="Times New Roman" w:hAnsi="Times New Roman"/>
          <w:sz w:val="20"/>
        </w:rPr>
        <w:t>.  The headings herein are for convenience only, do not constitute a part of this Agreement and shall not be deemed to limit or affect any of the provisions hereof.</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6.6</w:t>
      </w:r>
      <w:bookmarkStart w:id="219" w:name="TAB278"/>
      <w:bookmarkEnd w:id="219"/>
      <w:r>
        <w:rPr>
          <w:color w:val="000000"/>
          <w:spacing w:val="180"/>
        </w:rPr>
        <w:t> </w:t>
      </w:r>
      <w:r>
        <w:rPr>
          <w:rFonts w:ascii="Times New Roman" w:hAnsi="Times New Roman"/>
          <w:sz w:val="20"/>
          <w:u w:val="single"/>
        </w:rPr>
        <w:t>Successors and Assigns</w:t>
      </w:r>
      <w:r>
        <w:rPr>
          <w:rFonts w:ascii="Times New Roman" w:hAnsi="Times New Roman"/>
          <w:sz w:val="20"/>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not assign any or all of its rights under this Agreement to any Person other than an Affiliate of Purchaser, without the prior written consent of the Company.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6.7</w:t>
      </w:r>
      <w:bookmarkStart w:id="220" w:name="TAB279"/>
      <w:bookmarkEnd w:id="220"/>
      <w:r>
        <w:rPr>
          <w:color w:val="000000"/>
          <w:spacing w:val="180"/>
        </w:rPr>
        <w:t> </w:t>
      </w:r>
      <w:r>
        <w:rPr>
          <w:rFonts w:ascii="Times New Roman" w:hAnsi="Times New Roman"/>
          <w:sz w:val="20"/>
          <w:u w:val="single"/>
        </w:rPr>
        <w:t>No Third-Party Beneficiaries</w:t>
      </w:r>
      <w:r>
        <w:rPr>
          <w:rFonts w:ascii="Times New Roman" w:hAnsi="Times New Roman"/>
          <w:sz w:val="20"/>
        </w:rPr>
        <w:t>. This Agreement is intended for the benefit of the parties hereto and their respective successors and permitted assigns and is not for the benefit of, nor may any provision hereof be enforced by, any other Person, except as otherwise set forth in Section 5.6 and this Section 6.7.</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6.8</w:t>
      </w:r>
      <w:bookmarkStart w:id="221" w:name="TAB280"/>
      <w:bookmarkEnd w:id="221"/>
      <w:r>
        <w:rPr>
          <w:color w:val="000000"/>
          <w:spacing w:val="180"/>
        </w:rPr>
        <w:t> </w:t>
      </w:r>
      <w:r>
        <w:rPr>
          <w:rFonts w:ascii="Times New Roman" w:hAnsi="Times New Roman"/>
          <w:sz w:val="20"/>
          <w:u w:val="single"/>
        </w:rPr>
        <w:t>Governing Law</w:t>
      </w:r>
      <w:r>
        <w:rPr>
          <w:rFonts w:ascii="Times New Roman" w:hAnsi="Times New Roman"/>
          <w:sz w:val="20"/>
        </w:rPr>
        <w:t>.  All questions concerning the construction, validity, enforcement and interpretation of the Transaction Documents shall be governed by and construed and enforced in accordance with the laws of the State of Delaware,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courts sitting in the State of Delaware. Each party hereby irrevocably submits to the exclusive jurisdiction of the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in addition to the obligations of the Company under Section 5.6, the prevailing party in such action, suit or proceeding shall be reimbursed by the other party for its reasonable attorneys’ fees and other costs and expenses incurred with the investigation, preparation and prosecution of such action or proceeding.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2" w:name="PGBRK15"/>
      <w:bookmarkStart w:id="223" w:name="PGBRK15"/>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FTR15"/>
      <w:bookmarkStart w:id="225" w:name="FTR15"/>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6" w:name="GLFTR15"/>
      <w:bookmarkEnd w:id="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7" w:name="PN15"/>
      <w:bookmarkEnd w:id="227"/>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HDR15"/>
      <w:bookmarkStart w:id="229" w:name="HDR15"/>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0" w:name="GLHDR15"/>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pPr>
      <w:r>
        <w:rPr>
          <w:rFonts w:ascii="Times New Roman" w:hAnsi="Times New Roman"/>
          <w:sz w:val="20"/>
        </w:rPr>
        <w:t>6.9</w:t>
      </w:r>
      <w:bookmarkStart w:id="231" w:name="TAB281"/>
      <w:bookmarkEnd w:id="231"/>
      <w:r>
        <w:rPr>
          <w:color w:val="000000"/>
          <w:spacing w:val="180"/>
        </w:rPr>
        <w:t> </w:t>
      </w:r>
      <w:r>
        <w:rPr>
          <w:rFonts w:ascii="Times New Roman" w:hAnsi="Times New Roman"/>
          <w:sz w:val="20"/>
          <w:u w:val="single"/>
        </w:rPr>
        <w:t>Survival</w:t>
      </w:r>
      <w:r>
        <w:rPr>
          <w:rFonts w:ascii="Times New Roman" w:hAnsi="Times New Roman"/>
          <w:sz w:val="20"/>
        </w:rPr>
        <w:t>.  The representations and warranties contained herein shall survive the Initial Closing and each subsequent Closing and the delivery of the Shares.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6.10</w:t>
      </w:r>
      <w:bookmarkStart w:id="232" w:name="TAB282"/>
      <w:bookmarkEnd w:id="232"/>
      <w:r>
        <w:rPr>
          <w:color w:val="000000"/>
          <w:spacing w:val="180"/>
        </w:rPr>
        <w:t> </w:t>
      </w:r>
      <w:r>
        <w:rPr>
          <w:rFonts w:ascii="Times New Roman" w:hAnsi="Times New Roman"/>
          <w:sz w:val="20"/>
          <w:u w:val="single"/>
        </w:rPr>
        <w:t>Execution</w:t>
      </w:r>
      <w:r>
        <w:rPr>
          <w:rFonts w:ascii="Times New Roman" w:hAnsi="Times New Roman"/>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6.11</w:t>
      </w:r>
      <w:bookmarkStart w:id="233" w:name="TAB283"/>
      <w:bookmarkEnd w:id="233"/>
      <w:r>
        <w:rPr>
          <w:color w:val="000000"/>
          <w:spacing w:val="180"/>
        </w:rPr>
        <w:t> </w:t>
      </w:r>
      <w:r>
        <w:rPr>
          <w:rFonts w:ascii="Times New Roman" w:hAnsi="Times New Roman"/>
          <w:sz w:val="20"/>
          <w:u w:val="single"/>
        </w:rPr>
        <w:t>Severability</w:t>
      </w:r>
      <w:r>
        <w:rPr>
          <w:rFonts w:ascii="Times New Roman" w:hAnsi="Times New Roman"/>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6.12</w:t>
      </w:r>
      <w:bookmarkStart w:id="234" w:name="TAB284"/>
      <w:bookmarkEnd w:id="234"/>
      <w:r>
        <w:rPr>
          <w:color w:val="000000"/>
          <w:spacing w:val="180"/>
        </w:rPr>
        <w:t> </w:t>
      </w:r>
      <w:r>
        <w:rPr>
          <w:rFonts w:ascii="Times New Roman" w:hAnsi="Times New Roman"/>
          <w:sz w:val="20"/>
          <w:u w:val="single"/>
        </w:rPr>
        <w:t>Replacement of Shares</w:t>
      </w:r>
      <w:r>
        <w:rPr>
          <w:rFonts w:ascii="Times New Roman" w:hAnsi="Times New Roman"/>
          <w:sz w:val="20"/>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6.13</w:t>
      </w:r>
      <w:bookmarkStart w:id="235" w:name="TAB285"/>
      <w:bookmarkEnd w:id="235"/>
      <w:r>
        <w:rPr>
          <w:color w:val="000000"/>
          <w:spacing w:val="180"/>
        </w:rPr>
        <w:t> </w:t>
      </w:r>
      <w:r>
        <w:rPr>
          <w:rFonts w:ascii="Times New Roman" w:hAnsi="Times New Roman"/>
          <w:sz w:val="20"/>
          <w:u w:val="single"/>
        </w:rPr>
        <w:t>Remedies</w:t>
      </w:r>
      <w:r>
        <w:rPr>
          <w:rFonts w:ascii="Times New Roman" w:hAnsi="Times New Roman"/>
          <w:sz w:val="20"/>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6.14</w:t>
      </w:r>
      <w:bookmarkStart w:id="236" w:name="TAB286"/>
      <w:bookmarkEnd w:id="236"/>
      <w:r>
        <w:rPr>
          <w:color w:val="000000"/>
          <w:spacing w:val="180"/>
        </w:rPr>
        <w:t> </w:t>
      </w:r>
      <w:r>
        <w:rPr>
          <w:rFonts w:ascii="Times New Roman" w:hAnsi="Times New Roman"/>
          <w:sz w:val="20"/>
          <w:u w:val="single"/>
        </w:rPr>
        <w:t>Saturdays, Sundays, Holidays, etc.</w:t>
      </w:r>
      <w:r>
        <w:rPr>
          <w:rFonts w:ascii="Times New Roman" w:hAnsi="Times New Roman"/>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6.15</w:t>
      </w:r>
      <w:bookmarkStart w:id="237" w:name="TAB287"/>
      <w:bookmarkEnd w:id="237"/>
      <w:r>
        <w:rPr>
          <w:color w:val="000000"/>
          <w:spacing w:val="180"/>
        </w:rPr>
        <w:t> </w:t>
      </w:r>
      <w:r>
        <w:rPr>
          <w:rFonts w:ascii="Times New Roman" w:hAnsi="Times New Roman"/>
          <w:sz w:val="20"/>
          <w:u w:val="single"/>
        </w:rPr>
        <w:t>Construction</w:t>
      </w:r>
      <w:r>
        <w:rPr>
          <w:rFonts w:ascii="Times New Roman" w:hAnsi="Times New Roman"/>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6.16</w:t>
      </w:r>
      <w:bookmarkStart w:id="238" w:name="TAB288"/>
      <w:bookmarkEnd w:id="238"/>
      <w:r>
        <w:rPr>
          <w:color w:val="000000"/>
          <w:spacing w:val="180"/>
        </w:rPr>
        <w:t> </w:t>
      </w:r>
      <w:r>
        <w:rPr>
          <w:rFonts w:ascii="Times New Roman" w:hAnsi="Times New Roman"/>
          <w:b/>
          <w:sz w:val="20"/>
          <w:u w:val="single"/>
        </w:rPr>
        <w:t>WAIVER OF JURY TRIAL</w:t>
      </w:r>
      <w:r>
        <w:rPr>
          <w:rFonts w:ascii="Times New Roman" w:hAnsi="Times New Roman"/>
          <w:b/>
          <w:sz w:val="20"/>
        </w:rPr>
        <w:t>.  </w:t>
      </w:r>
      <w:r>
        <w:rPr>
          <w:rFonts w:ascii="Times New Roman" w:hAnsi="Times New Roman"/>
          <w:b/>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(Signature Page Follow)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9" w:name="PGBRK16"/>
      <w:bookmarkStart w:id="240" w:name="PGBRK16"/>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FTR16"/>
      <w:bookmarkStart w:id="242" w:name="FTR16"/>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3" w:name="GLFTR16"/>
      <w:bookmarkEnd w:id="2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4" w:name="PN16"/>
      <w:bookmarkEnd w:id="244"/>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5" w:name="HDR16"/>
      <w:bookmarkStart w:id="246" w:name="HDR16"/>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7" w:name="GLHDR16"/>
      <w:bookmarkEnd w:id="2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 w:hAnsi="Times New Roman"/>
          <w:sz w:val="20"/>
        </w:rPr>
      </w:pPr>
      <w:bookmarkStart w:id="248" w:name="TAB1"/>
      <w:bookmarkEnd w:id="248"/>
      <w:r>
        <w:rPr>
          <w:rFonts w:ascii="Times New Roman" w:hAnsi="Times New Roman"/>
          <w:sz w:val="20"/>
        </w:rPr>
        <w:t>IN WITNESS WHEREOF, the parties hereto have caused this Securities Purchase Agreement to be duly executed by their respective authorized signatories as of the date first indicated above.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251"/>
        <w:gridCol w:w="3954"/>
      </w:tblGrid>
      <w:tr>
        <w:trPr/>
        <w:tc>
          <w:tcPr>
            <w:tcW w:w="6251"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3954" w:type="dxa"/>
            <w:tcBorders/>
            <w:shd w:fill="auto" w:val="cle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Address for Notice:</w:t>
            </w:r>
          </w:p>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r>
      <w:tr>
        <w:trPr/>
        <w:tc>
          <w:tcPr>
            <w:tcW w:w="6251" w:type="dxa"/>
            <w:tcBorders>
              <w:bottom w:val="single" w:sz="12" w:space="0" w:color="000000"/>
            </w:tcBorders>
            <w:shd w:fill="auto" w:val="clear"/>
            <w:tcMar>
              <w:bottom w:w="28"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By: /s/ Shawn K. Singh</w:t>
            </w:r>
          </w:p>
        </w:tc>
        <w:tc>
          <w:tcPr>
            <w:tcW w:w="39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Fax: (650) 244-9979</w:t>
            </w:r>
          </w:p>
        </w:tc>
      </w:tr>
      <w:tr>
        <w:trPr/>
        <w:tc>
          <w:tcPr>
            <w:tcW w:w="625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Name: Shawn K. Singh, JD </w:t>
            </w:r>
          </w:p>
          <w:p>
            <w:pPr>
              <w:pStyle w:val="TableContents"/>
              <w:spacing w:before="0" w:after="0"/>
              <w:ind w:left="0" w:right="0" w:hanging="0"/>
              <w:jc w:val="left"/>
              <w:rPr>
                <w:rFonts w:ascii="times new roman" w:hAnsi="times new roman"/>
                <w:sz w:val="20"/>
              </w:rPr>
            </w:pPr>
            <w:r>
              <w:rPr>
                <w:rFonts w:ascii="times new roman" w:hAnsi="times new roman"/>
                <w:sz w:val="20"/>
              </w:rPr>
              <w:t>Title: Chief Executive Officer</w:t>
            </w:r>
          </w:p>
          <w:p>
            <w:pPr>
              <w:pStyle w:val="TableContents"/>
              <w:spacing w:before="0" w:after="0"/>
              <w:ind w:left="0" w:right="0" w:hanging="0"/>
              <w:jc w:val="left"/>
              <w:rPr/>
            </w:pPr>
            <w:r>
              <w:rPr/>
              <w:t> </w:t>
            </w:r>
          </w:p>
        </w:tc>
        <w:tc>
          <w:tcPr>
            <w:tcW w:w="3954" w:type="dxa"/>
            <w:tcBorders/>
            <w:shd w:fill="auto" w:val="clear"/>
          </w:tcPr>
          <w:p>
            <w:pPr>
              <w:pStyle w:val="TableContents"/>
              <w:spacing w:before="0" w:after="283"/>
              <w:jc w:val="left"/>
              <w:rPr/>
            </w:pPr>
            <w:r>
              <w:rPr/>
              <w:t> </w:t>
            </w:r>
          </w:p>
        </w:tc>
      </w:tr>
      <w:tr>
        <w:trPr/>
        <w:tc>
          <w:tcPr>
            <w:tcW w:w="6251"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AUTILION AG</w:t>
            </w:r>
          </w:p>
          <w:p>
            <w:pPr>
              <w:pStyle w:val="TableContents"/>
              <w:spacing w:before="0" w:after="0"/>
              <w:ind w:left="0" w:right="0" w:hanging="0"/>
              <w:jc w:val="left"/>
              <w:rPr/>
            </w:pPr>
            <w:r>
              <w:rPr/>
              <w:t> </w:t>
            </w:r>
          </w:p>
        </w:tc>
        <w:tc>
          <w:tcPr>
            <w:tcW w:w="3954" w:type="dxa"/>
            <w:tcBorders/>
            <w:shd w:fill="auto" w:val="cle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Address for Notice:</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625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By: /s/ Hillard Herzog</w:t>
            </w:r>
          </w:p>
        </w:tc>
        <w:tc>
          <w:tcPr>
            <w:tcW w:w="39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Fax:</w:t>
            </w:r>
          </w:p>
        </w:tc>
      </w:tr>
      <w:tr>
        <w:trPr/>
        <w:tc>
          <w:tcPr>
            <w:tcW w:w="625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Name: Hillard Herzog </w:t>
            </w:r>
          </w:p>
          <w:p>
            <w:pPr>
              <w:pStyle w:val="TableContents"/>
              <w:spacing w:before="0" w:after="0"/>
              <w:ind w:left="0" w:right="0" w:hanging="0"/>
              <w:jc w:val="left"/>
              <w:rPr>
                <w:rFonts w:ascii="times new roman" w:hAnsi="times new roman"/>
                <w:sz w:val="20"/>
              </w:rPr>
            </w:pPr>
            <w:r>
              <w:rPr>
                <w:rFonts w:ascii="times new roman" w:hAnsi="times new roman"/>
                <w:sz w:val="20"/>
              </w:rPr>
              <w:t>Title: President</w:t>
            </w:r>
          </w:p>
        </w:tc>
        <w:tc>
          <w:tcPr>
            <w:tcW w:w="3954" w:type="dxa"/>
            <w:tcBorders/>
            <w:shd w:fill="auto" w:val="clear"/>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[REMAINDER OF PAGE INTENTIONALLY LEFT BLANK]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9" w:name="PGBRK17"/>
      <w:bookmarkStart w:id="250" w:name="PGBRK17"/>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FTR17"/>
      <w:bookmarkStart w:id="252" w:name="FTR17"/>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3" w:name="GLFTR17"/>
      <w:bookmarkEnd w:id="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4" w:name="PN17"/>
      <w:bookmarkEnd w:id="254"/>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HDR17"/>
      <w:bookmarkStart w:id="256" w:name="HDR17"/>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7" w:name="GLHDR17"/>
      <w:bookmarkEnd w:id="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SCHEDULES TO SECURITIES PURCHASE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Schedule 3.1(a)– Subsidiaries</w:t>
      </w:r>
    </w:p>
    <w:p>
      <w:pPr>
        <w:pStyle w:val="TextBody"/>
        <w:spacing w:before="0" w:after="0"/>
        <w:ind w:left="0" w:right="0" w:hanging="0"/>
        <w:rPr/>
      </w:pPr>
      <w:r>
        <w:rPr/>
      </w:r>
    </w:p>
    <w:p>
      <w:pPr>
        <w:pStyle w:val="Normal"/>
        <w:spacing w:before="0" w:after="0"/>
        <w:rPr>
          <w:sz w:val="4"/>
          <w:szCs w:val="4"/>
        </w:rPr>
      </w:pPr>
      <w:r>
        <w:rPr>
          <w:sz w:val="4"/>
          <w:szCs w:val="4"/>
        </w:rPr>
      </w:r>
      <w:bookmarkStart w:id="258" w:name="list"/>
      <w:bookmarkStart w:id="259" w:name="list"/>
      <w:bookmarkEnd w:id="259"/>
    </w:p>
    <w:tbl>
      <w:tblPr>
        <w:tblW w:w="5000" w:type="pct"/>
        <w:jc w:val="left"/>
        <w:tblInd w:w="0" w:type="dxa"/>
        <w:tblCellMar>
          <w:top w:w="0" w:type="dxa"/>
          <w:left w:w="0" w:type="dxa"/>
          <w:bottom w:w="0" w:type="dxa"/>
          <w:right w:w="0" w:type="dxa"/>
        </w:tblCellMar>
      </w:tblPr>
      <w:tblGrid>
        <w:gridCol w:w="450"/>
        <w:gridCol w:w="9755"/>
      </w:tblGrid>
      <w:tr>
        <w:trPr/>
        <w:tc>
          <w:tcPr>
            <w:tcW w:w="45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VistaGen Therapeutics, Inc., a California corporation (“</w:t>
            </w:r>
            <w:r>
              <w:rPr>
                <w:rFonts w:ascii="Times New Roman" w:hAnsi="Times New Roman"/>
                <w:i/>
                <w:sz w:val="20"/>
              </w:rPr>
              <w:t>VistaGen California</w:t>
            </w:r>
            <w:r>
              <w:rPr>
                <w:rFonts w:ascii="Times New Roman" w:hAnsi="Times New Roman"/>
                <w:sz w:val="20"/>
              </w:rPr>
              <w:t>”): 100% owned by the Company</w:t>
            </w:r>
          </w:p>
        </w:tc>
      </w:tr>
    </w:tbl>
    <w:p>
      <w:pPr>
        <w:pStyle w:val="Normal"/>
        <w:spacing w:before="0" w:after="0"/>
        <w:rPr>
          <w:sz w:val="4"/>
          <w:szCs w:val="4"/>
        </w:rPr>
      </w:pPr>
      <w:r>
        <w:rPr>
          <w:sz w:val="4"/>
          <w:szCs w:val="4"/>
        </w:rPr>
      </w:r>
      <w:bookmarkStart w:id="260" w:name="list1"/>
      <w:bookmarkStart w:id="261" w:name="list1"/>
      <w:bookmarkEnd w:id="261"/>
    </w:p>
    <w:tbl>
      <w:tblPr>
        <w:tblW w:w="5000" w:type="pct"/>
        <w:jc w:val="left"/>
        <w:tblInd w:w="0" w:type="dxa"/>
        <w:tblCellMar>
          <w:top w:w="0" w:type="dxa"/>
          <w:left w:w="0" w:type="dxa"/>
          <w:bottom w:w="0" w:type="dxa"/>
          <w:right w:w="0" w:type="dxa"/>
        </w:tblCellMar>
      </w:tblPr>
      <w:tblGrid>
        <w:gridCol w:w="482"/>
        <w:gridCol w:w="9723"/>
      </w:tblGrid>
      <w:tr>
        <w:trPr/>
        <w:tc>
          <w:tcPr>
            <w:tcW w:w="48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Artemis Neuroscience, Inc., a Maryland corporation (“</w:t>
            </w:r>
            <w:r>
              <w:rPr>
                <w:rFonts w:ascii="Times New Roman" w:hAnsi="Times New Roman"/>
                <w:i/>
                <w:sz w:val="20"/>
              </w:rPr>
              <w:t>Artemis</w:t>
            </w:r>
            <w:r>
              <w:rPr>
                <w:rFonts w:ascii="Times New Roman" w:hAnsi="Times New Roman"/>
                <w:sz w:val="20"/>
              </w:rPr>
              <w:t>”): 100% owned by VistaGen California</w:t>
            </w:r>
          </w:p>
        </w:tc>
      </w:tr>
    </w:tbl>
    <w:p>
      <w:pPr>
        <w:pStyle w:val="Normal"/>
        <w:spacing w:before="0" w:after="0"/>
        <w:rPr>
          <w:sz w:val="4"/>
          <w:szCs w:val="4"/>
        </w:rPr>
      </w:pPr>
      <w:r>
        <w:rPr>
          <w:sz w:val="4"/>
          <w:szCs w:val="4"/>
        </w:rPr>
      </w:r>
      <w:bookmarkStart w:id="262" w:name="list2"/>
      <w:bookmarkStart w:id="263" w:name="list2"/>
      <w:bookmarkEnd w:id="263"/>
    </w:p>
    <w:tbl>
      <w:tblPr>
        <w:tblW w:w="5000" w:type="pct"/>
        <w:jc w:val="left"/>
        <w:tblInd w:w="0" w:type="dxa"/>
        <w:tblCellMar>
          <w:top w:w="0" w:type="dxa"/>
          <w:left w:w="0" w:type="dxa"/>
          <w:bottom w:w="0" w:type="dxa"/>
          <w:right w:w="0" w:type="dxa"/>
        </w:tblCellMar>
      </w:tblPr>
      <w:tblGrid>
        <w:gridCol w:w="517"/>
        <w:gridCol w:w="9688"/>
      </w:tblGrid>
      <w:tr>
        <w:trPr/>
        <w:tc>
          <w:tcPr>
            <w:tcW w:w="51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VistaStem Canada Inc., an Ontario (Canada) corporation: 100% owned by VistaGen California</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Schedule 3.1(d)– No Conflicts; Schedule 3.1(e)– Filings, Consents and Approvals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64" w:name="TAB11"/>
      <w:bookmarkEnd w:id="264"/>
      <w:r>
        <w:rPr>
          <w:rFonts w:ascii="Times New Roman" w:hAnsi="Times New Roman"/>
          <w:sz w:val="20"/>
        </w:rPr>
        <w:t>In October 2012, the Company entered into a Note Exchange and Purchase Agreement (“</w:t>
      </w:r>
      <w:r>
        <w:rPr>
          <w:rFonts w:ascii="Times New Roman" w:hAnsi="Times New Roman"/>
          <w:i/>
          <w:sz w:val="20"/>
        </w:rPr>
        <w:t>Platinum Agreement</w:t>
      </w:r>
      <w:r>
        <w:rPr>
          <w:rFonts w:ascii="Times New Roman" w:hAnsi="Times New Roman"/>
          <w:sz w:val="20"/>
        </w:rPr>
        <w:t>”) with Platinum Long Term Growth VII, LLC (“</w:t>
      </w:r>
      <w:r>
        <w:rPr>
          <w:rFonts w:ascii="Times New Roman" w:hAnsi="Times New Roman"/>
          <w:i/>
          <w:sz w:val="20"/>
        </w:rPr>
        <w:t>Platinum</w:t>
      </w:r>
      <w:r>
        <w:rPr>
          <w:rFonts w:ascii="Times New Roman" w:hAnsi="Times New Roman"/>
          <w:sz w:val="20"/>
        </w:rPr>
        <w:t>”) pursuant to which Platinum agreed to purchase from the Company senior secured convertible promissory notes in the aggregate principal amount of approximately $3.27 million (the “</w:t>
      </w:r>
      <w:r>
        <w:rPr>
          <w:rFonts w:ascii="Times New Roman" w:hAnsi="Times New Roman"/>
          <w:i/>
          <w:sz w:val="20"/>
        </w:rPr>
        <w:t>Platinum Notes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transactions contemplated by this Agreement constitute a Major Transaction under the terms of the Platinum Agreement. As such, the Company is required to give Platinum written notice of the Major Transaction, at which time Platinum may require pre-payment of the Notes contemporaneously with the execution of this Agreement. Platinum has informed the Company that it intends to waive this requirement and convert the Platinum Notes into equity securities of the Company contemporaneously with the execution of this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Schedule 3.1(g)– Capitalization</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65" w:name="TAB12"/>
      <w:bookmarkEnd w:id="265"/>
      <w:r>
        <w:rPr>
          <w:rFonts w:ascii="Times New Roman" w:hAnsi="Times New Roman"/>
          <w:sz w:val="20"/>
        </w:rPr>
        <w:t>Since its most recently filed periodic report under the Exchange Act, its Quarterly Report on Form 10-Q filed on February 14, 2013, and through March 29, 2013, Since its most recently filed periodic report under the Exchange Act, its Quarterly Report on Form 10-Q filed on February 14, 2013, and through March 29, 2013, the Company has issued 675,074 shares of Common Stock and warrants to purchase 337,537 shares of Common Stock, pursuant to that certain Private Offering Memorandum of Terms (the “</w:t>
      </w:r>
      <w:r>
        <w:rPr>
          <w:rFonts w:ascii="Times New Roman" w:hAnsi="Times New Roman"/>
          <w:i/>
          <w:sz w:val="20"/>
        </w:rPr>
        <w:t>Unit Offering</w:t>
      </w:r>
      <w:r>
        <w:rPr>
          <w:rFonts w:ascii="Times New Roman" w:hAnsi="Times New Roman"/>
          <w:sz w:val="20"/>
        </w:rPr>
        <w:t>”), as approved by the Company’s Board of Directors on August 28, 2012.</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66" w:name="TAB13"/>
      <w:bookmarkEnd w:id="266"/>
      <w:r>
        <w:rPr>
          <w:rFonts w:ascii="Times New Roman" w:hAnsi="Times New Roman"/>
          <w:sz w:val="20"/>
        </w:rPr>
        <w:t>The authorized capitalization of the Company as of March 3, 2013 is as follows: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Authorized Common Stock:                   200,000,000 shares;</w:t>
      </w:r>
    </w:p>
    <w:p>
      <w:pPr>
        <w:pStyle w:val="TextBody"/>
        <w:spacing w:before="0" w:after="0"/>
        <w:ind w:left="0" w:right="0" w:hanging="0"/>
        <w:jc w:val="left"/>
        <w:rPr>
          <w:rFonts w:ascii="Times New Roman" w:hAnsi="Times New Roman"/>
          <w:sz w:val="20"/>
        </w:rPr>
      </w:pPr>
      <w:r>
        <w:rPr>
          <w:rFonts w:ascii="Times New Roman" w:hAnsi="Times New Roman"/>
          <w:sz w:val="20"/>
        </w:rPr>
        <w:t>Authorized Preferred Stock:                   10,000,000 shares; and</w:t>
      </w:r>
    </w:p>
    <w:p>
      <w:pPr>
        <w:pStyle w:val="TextBody"/>
        <w:spacing w:before="0" w:after="0"/>
        <w:ind w:left="0" w:right="0" w:hanging="0"/>
        <w:jc w:val="left"/>
        <w:rPr>
          <w:rFonts w:ascii="Times New Roman" w:hAnsi="Times New Roman"/>
          <w:sz w:val="20"/>
        </w:rPr>
      </w:pPr>
      <w:r>
        <w:rPr>
          <w:rFonts w:ascii="Times New Roman" w:hAnsi="Times New Roman"/>
          <w:sz w:val="20"/>
        </w:rPr>
        <w:t>Authorized Series A Preferred Stock:   500,000 shares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7" w:name="PGBRK18"/>
      <w:bookmarkStart w:id="268" w:name="PGBRK18"/>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9" w:name="FTR18"/>
      <w:bookmarkStart w:id="270" w:name="FTR18"/>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1" w:name="GLFTR18"/>
      <w:bookmarkEnd w:id="2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2" w:name="PN18"/>
      <w:bookmarkEnd w:id="272"/>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 w:name="HDR18"/>
      <w:bookmarkStart w:id="274" w:name="HDR18"/>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5" w:name="GLHDR18"/>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Capitalization Table as of March 29, 2013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124"/>
        <w:gridCol w:w="612"/>
        <w:gridCol w:w="1633"/>
        <w:gridCol w:w="203"/>
        <w:gridCol w:w="1633"/>
      </w:tblGrid>
      <w:tr>
        <w:trPr/>
        <w:tc>
          <w:tcPr>
            <w:tcW w:w="6124"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Common Stock</w:t>
            </w:r>
          </w:p>
        </w:tc>
        <w:tc>
          <w:tcPr>
            <w:tcW w:w="612" w:type="dxa"/>
            <w:tcBorders/>
            <w:shd w:fill="auto" w:val="clear"/>
          </w:tcPr>
          <w:p>
            <w:pPr>
              <w:pStyle w:val="TableContents"/>
              <w:spacing w:before="0" w:after="283"/>
              <w:rPr/>
            </w:pPr>
            <w:r>
              <w:rPr/>
              <w:t xml:space="preserve">  </w:t>
            </w:r>
          </w:p>
        </w:tc>
        <w:tc>
          <w:tcPr>
            <w:tcW w:w="1633"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283"/>
              <w:rPr/>
            </w:pPr>
            <w:r>
              <w:rPr/>
              <w:t xml:space="preserve">  </w:t>
            </w:r>
          </w:p>
        </w:tc>
        <w:tc>
          <w:tcPr>
            <w:tcW w:w="1633" w:type="dxa"/>
            <w:tcBorders/>
            <w:shd w:fill="auto" w:val="clear"/>
          </w:tcPr>
          <w:p>
            <w:pPr>
              <w:pStyle w:val="TableContents"/>
              <w:spacing w:before="0" w:after="283"/>
              <w:rPr/>
            </w:pPr>
            <w:r>
              <w:rPr/>
              <w:t xml:space="preserve">  </w:t>
            </w:r>
          </w:p>
        </w:tc>
      </w:tr>
      <w:tr>
        <w:trPr/>
        <w:tc>
          <w:tcPr>
            <w:tcW w:w="6124"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1633"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283"/>
              <w:rPr/>
            </w:pPr>
            <w:r>
              <w:rPr/>
              <w:t xml:space="preserve">  </w:t>
            </w:r>
          </w:p>
        </w:tc>
        <w:tc>
          <w:tcPr>
            <w:tcW w:w="1633" w:type="dxa"/>
            <w:tcBorders/>
            <w:shd w:fill="auto" w:val="clear"/>
          </w:tcPr>
          <w:p>
            <w:pPr>
              <w:pStyle w:val="TableContents"/>
              <w:spacing w:before="0" w:after="283"/>
              <w:rPr/>
            </w:pPr>
            <w:r>
              <w:rPr/>
              <w:t xml:space="preserve">  </w:t>
            </w:r>
          </w:p>
        </w:tc>
      </w:tr>
      <w:tr>
        <w:trPr/>
        <w:tc>
          <w:tcPr>
            <w:tcW w:w="6124"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Management, Board of Directors, and Scientific Advisory Board</w:t>
            </w:r>
          </w:p>
        </w:tc>
        <w:tc>
          <w:tcPr>
            <w:tcW w:w="612"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0"/>
              <w:ind w:left="0" w:right="0" w:hanging="0"/>
              <w:jc w:val="right"/>
              <w:rPr/>
            </w:pPr>
            <w:r>
              <w:rPr/>
              <w:t>    </w:t>
            </w:r>
            <w:r>
              <w:rPr>
                <w:rFonts w:ascii="times new roman" w:hAnsi="times new roman"/>
                <w:sz w:val="20"/>
              </w:rPr>
              <w:t>1,737,932</w:t>
            </w:r>
          </w:p>
        </w:tc>
        <w:tc>
          <w:tcPr>
            <w:tcW w:w="203"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8.4%</w:t>
            </w:r>
          </w:p>
        </w:tc>
      </w:tr>
      <w:tr>
        <w:trPr/>
        <w:tc>
          <w:tcPr>
            <w:tcW w:w="6124" w:type="dxa"/>
            <w:tcBorders/>
            <w:shd w:fill="FFFFFF" w:val="clear"/>
          </w:tcPr>
          <w:p>
            <w:pPr>
              <w:pStyle w:val="TableContents"/>
              <w:spacing w:before="0" w:after="283"/>
              <w:rPr/>
            </w:pPr>
            <w:r>
              <w:rPr/>
              <w:t xml:space="preserve">  </w:t>
            </w:r>
          </w:p>
        </w:tc>
        <w:tc>
          <w:tcPr>
            <w:tcW w:w="612"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r>
      <w:tr>
        <w:trPr/>
        <w:tc>
          <w:tcPr>
            <w:tcW w:w="6124"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Institutions</w:t>
            </w:r>
          </w:p>
        </w:tc>
        <w:tc>
          <w:tcPr>
            <w:tcW w:w="612"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0"/>
              <w:ind w:left="0" w:right="0" w:hanging="0"/>
              <w:jc w:val="right"/>
              <w:rPr/>
            </w:pPr>
            <w:r>
              <w:rPr/>
              <w:t>    </w:t>
            </w:r>
            <w:r>
              <w:rPr>
                <w:rFonts w:ascii="times new roman" w:hAnsi="times new roman"/>
                <w:sz w:val="20"/>
              </w:rPr>
              <w:t>8,883,654</w:t>
            </w:r>
          </w:p>
        </w:tc>
        <w:tc>
          <w:tcPr>
            <w:tcW w:w="203"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42.8%</w:t>
            </w:r>
          </w:p>
        </w:tc>
      </w:tr>
      <w:tr>
        <w:trPr/>
        <w:tc>
          <w:tcPr>
            <w:tcW w:w="6124" w:type="dxa"/>
            <w:tcBorders/>
            <w:shd w:fill="FFFFFF" w:val="clear"/>
          </w:tcPr>
          <w:p>
            <w:pPr>
              <w:pStyle w:val="TableContents"/>
              <w:spacing w:before="0" w:after="283"/>
              <w:rPr/>
            </w:pPr>
            <w:r>
              <w:rPr/>
              <w:t xml:space="preserve">  </w:t>
            </w:r>
          </w:p>
        </w:tc>
        <w:tc>
          <w:tcPr>
            <w:tcW w:w="612"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r>
      <w:tr>
        <w:trPr/>
        <w:tc>
          <w:tcPr>
            <w:tcW w:w="6124"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Individual Investors and Employees</w:t>
            </w:r>
          </w:p>
        </w:tc>
        <w:tc>
          <w:tcPr>
            <w:tcW w:w="612" w:type="dxa"/>
            <w:tcBorders/>
            <w:shd w:fill="CCEEFF" w:val="clear"/>
          </w:tcPr>
          <w:p>
            <w:pPr>
              <w:pStyle w:val="TableContents"/>
              <w:spacing w:before="0" w:after="283"/>
              <w:rPr/>
            </w:pPr>
            <w:r>
              <w:rPr/>
              <w:t xml:space="preserve">  </w:t>
            </w:r>
          </w:p>
        </w:tc>
        <w:tc>
          <w:tcPr>
            <w:tcW w:w="1633" w:type="dxa"/>
            <w:tcBorders>
              <w:bottom w:val="single" w:sz="12" w:space="0" w:color="000000"/>
            </w:tcBorders>
            <w:shd w:fill="CCEEFF" w:val="clear"/>
            <w:tcMar>
              <w:bottom w:w="28" w:type="dxa"/>
            </w:tcMar>
          </w:tcPr>
          <w:p>
            <w:pPr>
              <w:pStyle w:val="TableContents"/>
              <w:spacing w:before="0" w:after="0"/>
              <w:ind w:left="0" w:right="0" w:hanging="0"/>
              <w:jc w:val="right"/>
              <w:rPr/>
            </w:pPr>
            <w:r>
              <w:rPr/>
              <w:t>  </w:t>
            </w:r>
            <w:r>
              <w:rPr>
                <w:rFonts w:ascii="times new roman" w:hAnsi="times new roman"/>
                <w:sz w:val="20"/>
              </w:rPr>
              <w:t>10,145,275</w:t>
            </w:r>
          </w:p>
        </w:tc>
        <w:tc>
          <w:tcPr>
            <w:tcW w:w="203" w:type="dxa"/>
            <w:tcBorders/>
            <w:shd w:fill="CCEEFF" w:val="clear"/>
          </w:tcPr>
          <w:p>
            <w:pPr>
              <w:pStyle w:val="TableContents"/>
              <w:spacing w:before="0" w:after="283"/>
              <w:rPr/>
            </w:pPr>
            <w:r>
              <w:rPr/>
              <w:t xml:space="preserve">  </w:t>
            </w:r>
          </w:p>
        </w:tc>
        <w:tc>
          <w:tcPr>
            <w:tcW w:w="1633" w:type="dxa"/>
            <w:tcBorders>
              <w:bottom w:val="single" w:sz="12" w:space="0" w:color="000000"/>
            </w:tcBorders>
            <w:shd w:fill="CCEEFF"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48.9%</w:t>
            </w:r>
          </w:p>
        </w:tc>
      </w:tr>
      <w:tr>
        <w:trPr/>
        <w:tc>
          <w:tcPr>
            <w:tcW w:w="6124" w:type="dxa"/>
            <w:tcBorders/>
            <w:shd w:fill="FFFFFF" w:val="clear"/>
          </w:tcPr>
          <w:p>
            <w:pPr>
              <w:pStyle w:val="TableContents"/>
              <w:spacing w:before="0" w:after="283"/>
              <w:rPr/>
            </w:pPr>
            <w:r>
              <w:rPr/>
              <w:t xml:space="preserve">  </w:t>
            </w:r>
          </w:p>
        </w:tc>
        <w:tc>
          <w:tcPr>
            <w:tcW w:w="612"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r>
      <w:tr>
        <w:trPr/>
        <w:tc>
          <w:tcPr>
            <w:tcW w:w="6124" w:type="dxa"/>
            <w:tcBorders/>
            <w:shd w:fill="CCEEFF"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Total Common Stock</w:t>
            </w:r>
          </w:p>
        </w:tc>
        <w:tc>
          <w:tcPr>
            <w:tcW w:w="61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1633" w:type="dxa"/>
            <w:tcBorders>
              <w:bottom w:val="double" w:sz="8" w:space="0" w:color="000000"/>
            </w:tcBorders>
            <w:shd w:fill="CCEEFF" w:val="clear"/>
            <w:tcMar>
              <w:bottom w:w="28" w:type="dxa"/>
            </w:tcMar>
          </w:tcPr>
          <w:p>
            <w:pPr>
              <w:pStyle w:val="TableContents"/>
              <w:spacing w:before="0" w:after="0"/>
              <w:ind w:left="0" w:right="0" w:hanging="0"/>
              <w:jc w:val="right"/>
              <w:rPr/>
            </w:pPr>
            <w:r>
              <w:rPr/>
              <w:t>  </w:t>
            </w:r>
            <w:r>
              <w:rPr>
                <w:rFonts w:ascii="times new roman" w:hAnsi="times new roman"/>
                <w:b/>
                <w:sz w:val="20"/>
              </w:rPr>
              <w:t>20,766,861</w:t>
            </w:r>
          </w:p>
        </w:tc>
        <w:tc>
          <w:tcPr>
            <w:tcW w:w="203" w:type="dxa"/>
            <w:tcBorders/>
            <w:shd w:fill="CCEEFF" w:val="clear"/>
          </w:tcPr>
          <w:p>
            <w:pPr>
              <w:pStyle w:val="TableContents"/>
              <w:spacing w:before="0" w:after="283"/>
              <w:rPr/>
            </w:pPr>
            <w:r>
              <w:rPr/>
              <w:t xml:space="preserve">  </w:t>
            </w:r>
          </w:p>
        </w:tc>
        <w:tc>
          <w:tcPr>
            <w:tcW w:w="1633" w:type="dxa"/>
            <w:tcBorders>
              <w:bottom w:val="double" w:sz="8" w:space="0" w:color="000000"/>
            </w:tcBorders>
            <w:shd w:fill="CCEEFF"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100.0%</w:t>
            </w:r>
          </w:p>
        </w:tc>
      </w:tr>
      <w:tr>
        <w:trPr/>
        <w:tc>
          <w:tcPr>
            <w:tcW w:w="6124" w:type="dxa"/>
            <w:tcBorders/>
            <w:shd w:fill="FFFFFF" w:val="clear"/>
          </w:tcPr>
          <w:p>
            <w:pPr>
              <w:pStyle w:val="TableContents"/>
              <w:spacing w:before="0" w:after="283"/>
              <w:rPr/>
            </w:pPr>
            <w:r>
              <w:rPr/>
              <w:t xml:space="preserve">  </w:t>
            </w:r>
          </w:p>
        </w:tc>
        <w:tc>
          <w:tcPr>
            <w:tcW w:w="612"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r>
      <w:tr>
        <w:trPr/>
        <w:tc>
          <w:tcPr>
            <w:tcW w:w="6124" w:type="dxa"/>
            <w:tcBorders/>
            <w:shd w:fill="CCEEFF"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Series A Preferred Stock</w:t>
            </w:r>
          </w:p>
        </w:tc>
        <w:tc>
          <w:tcPr>
            <w:tcW w:w="612"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283"/>
              <w:rPr/>
            </w:pPr>
            <w:r>
              <w:rPr/>
              <w:t xml:space="preserve">  </w:t>
            </w:r>
          </w:p>
        </w:tc>
        <w:tc>
          <w:tcPr>
            <w:tcW w:w="203"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283"/>
              <w:rPr/>
            </w:pPr>
            <w:r>
              <w:rPr/>
              <w:t xml:space="preserve">  </w:t>
            </w:r>
          </w:p>
        </w:tc>
      </w:tr>
      <w:tr>
        <w:trPr/>
        <w:tc>
          <w:tcPr>
            <w:tcW w:w="6124" w:type="dxa"/>
            <w:tcBorders/>
            <w:shd w:fill="FFFFFF" w:val="clear"/>
          </w:tcPr>
          <w:p>
            <w:pPr>
              <w:pStyle w:val="TableContents"/>
              <w:spacing w:before="0" w:after="0"/>
              <w:ind w:left="0" w:right="0" w:hanging="0"/>
              <w:jc w:val="left"/>
              <w:rPr/>
            </w:pPr>
            <w:r>
              <w:rPr/>
              <w:t>  </w:t>
            </w:r>
            <w:r>
              <w:rPr>
                <w:rFonts w:ascii="times new roman" w:hAnsi="times new roman"/>
                <w:sz w:val="20"/>
              </w:rPr>
              <w:t>Platinum Long Term Growth Fund</w:t>
            </w:r>
          </w:p>
        </w:tc>
        <w:tc>
          <w:tcPr>
            <w:tcW w:w="61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1633" w:type="dxa"/>
            <w:tcBorders>
              <w:bottom w:val="double" w:sz="8" w:space="0" w:color="000000"/>
            </w:tcBorders>
            <w:shd w:fill="FFFFFF" w:val="clear"/>
            <w:tcMar>
              <w:bottom w:w="28" w:type="dxa"/>
            </w:tcMar>
          </w:tcPr>
          <w:p>
            <w:pPr>
              <w:pStyle w:val="TableContents"/>
              <w:spacing w:before="0" w:after="0"/>
              <w:ind w:left="0" w:right="0" w:hanging="0"/>
              <w:jc w:val="right"/>
              <w:rPr/>
            </w:pPr>
            <w:r>
              <w:rPr/>
              <w:t>       </w:t>
            </w:r>
            <w:r>
              <w:rPr>
                <w:rFonts w:ascii="times new roman" w:hAnsi="times new roman"/>
                <w:b/>
                <w:sz w:val="20"/>
              </w:rPr>
              <w:t>500,000</w:t>
            </w:r>
          </w:p>
        </w:tc>
        <w:tc>
          <w:tcPr>
            <w:tcW w:w="203"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r>
      <w:tr>
        <w:trPr/>
        <w:tc>
          <w:tcPr>
            <w:tcW w:w="6124" w:type="dxa"/>
            <w:tcBorders/>
            <w:shd w:fill="CCEEFF" w:val="clear"/>
          </w:tcPr>
          <w:p>
            <w:pPr>
              <w:pStyle w:val="TableContents"/>
              <w:spacing w:before="0" w:after="283"/>
              <w:rPr/>
            </w:pPr>
            <w:r>
              <w:rPr/>
              <w:t xml:space="preserve">  </w:t>
            </w:r>
          </w:p>
        </w:tc>
        <w:tc>
          <w:tcPr>
            <w:tcW w:w="612"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283"/>
              <w:rPr/>
            </w:pPr>
            <w:r>
              <w:rPr/>
              <w:t xml:space="preserve">  </w:t>
            </w:r>
          </w:p>
        </w:tc>
        <w:tc>
          <w:tcPr>
            <w:tcW w:w="203"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283"/>
              <w:rPr/>
            </w:pPr>
            <w:r>
              <w:rPr/>
              <w:t xml:space="preserve">  </w:t>
            </w:r>
          </w:p>
        </w:tc>
      </w:tr>
      <w:tr>
        <w:trPr/>
        <w:tc>
          <w:tcPr>
            <w:tcW w:w="6124" w:type="dxa"/>
            <w:tcBorders/>
            <w:shd w:fill="FFFFFF"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Warrants to purchase Common Stock</w:t>
            </w:r>
          </w:p>
        </w:tc>
        <w:tc>
          <w:tcPr>
            <w:tcW w:w="61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633" w:type="dxa"/>
            <w:tcBorders>
              <w:bottom w:val="double" w:sz="8" w:space="0" w:color="000000"/>
            </w:tcBorders>
            <w:shd w:fill="FFFFFF" w:val="clear"/>
            <w:tcMar>
              <w:bottom w:w="28" w:type="dxa"/>
            </w:tcMar>
          </w:tcPr>
          <w:p>
            <w:pPr>
              <w:pStyle w:val="TableContents"/>
              <w:spacing w:before="0" w:after="0"/>
              <w:ind w:left="0" w:right="0" w:hanging="0"/>
              <w:jc w:val="right"/>
              <w:rPr/>
            </w:pPr>
            <w:r>
              <w:rPr/>
              <w:t>  </w:t>
            </w:r>
            <w:r>
              <w:rPr>
                <w:rFonts w:ascii="times new roman" w:hAnsi="times new roman"/>
                <w:b/>
                <w:sz w:val="20"/>
              </w:rPr>
              <w:t>14,605,571</w:t>
            </w:r>
          </w:p>
        </w:tc>
        <w:tc>
          <w:tcPr>
            <w:tcW w:w="203"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r>
      <w:tr>
        <w:trPr/>
        <w:tc>
          <w:tcPr>
            <w:tcW w:w="6124" w:type="dxa"/>
            <w:tcBorders/>
            <w:shd w:fill="CCEEFF" w:val="clear"/>
          </w:tcPr>
          <w:p>
            <w:pPr>
              <w:pStyle w:val="TableContents"/>
              <w:spacing w:before="0" w:after="283"/>
              <w:rPr/>
            </w:pPr>
            <w:r>
              <w:rPr/>
              <w:t xml:space="preserve">  </w:t>
            </w:r>
          </w:p>
        </w:tc>
        <w:tc>
          <w:tcPr>
            <w:tcW w:w="612"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283"/>
              <w:rPr/>
            </w:pPr>
            <w:r>
              <w:rPr/>
              <w:t xml:space="preserve">  </w:t>
            </w:r>
          </w:p>
        </w:tc>
        <w:tc>
          <w:tcPr>
            <w:tcW w:w="203"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283"/>
              <w:rPr/>
            </w:pPr>
            <w:r>
              <w:rPr/>
              <w:t xml:space="preserve">  </w:t>
            </w:r>
          </w:p>
        </w:tc>
      </w:tr>
      <w:tr>
        <w:trPr/>
        <w:tc>
          <w:tcPr>
            <w:tcW w:w="6124" w:type="dxa"/>
            <w:tcBorders/>
            <w:shd w:fill="FFFFFF"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Qualified Stock Plan Options</w:t>
            </w:r>
          </w:p>
        </w:tc>
        <w:tc>
          <w:tcPr>
            <w:tcW w:w="612"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r>
      <w:tr>
        <w:trPr/>
        <w:tc>
          <w:tcPr>
            <w:tcW w:w="6124" w:type="dxa"/>
            <w:tcBorders/>
            <w:shd w:fill="CCEEFF" w:val="clear"/>
          </w:tcPr>
          <w:p>
            <w:pPr>
              <w:pStyle w:val="TableContents"/>
              <w:spacing w:before="0" w:after="283"/>
              <w:jc w:val="left"/>
              <w:rPr/>
            </w:pPr>
            <w:r>
              <w:rPr/>
              <w:t> </w:t>
            </w:r>
          </w:p>
        </w:tc>
        <w:tc>
          <w:tcPr>
            <w:tcW w:w="612"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283"/>
              <w:rPr/>
            </w:pPr>
            <w:r>
              <w:rPr/>
              <w:t xml:space="preserve">  </w:t>
            </w:r>
          </w:p>
        </w:tc>
        <w:tc>
          <w:tcPr>
            <w:tcW w:w="203"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283"/>
              <w:rPr/>
            </w:pPr>
            <w:r>
              <w:rPr/>
              <w:t xml:space="preserve">  </w:t>
            </w:r>
          </w:p>
        </w:tc>
      </w:tr>
      <w:tr>
        <w:trPr/>
        <w:tc>
          <w:tcPr>
            <w:tcW w:w="6124"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Management, Board of Directors, and Scientific Advisory Board</w:t>
            </w:r>
          </w:p>
        </w:tc>
        <w:tc>
          <w:tcPr>
            <w:tcW w:w="612"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0"/>
              <w:ind w:left="0" w:right="0" w:hanging="0"/>
              <w:jc w:val="right"/>
              <w:rPr/>
            </w:pPr>
            <w:r>
              <w:rPr/>
              <w:t>    </w:t>
            </w:r>
            <w:r>
              <w:rPr>
                <w:rFonts w:ascii="times new roman" w:hAnsi="times new roman"/>
                <w:sz w:val="20"/>
              </w:rPr>
              <w:t>3,872,826</w:t>
            </w:r>
          </w:p>
        </w:tc>
        <w:tc>
          <w:tcPr>
            <w:tcW w:w="203"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r>
      <w:tr>
        <w:trPr/>
        <w:tc>
          <w:tcPr>
            <w:tcW w:w="6124" w:type="dxa"/>
            <w:tcBorders/>
            <w:shd w:fill="CCEEFF" w:val="clear"/>
          </w:tcPr>
          <w:p>
            <w:pPr>
              <w:pStyle w:val="TableContents"/>
              <w:spacing w:before="0" w:after="0"/>
              <w:ind w:left="0" w:right="0" w:hanging="0"/>
              <w:jc w:val="left"/>
              <w:rPr/>
            </w:pPr>
            <w:r>
              <w:rPr/>
              <w:t>  </w:t>
            </w:r>
            <w:r>
              <w:rPr>
                <w:rFonts w:ascii="times new roman" w:hAnsi="times new roman"/>
                <w:sz w:val="20"/>
              </w:rPr>
              <w:t>Employees and others</w:t>
            </w:r>
          </w:p>
        </w:tc>
        <w:tc>
          <w:tcPr>
            <w:tcW w:w="612"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0"/>
              <w:ind w:left="0" w:right="0" w:hanging="0"/>
              <w:jc w:val="right"/>
              <w:rPr/>
            </w:pPr>
            <w:r>
              <w:rPr/>
              <w:t>    </w:t>
            </w:r>
            <w:r>
              <w:rPr>
                <w:rFonts w:ascii="times new roman" w:hAnsi="times new roman"/>
                <w:sz w:val="20"/>
              </w:rPr>
              <w:t>1,039,778</w:t>
            </w:r>
          </w:p>
        </w:tc>
        <w:tc>
          <w:tcPr>
            <w:tcW w:w="203" w:type="dxa"/>
            <w:tcBorders/>
            <w:shd w:fill="CCEEFF" w:val="clear"/>
          </w:tcPr>
          <w:p>
            <w:pPr>
              <w:pStyle w:val="TableContents"/>
              <w:spacing w:before="0" w:after="283"/>
              <w:rPr/>
            </w:pPr>
            <w:r>
              <w:rPr/>
              <w:t xml:space="preserve">  </w:t>
            </w:r>
          </w:p>
        </w:tc>
        <w:tc>
          <w:tcPr>
            <w:tcW w:w="1633" w:type="dxa"/>
            <w:tcBorders/>
            <w:shd w:fill="CCEEFF" w:val="clear"/>
          </w:tcPr>
          <w:p>
            <w:pPr>
              <w:pStyle w:val="TableContents"/>
              <w:spacing w:before="0" w:after="283"/>
              <w:rPr/>
            </w:pPr>
            <w:r>
              <w:rPr/>
              <w:t xml:space="preserve">  </w:t>
            </w:r>
          </w:p>
        </w:tc>
      </w:tr>
      <w:tr>
        <w:trPr/>
        <w:tc>
          <w:tcPr>
            <w:tcW w:w="6124" w:type="dxa"/>
            <w:tcBorders/>
            <w:shd w:fill="FFFFFF" w:val="clear"/>
          </w:tcPr>
          <w:p>
            <w:pPr>
              <w:pStyle w:val="TableContents"/>
              <w:spacing w:before="0" w:after="283"/>
              <w:rPr/>
            </w:pPr>
            <w:r>
              <w:rPr/>
              <w:t xml:space="preserve">  </w:t>
            </w:r>
          </w:p>
        </w:tc>
        <w:tc>
          <w:tcPr>
            <w:tcW w:w="612" w:type="dxa"/>
            <w:tcBorders/>
            <w:shd w:fill="FFFFFF" w:val="clear"/>
          </w:tcPr>
          <w:p>
            <w:pPr>
              <w:pStyle w:val="TableContents"/>
              <w:spacing w:before="0" w:after="283"/>
              <w:rPr/>
            </w:pPr>
            <w:r>
              <w:rPr/>
              <w:t xml:space="preserve">  </w:t>
            </w:r>
          </w:p>
        </w:tc>
        <w:tc>
          <w:tcPr>
            <w:tcW w:w="1633" w:type="dxa"/>
            <w:tcBorders>
              <w:bottom w:val="double" w:sz="8" w:space="0" w:color="000000"/>
            </w:tcBorders>
            <w:shd w:fill="FFFFFF" w:val="clear"/>
            <w:tcMar>
              <w:bottom w:w="28" w:type="dxa"/>
            </w:tcMar>
          </w:tcPr>
          <w:p>
            <w:pPr>
              <w:pStyle w:val="TableContents"/>
              <w:spacing w:before="0" w:after="0"/>
              <w:ind w:left="0" w:right="0" w:hanging="0"/>
              <w:jc w:val="right"/>
              <w:rPr/>
            </w:pPr>
            <w:r>
              <w:rPr/>
              <w:t>    </w:t>
            </w:r>
            <w:r>
              <w:rPr>
                <w:rFonts w:ascii="times new roman" w:hAnsi="times new roman"/>
                <w:b/>
                <w:sz w:val="20"/>
              </w:rPr>
              <w:t>4,912,604</w:t>
            </w:r>
          </w:p>
        </w:tc>
        <w:tc>
          <w:tcPr>
            <w:tcW w:w="203" w:type="dxa"/>
            <w:tcBorders/>
            <w:shd w:fill="FFFFFF" w:val="clear"/>
          </w:tcPr>
          <w:p>
            <w:pPr>
              <w:pStyle w:val="TableContents"/>
              <w:spacing w:before="0" w:after="283"/>
              <w:rPr/>
            </w:pPr>
            <w:r>
              <w:rPr/>
              <w:t xml:space="preserve">  </w:t>
            </w:r>
          </w:p>
        </w:tc>
        <w:tc>
          <w:tcPr>
            <w:tcW w:w="1633" w:type="dxa"/>
            <w:tcBorders/>
            <w:shd w:fill="FFFFFF" w:val="clear"/>
          </w:tcPr>
          <w:p>
            <w:pPr>
              <w:pStyle w:val="TableContents"/>
              <w:spacing w:before="0" w:after="283"/>
              <w:rPr/>
            </w:pPr>
            <w:r>
              <w:rPr/>
              <w:t xml:space="preserve">  </w:t>
            </w:r>
          </w:p>
        </w:tc>
      </w:tr>
    </w:tbl>
    <w:p>
      <w:pPr>
        <w:pStyle w:val="TextBody"/>
        <w:spacing w:before="0" w:after="0"/>
        <w:ind w:left="0" w:right="0" w:hanging="0"/>
        <w:jc w:val="left"/>
        <w:rPr>
          <w:rFonts w:ascii="Times New Roman" w:hAnsi="Times New Roman"/>
          <w:sz w:val="20"/>
        </w:rPr>
      </w:pPr>
      <w:r>
        <w:rPr>
          <w:rFonts w:ascii="Times New Roman" w:hAnsi="Times New Roman"/>
          <w:sz w:val="20"/>
        </w:rPr>
        <w:t>___________</w:t>
      </w:r>
    </w:p>
    <w:p>
      <w:pPr>
        <w:pStyle w:val="Normal"/>
        <w:spacing w:before="0" w:after="0"/>
        <w:rPr>
          <w:sz w:val="4"/>
          <w:szCs w:val="4"/>
        </w:rPr>
      </w:pPr>
      <w:r>
        <w:rPr>
          <w:sz w:val="4"/>
          <w:szCs w:val="4"/>
        </w:rPr>
      </w:r>
      <w:bookmarkStart w:id="276" w:name="list3"/>
      <w:bookmarkStart w:id="277" w:name="list3"/>
      <w:bookmarkEnd w:id="277"/>
    </w:p>
    <w:tbl>
      <w:tblPr>
        <w:tblW w:w="5000" w:type="pct"/>
        <w:jc w:val="left"/>
        <w:tblInd w:w="0" w:type="dxa"/>
        <w:tblCellMar>
          <w:top w:w="0" w:type="dxa"/>
          <w:left w:w="0" w:type="dxa"/>
          <w:bottom w:w="0" w:type="dxa"/>
          <w:right w:w="0" w:type="dxa"/>
        </w:tblCellMar>
      </w:tblPr>
      <w:tblGrid>
        <w:gridCol w:w="239"/>
        <w:gridCol w:w="9966"/>
      </w:tblGrid>
      <w:tr>
        <w:trPr/>
        <w:tc>
          <w:tcPr>
            <w:tcW w:w="2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Excludes (i) approximately 6.77 million shares of common stock issuable to Platinum upon conversion of $3.273 million face value of Senior Secured Convertible Promissory Notes plus accrued interest concurrently with the Closing, and (ii) 15.0 million shares issuable to Platinum upon the exchange of 500,000 shares of Series A preferred stock into common stock, which exchange shall occur at Platinum’s discretion.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8" w:name="list4"/>
      <w:bookmarkStart w:id="279" w:name="list4"/>
      <w:bookmarkEnd w:id="279"/>
    </w:p>
    <w:tbl>
      <w:tblPr>
        <w:tblW w:w="5000" w:type="pct"/>
        <w:jc w:val="left"/>
        <w:tblInd w:w="0" w:type="dxa"/>
        <w:tblCellMar>
          <w:top w:w="0" w:type="dxa"/>
          <w:left w:w="0" w:type="dxa"/>
          <w:bottom w:w="0" w:type="dxa"/>
          <w:right w:w="0" w:type="dxa"/>
        </w:tblCellMar>
      </w:tblPr>
      <w:tblGrid>
        <w:gridCol w:w="277"/>
        <w:gridCol w:w="9928"/>
      </w:tblGrid>
      <w:tr>
        <w:trPr/>
        <w:tc>
          <w:tcPr>
            <w:tcW w:w="2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Exchangeable into 15.0 million shares of common stock and a five-year warrant to purchase 7.5 million shares of common stock at an exercise price of $1.50 per share, which exchange shall occur at Platinum’s discretion.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0" w:name="list5"/>
      <w:bookmarkStart w:id="281" w:name="list5"/>
      <w:bookmarkEnd w:id="281"/>
    </w:p>
    <w:tbl>
      <w:tblPr>
        <w:tblW w:w="5000" w:type="pct"/>
        <w:jc w:val="left"/>
        <w:tblInd w:w="0" w:type="dxa"/>
        <w:tblCellMar>
          <w:top w:w="0" w:type="dxa"/>
          <w:left w:w="0" w:type="dxa"/>
          <w:bottom w:w="0" w:type="dxa"/>
          <w:right w:w="0" w:type="dxa"/>
        </w:tblCellMar>
      </w:tblPr>
      <w:tblGrid>
        <w:gridCol w:w="255"/>
        <w:gridCol w:w="9950"/>
      </w:tblGrid>
      <w:tr>
        <w:trPr/>
        <w:tc>
          <w:tcPr>
            <w:tcW w:w="25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Excludes 7.5 million shares exercisable at a price of $1.50 per share issuable to Platinum upon the exchange of 500,000 shares of Series A Preferred stock into common stock and warrants as described in Note (2).  The issuance of the Shares under this Agreement at $0.50 per share will cause the exercise price.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82" w:name="PGBRK19"/>
      <w:bookmarkStart w:id="283" w:name="PGBRK19"/>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84" w:name="FTR19"/>
      <w:bookmarkStart w:id="285" w:name="FTR19"/>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286" w:name="GLFTR19"/>
      <w:bookmarkEnd w:id="2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7" w:name="PN19"/>
      <w:bookmarkEnd w:id="287"/>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88" w:name="HDR19"/>
      <w:bookmarkStart w:id="289" w:name="HDR19"/>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90" w:name="GLHDR19"/>
      <w:bookmarkEnd w:id="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sets forth, on a pro forma basis, assuming, among other things, Purchaser’s purchase of 72 million shares of Common Stock pursuant to this Agreement, the fully-diluted capitalization of the Company:</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462"/>
        <w:gridCol w:w="187"/>
        <w:gridCol w:w="1084"/>
        <w:gridCol w:w="212"/>
        <w:gridCol w:w="735"/>
        <w:gridCol w:w="187"/>
        <w:gridCol w:w="1062"/>
        <w:gridCol w:w="187"/>
        <w:gridCol w:w="1171"/>
        <w:gridCol w:w="212"/>
        <w:gridCol w:w="1084"/>
        <w:gridCol w:w="212"/>
        <w:gridCol w:w="1210"/>
        <w:gridCol w:w="187"/>
        <w:gridCol w:w="1013"/>
      </w:tblGrid>
      <w:tr>
        <w:trPr/>
        <w:tc>
          <w:tcPr>
            <w:tcW w:w="1462" w:type="dxa"/>
            <w:tcBorders/>
            <w:shd w:fill="auto" w:val="clear"/>
            <w:vAlign w:val="bottom"/>
          </w:tcPr>
          <w:p>
            <w:pPr>
              <w:pStyle w:val="TableContents"/>
              <w:spacing w:before="0" w:after="283"/>
              <w:rPr/>
            </w:pPr>
            <w:r>
              <w:rPr/>
              <w:t xml:space="preserve">  </w:t>
            </w:r>
          </w:p>
        </w:tc>
        <w:tc>
          <w:tcPr>
            <w:tcW w:w="187" w:type="dxa"/>
            <w:tcBorders/>
            <w:shd w:fill="auto" w:val="clear"/>
            <w:vAlign w:val="bottom"/>
          </w:tcPr>
          <w:p>
            <w:pPr>
              <w:pStyle w:val="TableContents"/>
              <w:spacing w:before="0" w:after="283"/>
              <w:rPr/>
            </w:pPr>
            <w:r>
              <w:rPr/>
              <w:t xml:space="preserve">  </w:t>
            </w:r>
          </w:p>
        </w:tc>
        <w:tc>
          <w:tcPr>
            <w:tcW w:w="2031"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187" w:type="dxa"/>
            <w:tcBorders/>
            <w:shd w:fill="auto" w:val="clear"/>
            <w:vAlign w:val="center"/>
          </w:tcPr>
          <w:p>
            <w:pPr>
              <w:pStyle w:val="TableContents"/>
              <w:spacing w:before="0" w:after="283"/>
              <w:rPr/>
            </w:pPr>
            <w:r>
              <w:rPr/>
              <w:t xml:space="preserve">  </w:t>
            </w:r>
          </w:p>
        </w:tc>
        <w:tc>
          <w:tcPr>
            <w:tcW w:w="1062" w:type="dxa"/>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20"/>
              </w:rPr>
              <w:t>Options</w:t>
            </w:r>
          </w:p>
        </w:tc>
        <w:tc>
          <w:tcPr>
            <w:tcW w:w="187" w:type="dxa"/>
            <w:tcBorders/>
            <w:shd w:fill="auto" w:val="clear"/>
            <w:vAlign w:val="bottom"/>
          </w:tcPr>
          <w:p>
            <w:pPr>
              <w:pStyle w:val="TableContents"/>
              <w:spacing w:before="0" w:after="283"/>
              <w:rPr/>
            </w:pPr>
            <w:r>
              <w:rPr/>
              <w:t xml:space="preserve">  </w:t>
            </w:r>
          </w:p>
        </w:tc>
        <w:tc>
          <w:tcPr>
            <w:tcW w:w="1171"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w:t>
            </w:r>
            <w:r>
              <w:rPr>
                <w:rFonts w:ascii="times new roman" w:hAnsi="times new roman"/>
                <w:b/>
                <w:sz w:val="20"/>
              </w:rPr>
              <w:t>Warrants</w:t>
            </w:r>
          </w:p>
        </w:tc>
        <w:tc>
          <w:tcPr>
            <w:tcW w:w="212" w:type="dxa"/>
            <w:tcBorders/>
            <w:shd w:fill="auto" w:val="clear"/>
            <w:vAlign w:val="bottom"/>
          </w:tcPr>
          <w:p>
            <w:pPr>
              <w:pStyle w:val="TableContents"/>
              <w:spacing w:before="0" w:after="283"/>
              <w:rPr/>
            </w:pPr>
            <w:r>
              <w:rPr/>
              <w:t xml:space="preserve">  </w:t>
            </w:r>
          </w:p>
        </w:tc>
        <w:tc>
          <w:tcPr>
            <w:tcW w:w="1084" w:type="dxa"/>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20"/>
              </w:rPr>
              <w:t>Series A Preferred</w:t>
            </w:r>
          </w:p>
        </w:tc>
        <w:tc>
          <w:tcPr>
            <w:tcW w:w="212" w:type="dxa"/>
            <w:tcBorders/>
            <w:shd w:fill="auto" w:val="clear"/>
            <w:vAlign w:val="bottom"/>
          </w:tcPr>
          <w:p>
            <w:pPr>
              <w:pStyle w:val="TableContents"/>
              <w:spacing w:before="0" w:after="283"/>
              <w:rPr/>
            </w:pPr>
            <w:r>
              <w:rPr/>
              <w:t xml:space="preserve">  </w:t>
            </w:r>
          </w:p>
        </w:tc>
        <w:tc>
          <w:tcPr>
            <w:tcW w:w="1210" w:type="dxa"/>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20"/>
              </w:rPr>
              <w:t>Fully-Diluted</w:t>
            </w:r>
          </w:p>
        </w:tc>
        <w:tc>
          <w:tcPr>
            <w:tcW w:w="187" w:type="dxa"/>
            <w:tcBorders/>
            <w:shd w:fill="auto" w:val="clear"/>
            <w:vAlign w:val="bottom"/>
          </w:tcPr>
          <w:p>
            <w:pPr>
              <w:pStyle w:val="TableContents"/>
              <w:spacing w:before="0" w:after="283"/>
              <w:rPr/>
            </w:pPr>
            <w:r>
              <w:rPr/>
              <w:t xml:space="preserve">  </w:t>
            </w:r>
          </w:p>
        </w:tc>
        <w:tc>
          <w:tcPr>
            <w:tcW w:w="1013" w:type="dxa"/>
            <w:tcBorders/>
            <w:shd w:fill="auto" w:val="clear"/>
            <w:vAlign w:val="bottom"/>
          </w:tcPr>
          <w:p>
            <w:pPr>
              <w:pStyle w:val="TableContents"/>
              <w:spacing w:before="0" w:after="283"/>
              <w:rPr/>
            </w:pPr>
            <w:r>
              <w:rPr/>
              <w:t xml:space="preserve">  </w:t>
            </w:r>
          </w:p>
        </w:tc>
      </w:tr>
      <w:tr>
        <w:trPr/>
        <w:tc>
          <w:tcPr>
            <w:tcW w:w="1462"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Stockholder</w:t>
            </w:r>
          </w:p>
        </w:tc>
        <w:tc>
          <w:tcPr>
            <w:tcW w:w="187" w:type="dxa"/>
            <w:tcBorders/>
            <w:shd w:fill="auto" w:val="clear"/>
            <w:vAlign w:val="center"/>
          </w:tcPr>
          <w:p>
            <w:pPr>
              <w:pStyle w:val="TableContents"/>
              <w:spacing w:before="0" w:after="283"/>
              <w:rPr/>
            </w:pPr>
            <w:r>
              <w:rPr/>
              <w:t xml:space="preserve">  </w:t>
            </w:r>
          </w:p>
        </w:tc>
        <w:tc>
          <w:tcPr>
            <w:tcW w:w="1084" w:type="dxa"/>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212" w:type="dxa"/>
            <w:tcBorders/>
            <w:shd w:fill="auto" w:val="clear"/>
            <w:vAlign w:val="center"/>
          </w:tcPr>
          <w:p>
            <w:pPr>
              <w:pStyle w:val="TableContents"/>
              <w:spacing w:before="0" w:after="283"/>
              <w:rPr/>
            </w:pPr>
            <w:r>
              <w:rPr/>
              <w:t xml:space="preserve">  </w:t>
            </w:r>
          </w:p>
        </w:tc>
        <w:tc>
          <w:tcPr>
            <w:tcW w:w="735" w:type="dxa"/>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CS %</w:t>
            </w:r>
          </w:p>
        </w:tc>
        <w:tc>
          <w:tcPr>
            <w:tcW w:w="187" w:type="dxa"/>
            <w:tcBorders/>
            <w:shd w:fill="auto" w:val="clear"/>
            <w:vAlign w:val="center"/>
          </w:tcPr>
          <w:p>
            <w:pPr>
              <w:pStyle w:val="TableContents"/>
              <w:spacing w:before="0" w:after="283"/>
              <w:rPr/>
            </w:pPr>
            <w:r>
              <w:rPr/>
              <w:t xml:space="preserve">  </w:t>
            </w:r>
          </w:p>
        </w:tc>
        <w:tc>
          <w:tcPr>
            <w:tcW w:w="1062" w:type="dxa"/>
            <w:tcBorders/>
            <w:shd w:fill="auto" w:val="clear"/>
            <w:vAlign w:val="bottom"/>
          </w:tcPr>
          <w:p>
            <w:pPr>
              <w:pStyle w:val="TableContents"/>
              <w:spacing w:before="0" w:after="283"/>
              <w:rPr/>
            </w:pPr>
            <w:r>
              <w:rPr/>
              <w:t xml:space="preserve">  </w:t>
            </w:r>
          </w:p>
        </w:tc>
        <w:tc>
          <w:tcPr>
            <w:tcW w:w="187" w:type="dxa"/>
            <w:tcBorders/>
            <w:shd w:fill="auto" w:val="clear"/>
            <w:vAlign w:val="bottom"/>
          </w:tcPr>
          <w:p>
            <w:pPr>
              <w:pStyle w:val="TableContents"/>
              <w:spacing w:before="0" w:after="283"/>
              <w:rPr/>
            </w:pPr>
            <w:r>
              <w:rPr/>
              <w:t xml:space="preserve">  </w:t>
            </w:r>
          </w:p>
        </w:tc>
        <w:tc>
          <w:tcPr>
            <w:tcW w:w="1171" w:type="dxa"/>
            <w:tcBorders/>
            <w:shd w:fill="auto" w:val="clear"/>
            <w:vAlign w:val="bottom"/>
          </w:tcPr>
          <w:p>
            <w:pPr>
              <w:pStyle w:val="TableContents"/>
              <w:spacing w:before="0" w:after="283"/>
              <w:rPr/>
            </w:pPr>
            <w:r>
              <w:rPr/>
              <w:t xml:space="preserve">  </w:t>
            </w:r>
          </w:p>
        </w:tc>
        <w:tc>
          <w:tcPr>
            <w:tcW w:w="212" w:type="dxa"/>
            <w:tcBorders/>
            <w:shd w:fill="auto" w:val="clear"/>
            <w:vAlign w:val="bottom"/>
          </w:tcPr>
          <w:p>
            <w:pPr>
              <w:pStyle w:val="TableContents"/>
              <w:spacing w:before="0" w:after="283"/>
              <w:rPr/>
            </w:pPr>
            <w:r>
              <w:rPr/>
              <w:t xml:space="preserve">  </w:t>
            </w:r>
          </w:p>
        </w:tc>
        <w:tc>
          <w:tcPr>
            <w:tcW w:w="1084" w:type="dxa"/>
            <w:tcBorders/>
            <w:shd w:fill="auto" w:val="clear"/>
            <w:vAlign w:val="bottom"/>
          </w:tcPr>
          <w:p>
            <w:pPr>
              <w:pStyle w:val="TableContents"/>
              <w:spacing w:before="0" w:after="283"/>
              <w:rPr/>
            </w:pPr>
            <w:r>
              <w:rPr/>
              <w:t xml:space="preserve">  </w:t>
            </w:r>
          </w:p>
        </w:tc>
        <w:tc>
          <w:tcPr>
            <w:tcW w:w="212" w:type="dxa"/>
            <w:tcBorders/>
            <w:shd w:fill="auto" w:val="clear"/>
            <w:vAlign w:val="bottom"/>
          </w:tcPr>
          <w:p>
            <w:pPr>
              <w:pStyle w:val="TableContents"/>
              <w:spacing w:before="0" w:after="283"/>
              <w:rPr/>
            </w:pPr>
            <w:r>
              <w:rPr/>
              <w:t xml:space="preserve">  </w:t>
            </w:r>
          </w:p>
        </w:tc>
        <w:tc>
          <w:tcPr>
            <w:tcW w:w="1210" w:type="dxa"/>
            <w:tcBorders/>
            <w:shd w:fill="auto" w:val="clear"/>
            <w:vAlign w:val="bottom"/>
          </w:tcPr>
          <w:p>
            <w:pPr>
              <w:pStyle w:val="TableContents"/>
              <w:spacing w:before="0" w:after="283"/>
              <w:rPr/>
            </w:pPr>
            <w:r>
              <w:rPr/>
              <w:t xml:space="preserve">  </w:t>
            </w:r>
          </w:p>
        </w:tc>
        <w:tc>
          <w:tcPr>
            <w:tcW w:w="187" w:type="dxa"/>
            <w:tcBorders/>
            <w:shd w:fill="auto" w:val="clear"/>
            <w:vAlign w:val="bottom"/>
          </w:tcPr>
          <w:p>
            <w:pPr>
              <w:pStyle w:val="TableContents"/>
              <w:spacing w:before="0" w:after="283"/>
              <w:rPr/>
            </w:pPr>
            <w:r>
              <w:rPr/>
              <w:t xml:space="preserve">  </w:t>
            </w:r>
          </w:p>
        </w:tc>
        <w:tc>
          <w:tcPr>
            <w:tcW w:w="1013" w:type="dxa"/>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20"/>
              </w:rPr>
              <w:t>FD%</w:t>
            </w:r>
          </w:p>
        </w:tc>
      </w:tr>
      <w:tr>
        <w:trPr/>
        <w:tc>
          <w:tcPr>
            <w:tcW w:w="1462" w:type="dxa"/>
            <w:tcBorders/>
            <w:shd w:fill="auto" w:val="clear"/>
            <w:vAlign w:val="bottom"/>
          </w:tcPr>
          <w:p>
            <w:pPr>
              <w:pStyle w:val="TableContents"/>
              <w:spacing w:before="0" w:after="283"/>
              <w:rPr/>
            </w:pPr>
            <w:r>
              <w:rPr/>
              <w:t xml:space="preserve">  </w:t>
            </w:r>
          </w:p>
        </w:tc>
        <w:tc>
          <w:tcPr>
            <w:tcW w:w="187" w:type="dxa"/>
            <w:tcBorders/>
            <w:shd w:fill="auto" w:val="clear"/>
            <w:vAlign w:val="bottom"/>
          </w:tcPr>
          <w:p>
            <w:pPr>
              <w:pStyle w:val="TableContents"/>
              <w:spacing w:before="0" w:after="283"/>
              <w:rPr/>
            </w:pPr>
            <w:r>
              <w:rPr/>
              <w:t xml:space="preserve">  </w:t>
            </w:r>
          </w:p>
        </w:tc>
        <w:tc>
          <w:tcPr>
            <w:tcW w:w="1084" w:type="dxa"/>
            <w:tcBorders/>
            <w:shd w:fill="auto" w:val="clear"/>
            <w:vAlign w:val="bottom"/>
          </w:tcPr>
          <w:p>
            <w:pPr>
              <w:pStyle w:val="TableContents"/>
              <w:spacing w:before="0" w:after="283"/>
              <w:rPr/>
            </w:pPr>
            <w:r>
              <w:rPr/>
              <w:t xml:space="preserve">  </w:t>
            </w:r>
          </w:p>
        </w:tc>
        <w:tc>
          <w:tcPr>
            <w:tcW w:w="212" w:type="dxa"/>
            <w:tcBorders/>
            <w:shd w:fill="auto" w:val="clear"/>
            <w:vAlign w:val="bottom"/>
          </w:tcPr>
          <w:p>
            <w:pPr>
              <w:pStyle w:val="TableContents"/>
              <w:spacing w:before="0" w:after="283"/>
              <w:rPr/>
            </w:pPr>
            <w:r>
              <w:rPr/>
              <w:t xml:space="preserve">  </w:t>
            </w:r>
          </w:p>
        </w:tc>
        <w:tc>
          <w:tcPr>
            <w:tcW w:w="735" w:type="dxa"/>
            <w:tcBorders/>
            <w:shd w:fill="auto" w:val="clear"/>
            <w:vAlign w:val="bottom"/>
          </w:tcPr>
          <w:p>
            <w:pPr>
              <w:pStyle w:val="TableContents"/>
              <w:spacing w:before="0" w:after="283"/>
              <w:rPr/>
            </w:pPr>
            <w:r>
              <w:rPr/>
              <w:t xml:space="preserve">  </w:t>
            </w:r>
          </w:p>
        </w:tc>
        <w:tc>
          <w:tcPr>
            <w:tcW w:w="187" w:type="dxa"/>
            <w:tcBorders/>
            <w:shd w:fill="auto" w:val="clear"/>
            <w:vAlign w:val="bottom"/>
          </w:tcPr>
          <w:p>
            <w:pPr>
              <w:pStyle w:val="TableContents"/>
              <w:spacing w:before="0" w:after="283"/>
              <w:rPr/>
            </w:pPr>
            <w:r>
              <w:rPr/>
              <w:t xml:space="preserve">  </w:t>
            </w:r>
          </w:p>
        </w:tc>
        <w:tc>
          <w:tcPr>
            <w:tcW w:w="1062" w:type="dxa"/>
            <w:tcBorders/>
            <w:shd w:fill="auto" w:val="clear"/>
            <w:vAlign w:val="bottom"/>
          </w:tcPr>
          <w:p>
            <w:pPr>
              <w:pStyle w:val="TableContents"/>
              <w:spacing w:before="0" w:after="283"/>
              <w:rPr/>
            </w:pPr>
            <w:r>
              <w:rPr/>
              <w:t xml:space="preserve">  </w:t>
            </w:r>
          </w:p>
        </w:tc>
        <w:tc>
          <w:tcPr>
            <w:tcW w:w="187" w:type="dxa"/>
            <w:tcBorders/>
            <w:shd w:fill="auto" w:val="clear"/>
            <w:vAlign w:val="bottom"/>
          </w:tcPr>
          <w:p>
            <w:pPr>
              <w:pStyle w:val="TableContents"/>
              <w:spacing w:before="0" w:after="283"/>
              <w:rPr/>
            </w:pPr>
            <w:r>
              <w:rPr/>
              <w:t xml:space="preserve">  </w:t>
            </w:r>
          </w:p>
        </w:tc>
        <w:tc>
          <w:tcPr>
            <w:tcW w:w="1171" w:type="dxa"/>
            <w:tcBorders/>
            <w:shd w:fill="auto" w:val="clear"/>
            <w:vAlign w:val="bottom"/>
          </w:tcPr>
          <w:p>
            <w:pPr>
              <w:pStyle w:val="TableContents"/>
              <w:spacing w:before="0" w:after="283"/>
              <w:rPr/>
            </w:pPr>
            <w:r>
              <w:rPr/>
              <w:t xml:space="preserve">  </w:t>
            </w:r>
          </w:p>
        </w:tc>
        <w:tc>
          <w:tcPr>
            <w:tcW w:w="212" w:type="dxa"/>
            <w:tcBorders/>
            <w:shd w:fill="auto" w:val="clear"/>
            <w:vAlign w:val="bottom"/>
          </w:tcPr>
          <w:p>
            <w:pPr>
              <w:pStyle w:val="TableContents"/>
              <w:spacing w:before="0" w:after="283"/>
              <w:rPr/>
            </w:pPr>
            <w:r>
              <w:rPr/>
              <w:t xml:space="preserve">  </w:t>
            </w:r>
          </w:p>
        </w:tc>
        <w:tc>
          <w:tcPr>
            <w:tcW w:w="1084" w:type="dxa"/>
            <w:tcBorders/>
            <w:shd w:fill="auto" w:val="clear"/>
            <w:vAlign w:val="bottom"/>
          </w:tcPr>
          <w:p>
            <w:pPr>
              <w:pStyle w:val="TableContents"/>
              <w:spacing w:before="0" w:after="283"/>
              <w:rPr/>
            </w:pPr>
            <w:r>
              <w:rPr/>
              <w:t xml:space="preserve">  </w:t>
            </w:r>
          </w:p>
        </w:tc>
        <w:tc>
          <w:tcPr>
            <w:tcW w:w="212" w:type="dxa"/>
            <w:tcBorders/>
            <w:shd w:fill="auto" w:val="clear"/>
            <w:vAlign w:val="bottom"/>
          </w:tcPr>
          <w:p>
            <w:pPr>
              <w:pStyle w:val="TableContents"/>
              <w:spacing w:before="0" w:after="283"/>
              <w:rPr/>
            </w:pPr>
            <w:r>
              <w:rPr/>
              <w:t xml:space="preserve">  </w:t>
            </w:r>
          </w:p>
        </w:tc>
        <w:tc>
          <w:tcPr>
            <w:tcW w:w="1210" w:type="dxa"/>
            <w:tcBorders/>
            <w:shd w:fill="auto" w:val="clear"/>
            <w:vAlign w:val="bottom"/>
          </w:tcPr>
          <w:p>
            <w:pPr>
              <w:pStyle w:val="TableContents"/>
              <w:spacing w:before="0" w:after="283"/>
              <w:rPr/>
            </w:pPr>
            <w:r>
              <w:rPr/>
              <w:t xml:space="preserve">  </w:t>
            </w:r>
          </w:p>
        </w:tc>
        <w:tc>
          <w:tcPr>
            <w:tcW w:w="187" w:type="dxa"/>
            <w:tcBorders/>
            <w:shd w:fill="auto" w:val="clear"/>
            <w:vAlign w:val="bottom"/>
          </w:tcPr>
          <w:p>
            <w:pPr>
              <w:pStyle w:val="TableContents"/>
              <w:spacing w:before="0" w:after="283"/>
              <w:rPr/>
            </w:pPr>
            <w:r>
              <w:rPr/>
              <w:t xml:space="preserve">  </w:t>
            </w:r>
          </w:p>
        </w:tc>
        <w:tc>
          <w:tcPr>
            <w:tcW w:w="1013" w:type="dxa"/>
            <w:tcBorders/>
            <w:shd w:fill="auto" w:val="clear"/>
            <w:vAlign w:val="bottom"/>
          </w:tcPr>
          <w:p>
            <w:pPr>
              <w:pStyle w:val="TableContents"/>
              <w:spacing w:before="0" w:after="283"/>
              <w:rPr/>
            </w:pPr>
            <w:r>
              <w:rPr/>
              <w:t xml:space="preserve">  </w:t>
            </w:r>
          </w:p>
        </w:tc>
      </w:tr>
      <w:tr>
        <w:trPr/>
        <w:tc>
          <w:tcPr>
            <w:tcW w:w="14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Board of Directors and Scientific Advisory Board</w:t>
            </w:r>
          </w:p>
        </w:tc>
        <w:tc>
          <w:tcPr>
            <w:tcW w:w="187" w:type="dxa"/>
            <w:tcBorders/>
            <w:shd w:fill="CCEEFF" w:val="clear"/>
            <w:vAlign w:val="center"/>
          </w:tcPr>
          <w:p>
            <w:pPr>
              <w:pStyle w:val="TableContents"/>
              <w:spacing w:before="0" w:after="283"/>
              <w:rPr/>
            </w:pPr>
            <w:r>
              <w:rPr/>
              <w:t xml:space="preserve">  </w:t>
            </w:r>
          </w:p>
        </w:tc>
        <w:tc>
          <w:tcPr>
            <w:tcW w:w="1084" w:type="dxa"/>
            <w:tcBorders/>
            <w:shd w:fill="CCEEFF" w:val="clear"/>
            <w:vAlign w:val="bottom"/>
          </w:tcPr>
          <w:p>
            <w:pPr>
              <w:pStyle w:val="TableContents"/>
              <w:spacing w:before="0" w:after="0"/>
              <w:ind w:left="0" w:right="0" w:hanging="0"/>
              <w:jc w:val="right"/>
              <w:rPr/>
            </w:pPr>
            <w:r>
              <w:rPr/>
              <w:t> </w:t>
            </w:r>
            <w:r>
              <w:rPr>
                <w:rFonts w:ascii="times new roman" w:hAnsi="times new roman"/>
                <w:sz w:val="20"/>
              </w:rPr>
              <w:t>1,737,932</w:t>
            </w:r>
          </w:p>
        </w:tc>
        <w:tc>
          <w:tcPr>
            <w:tcW w:w="212" w:type="dxa"/>
            <w:tcBorders/>
            <w:shd w:fill="CCEEFF" w:val="clear"/>
            <w:vAlign w:val="center"/>
          </w:tcPr>
          <w:p>
            <w:pPr>
              <w:pStyle w:val="TableContents"/>
              <w:spacing w:before="0" w:after="283"/>
              <w:rPr/>
            </w:pPr>
            <w:r>
              <w:rPr/>
              <w:t xml:space="preserve">  </w:t>
            </w:r>
          </w:p>
        </w:tc>
        <w:tc>
          <w:tcPr>
            <w:tcW w:w="735"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1.75%</w:t>
            </w:r>
          </w:p>
        </w:tc>
        <w:tc>
          <w:tcPr>
            <w:tcW w:w="187" w:type="dxa"/>
            <w:tcBorders/>
            <w:shd w:fill="CCEEFF" w:val="clear"/>
            <w:vAlign w:val="center"/>
          </w:tcPr>
          <w:p>
            <w:pPr>
              <w:pStyle w:val="TableContents"/>
              <w:spacing w:before="0" w:after="283"/>
              <w:rPr/>
            </w:pPr>
            <w:r>
              <w:rPr/>
              <w:t xml:space="preserve">  </w:t>
            </w:r>
          </w:p>
        </w:tc>
        <w:tc>
          <w:tcPr>
            <w:tcW w:w="1062" w:type="dxa"/>
            <w:tcBorders/>
            <w:shd w:fill="CCEEFF" w:val="clear"/>
            <w:vAlign w:val="bottom"/>
          </w:tcPr>
          <w:p>
            <w:pPr>
              <w:pStyle w:val="TableContents"/>
              <w:spacing w:before="0" w:after="0"/>
              <w:ind w:left="0" w:right="0" w:hanging="0"/>
              <w:jc w:val="right"/>
              <w:rPr/>
            </w:pPr>
            <w:r>
              <w:rPr/>
              <w:t> </w:t>
            </w:r>
            <w:r>
              <w:rPr>
                <w:rFonts w:ascii="times new roman" w:hAnsi="times new roman"/>
                <w:sz w:val="20"/>
              </w:rPr>
              <w:t>3,872,826</w:t>
            </w:r>
          </w:p>
        </w:tc>
        <w:tc>
          <w:tcPr>
            <w:tcW w:w="187" w:type="dxa"/>
            <w:tcBorders/>
            <w:shd w:fill="CCEEFF" w:val="clear"/>
            <w:vAlign w:val="bottom"/>
          </w:tcPr>
          <w:p>
            <w:pPr>
              <w:pStyle w:val="TableContents"/>
              <w:spacing w:before="0" w:after="283"/>
              <w:rPr/>
            </w:pPr>
            <w:r>
              <w:rPr/>
              <w:t xml:space="preserve">  </w:t>
            </w:r>
          </w:p>
        </w:tc>
        <w:tc>
          <w:tcPr>
            <w:tcW w:w="1171" w:type="dxa"/>
            <w:tcBorders/>
            <w:shd w:fill="CCEEFF" w:val="clear"/>
            <w:vAlign w:val="bottom"/>
          </w:tcPr>
          <w:p>
            <w:pPr>
              <w:pStyle w:val="TableContents"/>
              <w:spacing w:before="0" w:after="0"/>
              <w:ind w:left="0" w:right="0" w:hanging="0"/>
              <w:jc w:val="right"/>
              <w:rPr/>
            </w:pPr>
            <w:r>
              <w:rPr/>
              <w:t> </w:t>
            </w:r>
            <w:r>
              <w:rPr>
                <w:rFonts w:ascii="times new roman" w:hAnsi="times new roman"/>
                <w:sz w:val="20"/>
              </w:rPr>
              <w:t>3,312,068</w:t>
            </w:r>
          </w:p>
        </w:tc>
        <w:tc>
          <w:tcPr>
            <w:tcW w:w="212" w:type="dxa"/>
            <w:tcBorders/>
            <w:shd w:fill="CCEEFF" w:val="clear"/>
            <w:vAlign w:val="bottom"/>
          </w:tcPr>
          <w:p>
            <w:pPr>
              <w:pStyle w:val="TableContents"/>
              <w:spacing w:before="0" w:after="283"/>
              <w:rPr/>
            </w:pPr>
            <w:r>
              <w:rPr/>
              <w:t xml:space="preserve">  </w:t>
            </w:r>
          </w:p>
        </w:tc>
        <w:tc>
          <w:tcPr>
            <w:tcW w:w="1084" w:type="dxa"/>
            <w:tcBorders/>
            <w:shd w:fill="CCEEFF" w:val="clear"/>
            <w:vAlign w:val="bottom"/>
          </w:tcPr>
          <w:p>
            <w:pPr>
              <w:pStyle w:val="TableContents"/>
              <w:spacing w:before="0" w:after="0"/>
              <w:ind w:left="0" w:right="0" w:hanging="0"/>
              <w:jc w:val="right"/>
              <w:rPr/>
            </w:pPr>
            <w:r>
              <w:rPr/>
              <w:t> </w:t>
            </w:r>
            <w:r>
              <w:rPr>
                <w:rFonts w:ascii="times new roman" w:hAnsi="times new roman"/>
                <w:sz w:val="20"/>
              </w:rPr>
              <w:t>-</w:t>
            </w:r>
          </w:p>
        </w:tc>
        <w:tc>
          <w:tcPr>
            <w:tcW w:w="212" w:type="dxa"/>
            <w:tcBorders/>
            <w:shd w:fill="CCEEFF" w:val="clear"/>
            <w:vAlign w:val="bottom"/>
          </w:tcPr>
          <w:p>
            <w:pPr>
              <w:pStyle w:val="TableContents"/>
              <w:spacing w:before="0" w:after="283"/>
              <w:rPr/>
            </w:pPr>
            <w:r>
              <w:rPr/>
              <w:t xml:space="preserve">  </w:t>
            </w:r>
          </w:p>
        </w:tc>
        <w:tc>
          <w:tcPr>
            <w:tcW w:w="1210" w:type="dxa"/>
            <w:tcBorders/>
            <w:shd w:fill="CCEEFF" w:val="clear"/>
            <w:vAlign w:val="bottom"/>
          </w:tcPr>
          <w:p>
            <w:pPr>
              <w:pStyle w:val="TableContents"/>
              <w:spacing w:before="0" w:after="0"/>
              <w:ind w:left="0" w:right="0" w:hanging="0"/>
              <w:jc w:val="right"/>
              <w:rPr/>
            </w:pPr>
            <w:r>
              <w:rPr/>
              <w:t> </w:t>
            </w:r>
            <w:r>
              <w:rPr>
                <w:rFonts w:ascii="times new roman" w:hAnsi="times new roman"/>
                <w:sz w:val="20"/>
              </w:rPr>
              <w:t>8,922,826</w:t>
            </w:r>
          </w:p>
        </w:tc>
        <w:tc>
          <w:tcPr>
            <w:tcW w:w="187" w:type="dxa"/>
            <w:tcBorders/>
            <w:shd w:fill="CCEEFF" w:val="clear"/>
            <w:vAlign w:val="bottom"/>
          </w:tcPr>
          <w:p>
            <w:pPr>
              <w:pStyle w:val="TableContents"/>
              <w:spacing w:before="0" w:after="283"/>
              <w:rPr/>
            </w:pPr>
            <w:r>
              <w:rPr/>
              <w:t xml:space="preserve">  </w:t>
            </w:r>
          </w:p>
        </w:tc>
        <w:tc>
          <w:tcPr>
            <w:tcW w:w="1013"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6.30%</w:t>
            </w:r>
          </w:p>
        </w:tc>
      </w:tr>
      <w:tr>
        <w:trPr/>
        <w:tc>
          <w:tcPr>
            <w:tcW w:w="1462" w:type="dxa"/>
            <w:tcBorders/>
            <w:shd w:fill="FFFFFF" w:val="clear"/>
            <w:vAlign w:val="bottom"/>
          </w:tcPr>
          <w:p>
            <w:pPr>
              <w:pStyle w:val="TableContents"/>
              <w:spacing w:before="0" w:after="283"/>
              <w:rPr/>
            </w:pPr>
            <w:r>
              <w:rPr/>
              <w:t xml:space="preserve">  </w:t>
            </w:r>
          </w:p>
        </w:tc>
        <w:tc>
          <w:tcPr>
            <w:tcW w:w="187" w:type="dxa"/>
            <w:tcBorders/>
            <w:shd w:fill="FFFFFF" w:val="clear"/>
            <w:vAlign w:val="center"/>
          </w:tcPr>
          <w:p>
            <w:pPr>
              <w:pStyle w:val="TableContents"/>
              <w:spacing w:before="0" w:after="283"/>
              <w:rPr/>
            </w:pPr>
            <w:r>
              <w:rPr/>
              <w:t xml:space="preserve">  </w:t>
            </w:r>
          </w:p>
        </w:tc>
        <w:tc>
          <w:tcPr>
            <w:tcW w:w="1084"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735" w:type="dxa"/>
            <w:tcBorders/>
            <w:shd w:fill="FFFFFF" w:val="clear"/>
            <w:vAlign w:val="bottom"/>
          </w:tcPr>
          <w:p>
            <w:pPr>
              <w:pStyle w:val="TableContents"/>
              <w:spacing w:before="0" w:after="283"/>
              <w:rPr/>
            </w:pPr>
            <w:r>
              <w:rPr/>
              <w:t xml:space="preserve">  </w:t>
            </w:r>
          </w:p>
        </w:tc>
        <w:tc>
          <w:tcPr>
            <w:tcW w:w="187" w:type="dxa"/>
            <w:tcBorders/>
            <w:shd w:fill="FFFFFF" w:val="clear"/>
            <w:vAlign w:val="center"/>
          </w:tcPr>
          <w:p>
            <w:pPr>
              <w:pStyle w:val="TableContents"/>
              <w:spacing w:before="0" w:after="283"/>
              <w:rPr/>
            </w:pPr>
            <w:r>
              <w:rPr/>
              <w:t xml:space="preserve">  </w:t>
            </w:r>
          </w:p>
        </w:tc>
        <w:tc>
          <w:tcPr>
            <w:tcW w:w="1062"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1171"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1084"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121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1013" w:type="dxa"/>
            <w:tcBorders/>
            <w:shd w:fill="FFFFFF" w:val="clear"/>
            <w:vAlign w:val="bottom"/>
          </w:tcPr>
          <w:p>
            <w:pPr>
              <w:pStyle w:val="TableContents"/>
              <w:spacing w:before="0" w:after="283"/>
              <w:rPr/>
            </w:pPr>
            <w:r>
              <w:rPr/>
              <w:t xml:space="preserve">  </w:t>
            </w:r>
          </w:p>
        </w:tc>
      </w:tr>
      <w:tr>
        <w:trPr/>
        <w:tc>
          <w:tcPr>
            <w:tcW w:w="14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Institutions:</w:t>
            </w:r>
          </w:p>
        </w:tc>
        <w:tc>
          <w:tcPr>
            <w:tcW w:w="187" w:type="dxa"/>
            <w:tcBorders/>
            <w:shd w:fill="CCEEFF" w:val="clear"/>
            <w:vAlign w:val="center"/>
          </w:tcPr>
          <w:p>
            <w:pPr>
              <w:pStyle w:val="TableContents"/>
              <w:spacing w:before="0" w:after="283"/>
              <w:rPr/>
            </w:pPr>
            <w:r>
              <w:rPr/>
              <w:t xml:space="preserve">  </w:t>
            </w:r>
          </w:p>
        </w:tc>
        <w:tc>
          <w:tcPr>
            <w:tcW w:w="1084"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rPr/>
            </w:pPr>
            <w:r>
              <w:rPr/>
              <w:t xml:space="preserve">  </w:t>
            </w:r>
          </w:p>
        </w:tc>
        <w:tc>
          <w:tcPr>
            <w:tcW w:w="735" w:type="dxa"/>
            <w:tcBorders/>
            <w:shd w:fill="CCEEFF" w:val="clear"/>
            <w:vAlign w:val="bottom"/>
          </w:tcPr>
          <w:p>
            <w:pPr>
              <w:pStyle w:val="TableContents"/>
              <w:spacing w:before="0" w:after="283"/>
              <w:rPr/>
            </w:pPr>
            <w:r>
              <w:rPr/>
              <w:t xml:space="preserve">  </w:t>
            </w:r>
          </w:p>
        </w:tc>
        <w:tc>
          <w:tcPr>
            <w:tcW w:w="187" w:type="dxa"/>
            <w:tcBorders/>
            <w:shd w:fill="CCEEFF" w:val="clear"/>
            <w:vAlign w:val="center"/>
          </w:tcPr>
          <w:p>
            <w:pPr>
              <w:pStyle w:val="TableContents"/>
              <w:spacing w:before="0" w:after="283"/>
              <w:rPr/>
            </w:pPr>
            <w:r>
              <w:rPr/>
              <w:t xml:space="preserve">  </w:t>
            </w:r>
          </w:p>
        </w:tc>
        <w:tc>
          <w:tcPr>
            <w:tcW w:w="1062"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rPr/>
            </w:pPr>
            <w:r>
              <w:rPr/>
              <w:t xml:space="preserve">  </w:t>
            </w:r>
          </w:p>
        </w:tc>
        <w:tc>
          <w:tcPr>
            <w:tcW w:w="1171"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rPr/>
            </w:pPr>
            <w:r>
              <w:rPr/>
              <w:t xml:space="preserve">  </w:t>
            </w:r>
          </w:p>
        </w:tc>
        <w:tc>
          <w:tcPr>
            <w:tcW w:w="1084"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rPr/>
            </w:pPr>
            <w:r>
              <w:rPr/>
              <w:t xml:space="preserve">  </w:t>
            </w:r>
          </w:p>
        </w:tc>
        <w:tc>
          <w:tcPr>
            <w:tcW w:w="121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rPr/>
            </w:pPr>
            <w:r>
              <w:rPr/>
              <w:t xml:space="preserve">  </w:t>
            </w:r>
          </w:p>
        </w:tc>
        <w:tc>
          <w:tcPr>
            <w:tcW w:w="1013" w:type="dxa"/>
            <w:tcBorders/>
            <w:shd w:fill="CCEEFF" w:val="clear"/>
            <w:vAlign w:val="bottom"/>
          </w:tcPr>
          <w:p>
            <w:pPr>
              <w:pStyle w:val="TableContents"/>
              <w:spacing w:before="0" w:after="283"/>
              <w:rPr/>
            </w:pPr>
            <w:r>
              <w:rPr/>
              <w:t xml:space="preserve">  </w:t>
            </w:r>
          </w:p>
        </w:tc>
      </w:tr>
      <w:tr>
        <w:trPr/>
        <w:tc>
          <w:tcPr>
            <w:tcW w:w="14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Purchaser</w:t>
            </w:r>
          </w:p>
        </w:tc>
        <w:tc>
          <w:tcPr>
            <w:tcW w:w="187" w:type="dxa"/>
            <w:tcBorders/>
            <w:shd w:fill="FFFFFF" w:val="clear"/>
            <w:vAlign w:val="center"/>
          </w:tcPr>
          <w:p>
            <w:pPr>
              <w:pStyle w:val="TableContents"/>
              <w:spacing w:before="0" w:after="283"/>
              <w:rPr/>
            </w:pPr>
            <w:r>
              <w:rPr/>
              <w:t xml:space="preserve">  </w:t>
            </w:r>
          </w:p>
        </w:tc>
        <w:tc>
          <w:tcPr>
            <w:tcW w:w="1084" w:type="dxa"/>
            <w:tcBorders/>
            <w:shd w:fill="FFFFFF" w:val="clear"/>
            <w:vAlign w:val="bottom"/>
          </w:tcPr>
          <w:p>
            <w:pPr>
              <w:pStyle w:val="TableContents"/>
              <w:spacing w:before="0" w:after="0"/>
              <w:ind w:left="0" w:right="0" w:hanging="0"/>
              <w:jc w:val="right"/>
              <w:rPr/>
            </w:pPr>
            <w:r>
              <w:rPr/>
              <w:t> </w:t>
            </w:r>
            <w:r>
              <w:rPr>
                <w:rFonts w:ascii="times new roman" w:hAnsi="times new roman"/>
                <w:sz w:val="20"/>
              </w:rPr>
              <w:t>72,000,000</w:t>
            </w:r>
          </w:p>
        </w:tc>
        <w:tc>
          <w:tcPr>
            <w:tcW w:w="212" w:type="dxa"/>
            <w:tcBorders/>
            <w:shd w:fill="FFFFFF" w:val="clear"/>
            <w:vAlign w:val="bottom"/>
          </w:tcPr>
          <w:p>
            <w:pPr>
              <w:pStyle w:val="TableContents"/>
              <w:spacing w:before="0" w:after="283"/>
              <w:rPr/>
            </w:pPr>
            <w:r>
              <w:rPr/>
              <w:t xml:space="preserve">  </w:t>
            </w:r>
          </w:p>
        </w:tc>
        <w:tc>
          <w:tcPr>
            <w:tcW w:w="735"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72.34%</w:t>
            </w:r>
          </w:p>
        </w:tc>
        <w:tc>
          <w:tcPr>
            <w:tcW w:w="187" w:type="dxa"/>
            <w:tcBorders/>
            <w:shd w:fill="FFFFFF" w:val="clear"/>
            <w:vAlign w:val="center"/>
          </w:tcPr>
          <w:p>
            <w:pPr>
              <w:pStyle w:val="TableContents"/>
              <w:spacing w:before="0" w:after="283"/>
              <w:rPr/>
            </w:pPr>
            <w:r>
              <w:rPr/>
              <w:t xml:space="preserve">  </w:t>
            </w:r>
          </w:p>
        </w:tc>
        <w:tc>
          <w:tcPr>
            <w:tcW w:w="1062" w:type="dxa"/>
            <w:tcBorders/>
            <w:shd w:fill="FFFFFF" w:val="clear"/>
            <w:vAlign w:val="bottom"/>
          </w:tcPr>
          <w:p>
            <w:pPr>
              <w:pStyle w:val="TableContents"/>
              <w:spacing w:before="0" w:after="0"/>
              <w:ind w:left="0" w:right="0" w:hanging="0"/>
              <w:jc w:val="right"/>
              <w:rPr/>
            </w:pPr>
            <w:r>
              <w:rPr/>
              <w:t> </w:t>
            </w:r>
            <w:r>
              <w:rPr>
                <w:rFonts w:ascii="times new roman" w:hAnsi="times new roman"/>
                <w:sz w:val="20"/>
              </w:rPr>
              <w:t>-</w:t>
            </w:r>
          </w:p>
        </w:tc>
        <w:tc>
          <w:tcPr>
            <w:tcW w:w="187" w:type="dxa"/>
            <w:tcBorders/>
            <w:shd w:fill="FFFFFF" w:val="clear"/>
            <w:vAlign w:val="bottom"/>
          </w:tcPr>
          <w:p>
            <w:pPr>
              <w:pStyle w:val="TableContents"/>
              <w:spacing w:before="0" w:after="283"/>
              <w:rPr/>
            </w:pPr>
            <w:r>
              <w:rPr/>
              <w:t xml:space="preserve">  </w:t>
            </w:r>
          </w:p>
        </w:tc>
        <w:tc>
          <w:tcPr>
            <w:tcW w:w="1171" w:type="dxa"/>
            <w:tcBorders/>
            <w:shd w:fill="FFFFFF" w:val="clear"/>
            <w:vAlign w:val="bottom"/>
          </w:tcPr>
          <w:p>
            <w:pPr>
              <w:pStyle w:val="TableContents"/>
              <w:spacing w:before="0" w:after="0"/>
              <w:ind w:left="0" w:right="0" w:hanging="0"/>
              <w:jc w:val="right"/>
              <w:rPr/>
            </w:pPr>
            <w:r>
              <w:rPr/>
              <w:t> </w:t>
            </w:r>
            <w:r>
              <w:rPr>
                <w:rFonts w:ascii="times new roman" w:hAnsi="times new roman"/>
                <w:sz w:val="20"/>
              </w:rPr>
              <w:t>-</w:t>
            </w:r>
          </w:p>
        </w:tc>
        <w:tc>
          <w:tcPr>
            <w:tcW w:w="212" w:type="dxa"/>
            <w:tcBorders/>
            <w:shd w:fill="FFFFFF" w:val="clear"/>
            <w:vAlign w:val="bottom"/>
          </w:tcPr>
          <w:p>
            <w:pPr>
              <w:pStyle w:val="TableContents"/>
              <w:spacing w:before="0" w:after="283"/>
              <w:rPr/>
            </w:pPr>
            <w:r>
              <w:rPr/>
              <w:t xml:space="preserve">  </w:t>
            </w:r>
          </w:p>
        </w:tc>
        <w:tc>
          <w:tcPr>
            <w:tcW w:w="1084" w:type="dxa"/>
            <w:tcBorders/>
            <w:shd w:fill="FFFFFF" w:val="clear"/>
            <w:vAlign w:val="bottom"/>
          </w:tcPr>
          <w:p>
            <w:pPr>
              <w:pStyle w:val="TableContents"/>
              <w:spacing w:before="0" w:after="0"/>
              <w:ind w:left="0" w:right="0" w:hanging="0"/>
              <w:jc w:val="right"/>
              <w:rPr/>
            </w:pPr>
            <w:r>
              <w:rPr/>
              <w:t> </w:t>
            </w:r>
            <w:r>
              <w:rPr>
                <w:rFonts w:ascii="times new roman" w:hAnsi="times new roman"/>
                <w:sz w:val="20"/>
              </w:rPr>
              <w:t>-</w:t>
            </w:r>
          </w:p>
        </w:tc>
        <w:tc>
          <w:tcPr>
            <w:tcW w:w="212" w:type="dxa"/>
            <w:tcBorders/>
            <w:shd w:fill="FFFFFF" w:val="clear"/>
            <w:vAlign w:val="bottom"/>
          </w:tcPr>
          <w:p>
            <w:pPr>
              <w:pStyle w:val="TableContents"/>
              <w:spacing w:before="0" w:after="283"/>
              <w:rPr/>
            </w:pPr>
            <w:r>
              <w:rPr/>
              <w:t xml:space="preserve">  </w:t>
            </w:r>
          </w:p>
        </w:tc>
        <w:tc>
          <w:tcPr>
            <w:tcW w:w="1210" w:type="dxa"/>
            <w:tcBorders/>
            <w:shd w:fill="FFFFFF" w:val="clear"/>
            <w:vAlign w:val="bottom"/>
          </w:tcPr>
          <w:p>
            <w:pPr>
              <w:pStyle w:val="TableContents"/>
              <w:spacing w:before="0" w:after="0"/>
              <w:ind w:left="0" w:right="0" w:hanging="0"/>
              <w:jc w:val="right"/>
              <w:rPr/>
            </w:pPr>
            <w:r>
              <w:rPr/>
              <w:t> </w:t>
            </w:r>
            <w:r>
              <w:rPr>
                <w:rFonts w:ascii="times new roman" w:hAnsi="times new roman"/>
                <w:sz w:val="20"/>
              </w:rPr>
              <w:t>72,000,000</w:t>
            </w:r>
          </w:p>
        </w:tc>
        <w:tc>
          <w:tcPr>
            <w:tcW w:w="187" w:type="dxa"/>
            <w:tcBorders/>
            <w:shd w:fill="FFFFFF" w:val="clear"/>
            <w:vAlign w:val="bottom"/>
          </w:tcPr>
          <w:p>
            <w:pPr>
              <w:pStyle w:val="TableContents"/>
              <w:spacing w:before="0" w:after="283"/>
              <w:rPr/>
            </w:pPr>
            <w:r>
              <w:rPr/>
              <w:t xml:space="preserve">  </w:t>
            </w:r>
          </w:p>
        </w:tc>
        <w:tc>
          <w:tcPr>
            <w:tcW w:w="1013"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50.86%</w:t>
            </w:r>
          </w:p>
        </w:tc>
      </w:tr>
      <w:tr>
        <w:trPr/>
        <w:tc>
          <w:tcPr>
            <w:tcW w:w="14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 Institutions</w:t>
            </w:r>
          </w:p>
        </w:tc>
        <w:tc>
          <w:tcPr>
            <w:tcW w:w="187" w:type="dxa"/>
            <w:tcBorders/>
            <w:shd w:fill="CCEEFF" w:val="clear"/>
            <w:vAlign w:val="center"/>
          </w:tcPr>
          <w:p>
            <w:pPr>
              <w:pStyle w:val="TableContents"/>
              <w:spacing w:before="0" w:after="283"/>
              <w:rPr/>
            </w:pPr>
            <w:r>
              <w:rPr/>
              <w:t xml:space="preserve">  </w:t>
            </w:r>
          </w:p>
        </w:tc>
        <w:tc>
          <w:tcPr>
            <w:tcW w:w="1084" w:type="dxa"/>
            <w:tcBorders>
              <w:bottom w:val="single" w:sz="12" w:space="0" w:color="000000"/>
            </w:tcBorders>
            <w:shd w:fill="CCEEFF" w:val="clear"/>
            <w:tcMar>
              <w:bottom w:w="28" w:type="dxa"/>
            </w:tcMar>
            <w:vAlign w:val="bottom"/>
          </w:tcPr>
          <w:p>
            <w:pPr>
              <w:pStyle w:val="TableContents"/>
              <w:spacing w:before="0" w:after="0"/>
              <w:ind w:left="0" w:right="0" w:hanging="0"/>
              <w:jc w:val="right"/>
              <w:rPr/>
            </w:pPr>
            <w:r>
              <w:rPr/>
              <w:t> </w:t>
            </w:r>
            <w:r>
              <w:rPr>
                <w:rFonts w:ascii="times new roman" w:hAnsi="times new roman"/>
                <w:sz w:val="20"/>
              </w:rPr>
              <w:t>15,652,431</w:t>
            </w:r>
          </w:p>
        </w:tc>
        <w:tc>
          <w:tcPr>
            <w:tcW w:w="212"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735" w:type="dxa"/>
            <w:tcBorders>
              <w:bottom w:val="single" w:sz="12"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15.73%</w:t>
            </w:r>
          </w:p>
        </w:tc>
        <w:tc>
          <w:tcPr>
            <w:tcW w:w="187" w:type="dxa"/>
            <w:tcBorders/>
            <w:shd w:fill="CCEEFF" w:val="clear"/>
            <w:vAlign w:val="center"/>
          </w:tcPr>
          <w:p>
            <w:pPr>
              <w:pStyle w:val="TableContents"/>
              <w:spacing w:before="0" w:after="283"/>
              <w:rPr/>
            </w:pPr>
            <w:r>
              <w:rPr/>
              <w:t xml:space="preserve">  </w:t>
            </w:r>
          </w:p>
        </w:tc>
        <w:tc>
          <w:tcPr>
            <w:tcW w:w="1062" w:type="dxa"/>
            <w:tcBorders/>
            <w:shd w:fill="CCEEFF" w:val="clear"/>
            <w:vAlign w:val="bottom"/>
          </w:tcPr>
          <w:p>
            <w:pPr>
              <w:pStyle w:val="TableContents"/>
              <w:spacing w:before="0" w:after="0"/>
              <w:ind w:left="0" w:right="0" w:hanging="0"/>
              <w:jc w:val="right"/>
              <w:rPr/>
            </w:pPr>
            <w:r>
              <w:rPr/>
              <w:t> </w:t>
            </w:r>
            <w:r>
              <w:rPr>
                <w:rFonts w:ascii="times new roman" w:hAnsi="times new roman"/>
                <w:sz w:val="20"/>
              </w:rPr>
              <w:t>-</w:t>
            </w:r>
          </w:p>
        </w:tc>
        <w:tc>
          <w:tcPr>
            <w:tcW w:w="187" w:type="dxa"/>
            <w:tcBorders/>
            <w:shd w:fill="CCEEFF" w:val="clear"/>
            <w:vAlign w:val="bottom"/>
          </w:tcPr>
          <w:p>
            <w:pPr>
              <w:pStyle w:val="TableContents"/>
              <w:spacing w:before="0" w:after="283"/>
              <w:rPr/>
            </w:pPr>
            <w:r>
              <w:rPr/>
              <w:t xml:space="preserve">  </w:t>
            </w:r>
          </w:p>
        </w:tc>
        <w:tc>
          <w:tcPr>
            <w:tcW w:w="1171" w:type="dxa"/>
            <w:tcBorders>
              <w:bottom w:val="single" w:sz="12" w:space="0" w:color="000000"/>
            </w:tcBorders>
            <w:shd w:fill="CCEEFF" w:val="clear"/>
            <w:tcMar>
              <w:bottom w:w="28" w:type="dxa"/>
            </w:tcMar>
            <w:vAlign w:val="bottom"/>
          </w:tcPr>
          <w:p>
            <w:pPr>
              <w:pStyle w:val="TableContents"/>
              <w:spacing w:before="0" w:after="0"/>
              <w:ind w:left="0" w:right="0" w:hanging="0"/>
              <w:jc w:val="right"/>
              <w:rPr/>
            </w:pPr>
            <w:r>
              <w:rPr/>
              <w:t> </w:t>
            </w:r>
            <w:r>
              <w:rPr>
                <w:rFonts w:ascii="times new roman" w:hAnsi="times new roman"/>
                <w:sz w:val="20"/>
              </w:rPr>
              <w:t>15,727,980</w:t>
            </w:r>
          </w:p>
        </w:tc>
        <w:tc>
          <w:tcPr>
            <w:tcW w:w="212"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084" w:type="dxa"/>
            <w:tcBorders>
              <w:bottom w:val="single" w:sz="12" w:space="0" w:color="000000"/>
            </w:tcBorders>
            <w:shd w:fill="CCEEFF" w:val="clear"/>
            <w:tcMar>
              <w:bottom w:w="28" w:type="dxa"/>
            </w:tcMar>
            <w:vAlign w:val="bottom"/>
          </w:tcPr>
          <w:p>
            <w:pPr>
              <w:pStyle w:val="TableContents"/>
              <w:spacing w:before="0" w:after="0"/>
              <w:ind w:left="0" w:right="0" w:hanging="0"/>
              <w:jc w:val="right"/>
              <w:rPr/>
            </w:pPr>
            <w:r>
              <w:rPr/>
              <w:t> </w:t>
            </w:r>
            <w:r>
              <w:rPr>
                <w:rFonts w:ascii="times new roman" w:hAnsi="times new roman"/>
                <w:sz w:val="20"/>
              </w:rPr>
              <w:t>15,000,000</w:t>
            </w:r>
          </w:p>
        </w:tc>
        <w:tc>
          <w:tcPr>
            <w:tcW w:w="212"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1210" w:type="dxa"/>
            <w:tcBorders>
              <w:bottom w:val="single" w:sz="12" w:space="0" w:color="000000"/>
            </w:tcBorders>
            <w:shd w:fill="CCEEFF" w:val="clear"/>
            <w:tcMar>
              <w:bottom w:w="28" w:type="dxa"/>
            </w:tcMar>
            <w:vAlign w:val="bottom"/>
          </w:tcPr>
          <w:p>
            <w:pPr>
              <w:pStyle w:val="TableContents"/>
              <w:spacing w:before="0" w:after="0"/>
              <w:ind w:left="0" w:right="0" w:hanging="0"/>
              <w:jc w:val="right"/>
              <w:rPr/>
            </w:pPr>
            <w:r>
              <w:rPr/>
              <w:t> </w:t>
            </w:r>
            <w:r>
              <w:rPr>
                <w:rFonts w:ascii="times new roman" w:hAnsi="times new roman"/>
                <w:sz w:val="20"/>
              </w:rPr>
              <w:t>31,380,411</w:t>
            </w:r>
          </w:p>
        </w:tc>
        <w:tc>
          <w:tcPr>
            <w:tcW w:w="187" w:type="dxa"/>
            <w:tcBorders/>
            <w:shd w:fill="CCEEFF" w:val="clear"/>
            <w:vAlign w:val="bottom"/>
          </w:tcPr>
          <w:p>
            <w:pPr>
              <w:pStyle w:val="TableContents"/>
              <w:spacing w:before="0" w:after="283"/>
              <w:rPr/>
            </w:pPr>
            <w:r>
              <w:rPr/>
              <w:t xml:space="preserve">  </w:t>
            </w:r>
          </w:p>
        </w:tc>
        <w:tc>
          <w:tcPr>
            <w:tcW w:w="1013" w:type="dxa"/>
            <w:tcBorders>
              <w:bottom w:val="single" w:sz="12"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22.17%</w:t>
            </w:r>
          </w:p>
        </w:tc>
      </w:tr>
      <w:tr>
        <w:trPr/>
        <w:tc>
          <w:tcPr>
            <w:tcW w:w="146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Institutions</w:t>
            </w:r>
          </w:p>
        </w:tc>
        <w:tc>
          <w:tcPr>
            <w:tcW w:w="187" w:type="dxa"/>
            <w:tcBorders/>
            <w:shd w:fill="FFFFFF" w:val="clear"/>
            <w:vAlign w:val="center"/>
          </w:tcPr>
          <w:p>
            <w:pPr>
              <w:pStyle w:val="TableContents"/>
              <w:spacing w:before="0" w:after="283"/>
              <w:rPr/>
            </w:pPr>
            <w:r>
              <w:rPr/>
              <w:t xml:space="preserve">  </w:t>
            </w:r>
          </w:p>
        </w:tc>
        <w:tc>
          <w:tcPr>
            <w:tcW w:w="1084" w:type="dxa"/>
            <w:tcBorders/>
            <w:shd w:fill="FFFFFF" w:val="clear"/>
            <w:vAlign w:val="bottom"/>
          </w:tcPr>
          <w:p>
            <w:pPr>
              <w:pStyle w:val="TableContents"/>
              <w:spacing w:before="0" w:after="0"/>
              <w:ind w:left="0" w:right="0" w:hanging="0"/>
              <w:jc w:val="right"/>
              <w:rPr/>
            </w:pPr>
            <w:r>
              <w:rPr/>
              <w:t> </w:t>
            </w:r>
            <w:r>
              <w:rPr>
                <w:rFonts w:ascii="times new roman" w:hAnsi="times new roman"/>
                <w:b/>
                <w:sz w:val="20"/>
              </w:rPr>
              <w:t>87,652,431</w:t>
            </w:r>
          </w:p>
        </w:tc>
        <w:tc>
          <w:tcPr>
            <w:tcW w:w="212" w:type="dxa"/>
            <w:tcBorders/>
            <w:shd w:fill="FFFFFF" w:val="clear"/>
            <w:vAlign w:val="center"/>
          </w:tcPr>
          <w:p>
            <w:pPr>
              <w:pStyle w:val="TableContents"/>
              <w:spacing w:before="0" w:after="283"/>
              <w:rPr/>
            </w:pPr>
            <w:r>
              <w:rPr/>
              <w:t xml:space="preserve">  </w:t>
            </w:r>
          </w:p>
        </w:tc>
        <w:tc>
          <w:tcPr>
            <w:tcW w:w="735" w:type="dxa"/>
            <w:tcBorders/>
            <w:shd w:fill="FFFFFF"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88.06%</w:t>
            </w:r>
          </w:p>
        </w:tc>
        <w:tc>
          <w:tcPr>
            <w:tcW w:w="187" w:type="dxa"/>
            <w:tcBorders/>
            <w:shd w:fill="FFFFFF" w:val="clear"/>
            <w:vAlign w:val="center"/>
          </w:tcPr>
          <w:p>
            <w:pPr>
              <w:pStyle w:val="TableContents"/>
              <w:spacing w:before="0" w:after="283"/>
              <w:rPr/>
            </w:pPr>
            <w:r>
              <w:rPr/>
              <w:t xml:space="preserve">  </w:t>
            </w:r>
          </w:p>
        </w:tc>
        <w:tc>
          <w:tcPr>
            <w:tcW w:w="1062" w:type="dxa"/>
            <w:tcBorders/>
            <w:shd w:fill="FFFFFF" w:val="clear"/>
            <w:vAlign w:val="center"/>
          </w:tcPr>
          <w:p>
            <w:pPr>
              <w:pStyle w:val="TableContents"/>
              <w:spacing w:before="0" w:after="0"/>
              <w:ind w:left="0" w:right="0" w:hanging="0"/>
              <w:jc w:val="right"/>
              <w:rPr/>
            </w:pPr>
            <w:r>
              <w:rPr/>
              <w:t> </w:t>
            </w:r>
            <w:r>
              <w:rPr>
                <w:rFonts w:ascii="times new roman" w:hAnsi="times new roman"/>
                <w:b/>
                <w:sz w:val="20"/>
              </w:rPr>
              <w:t>-</w:t>
            </w:r>
          </w:p>
        </w:tc>
        <w:tc>
          <w:tcPr>
            <w:tcW w:w="187" w:type="dxa"/>
            <w:tcBorders/>
            <w:shd w:fill="FFFFFF" w:val="clear"/>
            <w:vAlign w:val="bottom"/>
          </w:tcPr>
          <w:p>
            <w:pPr>
              <w:pStyle w:val="TableContents"/>
              <w:spacing w:before="0" w:after="283"/>
              <w:rPr/>
            </w:pPr>
            <w:r>
              <w:rPr/>
              <w:t xml:space="preserve">  </w:t>
            </w:r>
          </w:p>
        </w:tc>
        <w:tc>
          <w:tcPr>
            <w:tcW w:w="1171" w:type="dxa"/>
            <w:tcBorders/>
            <w:shd w:fill="FFFFFF" w:val="clear"/>
            <w:vAlign w:val="center"/>
          </w:tcPr>
          <w:p>
            <w:pPr>
              <w:pStyle w:val="TableContents"/>
              <w:spacing w:before="0" w:after="0"/>
              <w:ind w:left="0" w:right="0" w:hanging="0"/>
              <w:jc w:val="right"/>
              <w:rPr/>
            </w:pPr>
            <w:r>
              <w:rPr/>
              <w:t> </w:t>
            </w:r>
            <w:r>
              <w:rPr>
                <w:rFonts w:ascii="times new roman" w:hAnsi="times new roman"/>
                <w:b/>
                <w:sz w:val="20"/>
              </w:rPr>
              <w:t>15,727,980</w:t>
            </w:r>
          </w:p>
        </w:tc>
        <w:tc>
          <w:tcPr>
            <w:tcW w:w="212" w:type="dxa"/>
            <w:tcBorders/>
            <w:shd w:fill="FFFFFF" w:val="clear"/>
            <w:vAlign w:val="center"/>
          </w:tcPr>
          <w:p>
            <w:pPr>
              <w:pStyle w:val="TableContents"/>
              <w:spacing w:before="0" w:after="283"/>
              <w:rPr/>
            </w:pPr>
            <w:r>
              <w:rPr/>
              <w:t xml:space="preserve">  </w:t>
            </w:r>
          </w:p>
        </w:tc>
        <w:tc>
          <w:tcPr>
            <w:tcW w:w="1084" w:type="dxa"/>
            <w:tcBorders/>
            <w:shd w:fill="FFFFFF" w:val="clear"/>
            <w:vAlign w:val="center"/>
          </w:tcPr>
          <w:p>
            <w:pPr>
              <w:pStyle w:val="TableContents"/>
              <w:spacing w:before="0" w:after="0"/>
              <w:ind w:left="0" w:right="0" w:hanging="0"/>
              <w:jc w:val="right"/>
              <w:rPr/>
            </w:pPr>
            <w:r>
              <w:rPr/>
              <w:t> </w:t>
            </w:r>
            <w:r>
              <w:rPr>
                <w:rFonts w:ascii="times new roman" w:hAnsi="times new roman"/>
                <w:b/>
                <w:sz w:val="20"/>
              </w:rPr>
              <w:t>15,000,000</w:t>
            </w:r>
          </w:p>
        </w:tc>
        <w:tc>
          <w:tcPr>
            <w:tcW w:w="212" w:type="dxa"/>
            <w:tcBorders/>
            <w:shd w:fill="FFFFFF" w:val="clear"/>
            <w:vAlign w:val="center"/>
          </w:tcPr>
          <w:p>
            <w:pPr>
              <w:pStyle w:val="TableContents"/>
              <w:spacing w:before="0" w:after="283"/>
              <w:rPr/>
            </w:pPr>
            <w:r>
              <w:rPr/>
              <w:t xml:space="preserve">  </w:t>
            </w:r>
          </w:p>
        </w:tc>
        <w:tc>
          <w:tcPr>
            <w:tcW w:w="1210" w:type="dxa"/>
            <w:tcBorders/>
            <w:shd w:fill="FFFFFF" w:val="clear"/>
            <w:vAlign w:val="center"/>
          </w:tcPr>
          <w:p>
            <w:pPr>
              <w:pStyle w:val="TableContents"/>
              <w:spacing w:before="0" w:after="0"/>
              <w:ind w:left="0" w:right="0" w:hanging="0"/>
              <w:jc w:val="right"/>
              <w:rPr/>
            </w:pPr>
            <w:r>
              <w:rPr/>
              <w:t> </w:t>
            </w:r>
            <w:r>
              <w:rPr>
                <w:rFonts w:ascii="times new roman" w:hAnsi="times new roman"/>
                <w:b/>
                <w:sz w:val="20"/>
              </w:rPr>
              <w:t>118,380,411</w:t>
            </w:r>
          </w:p>
        </w:tc>
        <w:tc>
          <w:tcPr>
            <w:tcW w:w="187" w:type="dxa"/>
            <w:tcBorders/>
            <w:shd w:fill="FFFFFF" w:val="clear"/>
            <w:vAlign w:val="bottom"/>
          </w:tcPr>
          <w:p>
            <w:pPr>
              <w:pStyle w:val="TableContents"/>
              <w:spacing w:before="0" w:after="283"/>
              <w:rPr/>
            </w:pPr>
            <w:r>
              <w:rPr/>
              <w:t xml:space="preserve">  </w:t>
            </w:r>
          </w:p>
        </w:tc>
        <w:tc>
          <w:tcPr>
            <w:tcW w:w="1013" w:type="dxa"/>
            <w:tcBorders/>
            <w:shd w:fill="FFFFFF"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83.63%</w:t>
            </w:r>
          </w:p>
        </w:tc>
      </w:tr>
      <w:tr>
        <w:trPr/>
        <w:tc>
          <w:tcPr>
            <w:tcW w:w="1462" w:type="dxa"/>
            <w:tcBorders/>
            <w:shd w:fill="CCEEFF" w:val="clear"/>
            <w:vAlign w:val="bottom"/>
          </w:tcPr>
          <w:p>
            <w:pPr>
              <w:pStyle w:val="TableContents"/>
              <w:spacing w:before="0" w:after="283"/>
              <w:rPr/>
            </w:pPr>
            <w:r>
              <w:rPr/>
              <w:t xml:space="preserve">  </w:t>
            </w:r>
          </w:p>
        </w:tc>
        <w:tc>
          <w:tcPr>
            <w:tcW w:w="187" w:type="dxa"/>
            <w:tcBorders/>
            <w:shd w:fill="CCEEFF" w:val="clear"/>
            <w:vAlign w:val="center"/>
          </w:tcPr>
          <w:p>
            <w:pPr>
              <w:pStyle w:val="TableContents"/>
              <w:spacing w:before="0" w:after="283"/>
              <w:rPr/>
            </w:pPr>
            <w:r>
              <w:rPr/>
              <w:t xml:space="preserve">  </w:t>
            </w:r>
          </w:p>
        </w:tc>
        <w:tc>
          <w:tcPr>
            <w:tcW w:w="1084" w:type="dxa"/>
            <w:tcBorders/>
            <w:shd w:fill="CCEEFF" w:val="clear"/>
            <w:vAlign w:val="bottom"/>
          </w:tcPr>
          <w:p>
            <w:pPr>
              <w:pStyle w:val="TableContents"/>
              <w:spacing w:before="0" w:after="283"/>
              <w:rPr/>
            </w:pPr>
            <w:r>
              <w:rPr/>
              <w:t xml:space="preserve">  </w:t>
            </w:r>
          </w:p>
        </w:tc>
        <w:tc>
          <w:tcPr>
            <w:tcW w:w="212" w:type="dxa"/>
            <w:tcBorders/>
            <w:shd w:fill="CCEEFF" w:val="clear"/>
            <w:vAlign w:val="center"/>
          </w:tcPr>
          <w:p>
            <w:pPr>
              <w:pStyle w:val="TableContents"/>
              <w:spacing w:before="0" w:after="283"/>
              <w:rPr/>
            </w:pPr>
            <w:r>
              <w:rPr/>
              <w:t xml:space="preserve">  </w:t>
            </w:r>
          </w:p>
        </w:tc>
        <w:tc>
          <w:tcPr>
            <w:tcW w:w="735" w:type="dxa"/>
            <w:tcBorders/>
            <w:shd w:fill="CCEEFF" w:val="clear"/>
            <w:vAlign w:val="bottom"/>
          </w:tcPr>
          <w:p>
            <w:pPr>
              <w:pStyle w:val="TableContents"/>
              <w:spacing w:before="0" w:after="283"/>
              <w:rPr/>
            </w:pPr>
            <w:r>
              <w:rPr/>
              <w:t xml:space="preserve">  </w:t>
            </w:r>
          </w:p>
        </w:tc>
        <w:tc>
          <w:tcPr>
            <w:tcW w:w="187" w:type="dxa"/>
            <w:tcBorders/>
            <w:shd w:fill="CCEEFF" w:val="clear"/>
            <w:vAlign w:val="center"/>
          </w:tcPr>
          <w:p>
            <w:pPr>
              <w:pStyle w:val="TableContents"/>
              <w:spacing w:before="0" w:after="283"/>
              <w:rPr/>
            </w:pPr>
            <w:r>
              <w:rPr/>
              <w:t xml:space="preserve">  </w:t>
            </w:r>
          </w:p>
        </w:tc>
        <w:tc>
          <w:tcPr>
            <w:tcW w:w="1062"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rPr/>
            </w:pPr>
            <w:r>
              <w:rPr/>
              <w:t xml:space="preserve">  </w:t>
            </w:r>
          </w:p>
        </w:tc>
        <w:tc>
          <w:tcPr>
            <w:tcW w:w="1171"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rPr/>
            </w:pPr>
            <w:r>
              <w:rPr/>
              <w:t xml:space="preserve">  </w:t>
            </w:r>
          </w:p>
        </w:tc>
        <w:tc>
          <w:tcPr>
            <w:tcW w:w="1084"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rPr/>
            </w:pPr>
            <w:r>
              <w:rPr/>
              <w:t xml:space="preserve">  </w:t>
            </w:r>
          </w:p>
        </w:tc>
        <w:tc>
          <w:tcPr>
            <w:tcW w:w="121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rPr/>
            </w:pPr>
            <w:r>
              <w:rPr/>
              <w:t xml:space="preserve">  </w:t>
            </w:r>
          </w:p>
        </w:tc>
        <w:tc>
          <w:tcPr>
            <w:tcW w:w="1013" w:type="dxa"/>
            <w:tcBorders/>
            <w:shd w:fill="CCEEFF" w:val="clear"/>
            <w:vAlign w:val="bottom"/>
          </w:tcPr>
          <w:p>
            <w:pPr>
              <w:pStyle w:val="TableContents"/>
              <w:spacing w:before="0" w:after="283"/>
              <w:rPr/>
            </w:pPr>
            <w:r>
              <w:rPr/>
              <w:t xml:space="preserve">  </w:t>
            </w:r>
          </w:p>
        </w:tc>
      </w:tr>
      <w:tr>
        <w:trPr/>
        <w:tc>
          <w:tcPr>
            <w:tcW w:w="14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Individual Investors and Employees</w:t>
            </w:r>
          </w:p>
        </w:tc>
        <w:tc>
          <w:tcPr>
            <w:tcW w:w="187" w:type="dxa"/>
            <w:tcBorders/>
            <w:shd w:fill="FFFFFF" w:val="clear"/>
            <w:vAlign w:val="center"/>
          </w:tcPr>
          <w:p>
            <w:pPr>
              <w:pStyle w:val="TableContents"/>
              <w:spacing w:before="0" w:after="283"/>
              <w:rPr/>
            </w:pPr>
            <w:r>
              <w:rPr/>
              <w:t xml:space="preserve">  </w:t>
            </w:r>
          </w:p>
        </w:tc>
        <w:tc>
          <w:tcPr>
            <w:tcW w:w="1084" w:type="dxa"/>
            <w:tcBorders/>
            <w:shd w:fill="FFFFFF" w:val="clear"/>
            <w:vAlign w:val="bottom"/>
          </w:tcPr>
          <w:p>
            <w:pPr>
              <w:pStyle w:val="TableContents"/>
              <w:spacing w:before="0" w:after="0"/>
              <w:ind w:left="0" w:right="0" w:hanging="0"/>
              <w:jc w:val="right"/>
              <w:rPr/>
            </w:pPr>
            <w:r>
              <w:rPr/>
              <w:t> </w:t>
            </w:r>
            <w:r>
              <w:rPr>
                <w:rFonts w:ascii="times new roman" w:hAnsi="times new roman"/>
                <w:sz w:val="20"/>
              </w:rPr>
              <w:t>10,145,275</w:t>
            </w:r>
          </w:p>
        </w:tc>
        <w:tc>
          <w:tcPr>
            <w:tcW w:w="212" w:type="dxa"/>
            <w:tcBorders/>
            <w:shd w:fill="FFFFFF" w:val="clear"/>
            <w:vAlign w:val="bottom"/>
          </w:tcPr>
          <w:p>
            <w:pPr>
              <w:pStyle w:val="TableContents"/>
              <w:spacing w:before="0" w:after="283"/>
              <w:rPr/>
            </w:pPr>
            <w:r>
              <w:rPr/>
              <w:t xml:space="preserve">  </w:t>
            </w:r>
          </w:p>
        </w:tc>
        <w:tc>
          <w:tcPr>
            <w:tcW w:w="735"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10.19%</w:t>
            </w:r>
          </w:p>
        </w:tc>
        <w:tc>
          <w:tcPr>
            <w:tcW w:w="187" w:type="dxa"/>
            <w:tcBorders/>
            <w:shd w:fill="FFFFFF" w:val="clear"/>
            <w:vAlign w:val="bottom"/>
          </w:tcPr>
          <w:p>
            <w:pPr>
              <w:pStyle w:val="TableContents"/>
              <w:spacing w:before="0" w:after="283"/>
              <w:rPr/>
            </w:pPr>
            <w:r>
              <w:rPr/>
              <w:t xml:space="preserve">  </w:t>
            </w:r>
          </w:p>
        </w:tc>
        <w:tc>
          <w:tcPr>
            <w:tcW w:w="1062" w:type="dxa"/>
            <w:tcBorders/>
            <w:shd w:fill="FFFFFF" w:val="clear"/>
            <w:vAlign w:val="bottom"/>
          </w:tcPr>
          <w:p>
            <w:pPr>
              <w:pStyle w:val="TableContents"/>
              <w:spacing w:before="0" w:after="0"/>
              <w:ind w:left="0" w:right="0" w:hanging="0"/>
              <w:jc w:val="right"/>
              <w:rPr/>
            </w:pPr>
            <w:r>
              <w:rPr/>
              <w:t> </w:t>
            </w:r>
            <w:r>
              <w:rPr>
                <w:rFonts w:ascii="times new roman" w:hAnsi="times new roman"/>
                <w:sz w:val="20"/>
              </w:rPr>
              <w:t>1,039,778</w:t>
            </w:r>
          </w:p>
        </w:tc>
        <w:tc>
          <w:tcPr>
            <w:tcW w:w="187" w:type="dxa"/>
            <w:tcBorders/>
            <w:shd w:fill="FFFFFF" w:val="clear"/>
            <w:vAlign w:val="bottom"/>
          </w:tcPr>
          <w:p>
            <w:pPr>
              <w:pStyle w:val="TableContents"/>
              <w:spacing w:before="0" w:after="283"/>
              <w:rPr/>
            </w:pPr>
            <w:r>
              <w:rPr/>
              <w:t xml:space="preserve">  </w:t>
            </w:r>
          </w:p>
        </w:tc>
        <w:tc>
          <w:tcPr>
            <w:tcW w:w="1171" w:type="dxa"/>
            <w:tcBorders/>
            <w:shd w:fill="FFFFFF" w:val="clear"/>
            <w:vAlign w:val="bottom"/>
          </w:tcPr>
          <w:p>
            <w:pPr>
              <w:pStyle w:val="TableContents"/>
              <w:spacing w:before="0" w:after="0"/>
              <w:ind w:left="0" w:right="0" w:hanging="0"/>
              <w:jc w:val="right"/>
              <w:rPr/>
            </w:pPr>
            <w:r>
              <w:rPr/>
              <w:t> </w:t>
            </w:r>
            <w:r>
              <w:rPr>
                <w:rFonts w:ascii="times new roman" w:hAnsi="times new roman"/>
                <w:sz w:val="20"/>
              </w:rPr>
              <w:t>3,065,523</w:t>
            </w:r>
          </w:p>
        </w:tc>
        <w:tc>
          <w:tcPr>
            <w:tcW w:w="212" w:type="dxa"/>
            <w:tcBorders/>
            <w:shd w:fill="FFFFFF" w:val="clear"/>
            <w:vAlign w:val="bottom"/>
          </w:tcPr>
          <w:p>
            <w:pPr>
              <w:pStyle w:val="TableContents"/>
              <w:spacing w:before="0" w:after="283"/>
              <w:rPr/>
            </w:pPr>
            <w:r>
              <w:rPr/>
              <w:t xml:space="preserve">  </w:t>
            </w:r>
          </w:p>
        </w:tc>
        <w:tc>
          <w:tcPr>
            <w:tcW w:w="1084" w:type="dxa"/>
            <w:tcBorders/>
            <w:shd w:fill="FFFFFF" w:val="clear"/>
            <w:vAlign w:val="bottom"/>
          </w:tcPr>
          <w:p>
            <w:pPr>
              <w:pStyle w:val="TableContents"/>
              <w:spacing w:before="0" w:after="0"/>
              <w:ind w:left="0" w:right="0" w:hanging="0"/>
              <w:jc w:val="right"/>
              <w:rPr/>
            </w:pPr>
            <w:r>
              <w:rPr/>
              <w:t> </w:t>
            </w:r>
            <w:r>
              <w:rPr>
                <w:rFonts w:ascii="times new roman" w:hAnsi="times new roman"/>
                <w:sz w:val="20"/>
              </w:rPr>
              <w:t>-</w:t>
            </w:r>
          </w:p>
        </w:tc>
        <w:tc>
          <w:tcPr>
            <w:tcW w:w="212" w:type="dxa"/>
            <w:tcBorders/>
            <w:shd w:fill="FFFFFF" w:val="clear"/>
            <w:vAlign w:val="bottom"/>
          </w:tcPr>
          <w:p>
            <w:pPr>
              <w:pStyle w:val="TableContents"/>
              <w:spacing w:before="0" w:after="283"/>
              <w:rPr/>
            </w:pPr>
            <w:r>
              <w:rPr/>
              <w:t xml:space="preserve">  </w:t>
            </w:r>
          </w:p>
        </w:tc>
        <w:tc>
          <w:tcPr>
            <w:tcW w:w="1210" w:type="dxa"/>
            <w:tcBorders/>
            <w:shd w:fill="FFFFFF" w:val="clear"/>
            <w:vAlign w:val="bottom"/>
          </w:tcPr>
          <w:p>
            <w:pPr>
              <w:pStyle w:val="TableContents"/>
              <w:spacing w:before="0" w:after="0"/>
              <w:ind w:left="0" w:right="0" w:hanging="0"/>
              <w:jc w:val="right"/>
              <w:rPr/>
            </w:pPr>
            <w:r>
              <w:rPr/>
              <w:t> </w:t>
            </w:r>
            <w:r>
              <w:rPr>
                <w:rFonts w:ascii="times new roman" w:hAnsi="times new roman"/>
                <w:sz w:val="20"/>
              </w:rPr>
              <w:t>14,250,576</w:t>
            </w:r>
          </w:p>
        </w:tc>
        <w:tc>
          <w:tcPr>
            <w:tcW w:w="187" w:type="dxa"/>
            <w:tcBorders/>
            <w:shd w:fill="FFFFFF" w:val="clear"/>
            <w:vAlign w:val="bottom"/>
          </w:tcPr>
          <w:p>
            <w:pPr>
              <w:pStyle w:val="TableContents"/>
              <w:spacing w:before="0" w:after="283"/>
              <w:rPr/>
            </w:pPr>
            <w:r>
              <w:rPr/>
              <w:t xml:space="preserve">  </w:t>
            </w:r>
          </w:p>
        </w:tc>
        <w:tc>
          <w:tcPr>
            <w:tcW w:w="1013"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10.07%</w:t>
            </w:r>
          </w:p>
        </w:tc>
      </w:tr>
      <w:tr>
        <w:trPr/>
        <w:tc>
          <w:tcPr>
            <w:tcW w:w="1462" w:type="dxa"/>
            <w:tcBorders/>
            <w:shd w:fill="CCEEFF" w:val="clear"/>
            <w:vAlign w:val="bottom"/>
          </w:tcPr>
          <w:p>
            <w:pPr>
              <w:pStyle w:val="TableContents"/>
              <w:spacing w:before="0" w:after="283"/>
              <w:rPr/>
            </w:pPr>
            <w:r>
              <w:rPr/>
              <w:t xml:space="preserve">  </w:t>
            </w:r>
          </w:p>
        </w:tc>
        <w:tc>
          <w:tcPr>
            <w:tcW w:w="187" w:type="dxa"/>
            <w:tcBorders/>
            <w:shd w:fill="CCEEFF" w:val="clear"/>
            <w:vAlign w:val="center"/>
          </w:tcPr>
          <w:p>
            <w:pPr>
              <w:pStyle w:val="TableContents"/>
              <w:spacing w:before="0" w:after="283"/>
              <w:rPr/>
            </w:pPr>
            <w:r>
              <w:rPr/>
              <w:t xml:space="preserve">  </w:t>
            </w:r>
          </w:p>
        </w:tc>
        <w:tc>
          <w:tcPr>
            <w:tcW w:w="1084" w:type="dxa"/>
            <w:tcBorders/>
            <w:shd w:fill="CCEEFF" w:val="clear"/>
            <w:vAlign w:val="bottom"/>
          </w:tcPr>
          <w:p>
            <w:pPr>
              <w:pStyle w:val="TableContents"/>
              <w:spacing w:before="0" w:after="283"/>
              <w:rPr/>
            </w:pPr>
            <w:r>
              <w:rPr/>
              <w:t xml:space="preserve">  </w:t>
            </w:r>
          </w:p>
        </w:tc>
        <w:tc>
          <w:tcPr>
            <w:tcW w:w="212" w:type="dxa"/>
            <w:tcBorders/>
            <w:shd w:fill="CCEEFF" w:val="clear"/>
            <w:vAlign w:val="center"/>
          </w:tcPr>
          <w:p>
            <w:pPr>
              <w:pStyle w:val="TableContents"/>
              <w:spacing w:before="0" w:after="283"/>
              <w:rPr/>
            </w:pPr>
            <w:r>
              <w:rPr/>
              <w:t xml:space="preserve">  </w:t>
            </w:r>
          </w:p>
        </w:tc>
        <w:tc>
          <w:tcPr>
            <w:tcW w:w="735" w:type="dxa"/>
            <w:tcBorders/>
            <w:shd w:fill="CCEEFF" w:val="clear"/>
            <w:vAlign w:val="bottom"/>
          </w:tcPr>
          <w:p>
            <w:pPr>
              <w:pStyle w:val="TableContents"/>
              <w:spacing w:before="0" w:after="283"/>
              <w:rPr/>
            </w:pPr>
            <w:r>
              <w:rPr/>
              <w:t xml:space="preserve">  </w:t>
            </w:r>
          </w:p>
        </w:tc>
        <w:tc>
          <w:tcPr>
            <w:tcW w:w="187" w:type="dxa"/>
            <w:tcBorders/>
            <w:shd w:fill="CCEEFF" w:val="clear"/>
            <w:vAlign w:val="center"/>
          </w:tcPr>
          <w:p>
            <w:pPr>
              <w:pStyle w:val="TableContents"/>
              <w:spacing w:before="0" w:after="283"/>
              <w:rPr/>
            </w:pPr>
            <w:r>
              <w:rPr/>
              <w:t xml:space="preserve">  </w:t>
            </w:r>
          </w:p>
        </w:tc>
        <w:tc>
          <w:tcPr>
            <w:tcW w:w="1062"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rPr/>
            </w:pPr>
            <w:r>
              <w:rPr/>
              <w:t xml:space="preserve">  </w:t>
            </w:r>
          </w:p>
        </w:tc>
        <w:tc>
          <w:tcPr>
            <w:tcW w:w="1171"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rPr/>
            </w:pPr>
            <w:r>
              <w:rPr/>
              <w:t xml:space="preserve">  </w:t>
            </w:r>
          </w:p>
        </w:tc>
        <w:tc>
          <w:tcPr>
            <w:tcW w:w="1084"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rPr/>
            </w:pPr>
            <w:r>
              <w:rPr/>
              <w:t xml:space="preserve">  </w:t>
            </w:r>
          </w:p>
        </w:tc>
        <w:tc>
          <w:tcPr>
            <w:tcW w:w="121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rPr/>
            </w:pPr>
            <w:r>
              <w:rPr/>
              <w:t xml:space="preserve">  </w:t>
            </w:r>
          </w:p>
        </w:tc>
        <w:tc>
          <w:tcPr>
            <w:tcW w:w="1013" w:type="dxa"/>
            <w:tcBorders/>
            <w:shd w:fill="CCEEFF" w:val="clear"/>
            <w:vAlign w:val="bottom"/>
          </w:tcPr>
          <w:p>
            <w:pPr>
              <w:pStyle w:val="TableContents"/>
              <w:spacing w:before="0" w:after="283"/>
              <w:rPr/>
            </w:pPr>
            <w:r>
              <w:rPr/>
              <w:t xml:space="preserve">  </w:t>
            </w:r>
          </w:p>
        </w:tc>
      </w:tr>
      <w:tr>
        <w:trPr/>
        <w:tc>
          <w:tcPr>
            <w:tcW w:w="146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Common Stock</w:t>
            </w:r>
          </w:p>
        </w:tc>
        <w:tc>
          <w:tcPr>
            <w:tcW w:w="187" w:type="dxa"/>
            <w:tcBorders/>
            <w:shd w:fill="FFFFFF" w:val="clear"/>
            <w:vAlign w:val="center"/>
          </w:tcPr>
          <w:p>
            <w:pPr>
              <w:pStyle w:val="TableContents"/>
              <w:spacing w:before="0" w:after="283"/>
              <w:rPr/>
            </w:pPr>
            <w:r>
              <w:rPr/>
              <w:t xml:space="preserve">  </w:t>
            </w:r>
          </w:p>
        </w:tc>
        <w:tc>
          <w:tcPr>
            <w:tcW w:w="1084" w:type="dxa"/>
            <w:tcBorders>
              <w:bottom w:val="double" w:sz="8" w:space="0" w:color="000000"/>
            </w:tcBorders>
            <w:shd w:fill="FFFFFF" w:val="clear"/>
            <w:tcMar>
              <w:bottom w:w="28" w:type="dxa"/>
            </w:tcMar>
            <w:vAlign w:val="bottom"/>
          </w:tcPr>
          <w:p>
            <w:pPr>
              <w:pStyle w:val="TableContents"/>
              <w:spacing w:before="0" w:after="0"/>
              <w:ind w:left="0" w:right="0" w:hanging="0"/>
              <w:jc w:val="right"/>
              <w:rPr/>
            </w:pPr>
            <w:r>
              <w:rPr/>
              <w:t> </w:t>
            </w:r>
            <w:r>
              <w:rPr>
                <w:rFonts w:ascii="times new roman" w:hAnsi="times new roman"/>
                <w:b/>
                <w:sz w:val="20"/>
              </w:rPr>
              <w:t>99,535,638</w:t>
            </w:r>
          </w:p>
        </w:tc>
        <w:tc>
          <w:tcPr>
            <w:tcW w:w="212" w:type="dxa"/>
            <w:tcBorders/>
            <w:shd w:fill="FFFFFF" w:val="clear"/>
            <w:vAlign w:val="center"/>
          </w:tcPr>
          <w:p>
            <w:pPr>
              <w:pStyle w:val="TableContents"/>
              <w:spacing w:before="0" w:after="283"/>
              <w:rPr/>
            </w:pPr>
            <w:r>
              <w:rPr/>
              <w:t xml:space="preserve">  </w:t>
            </w:r>
          </w:p>
        </w:tc>
        <w:tc>
          <w:tcPr>
            <w:tcW w:w="735" w:type="dxa"/>
            <w:tcBorders>
              <w:bottom w:val="double" w:sz="8"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100.00%</w:t>
            </w:r>
          </w:p>
        </w:tc>
        <w:tc>
          <w:tcPr>
            <w:tcW w:w="187" w:type="dxa"/>
            <w:tcBorders/>
            <w:shd w:fill="FFFFFF" w:val="clear"/>
            <w:vAlign w:val="center"/>
          </w:tcPr>
          <w:p>
            <w:pPr>
              <w:pStyle w:val="TableContents"/>
              <w:spacing w:before="0" w:after="283"/>
              <w:rPr/>
            </w:pPr>
            <w:r>
              <w:rPr/>
              <w:t xml:space="preserve">  </w:t>
            </w:r>
          </w:p>
        </w:tc>
        <w:tc>
          <w:tcPr>
            <w:tcW w:w="1062" w:type="dxa"/>
            <w:tcBorders>
              <w:bottom w:val="double" w:sz="8" w:space="0" w:color="000000"/>
            </w:tcBorders>
            <w:shd w:fill="FFFFFF" w:val="clear"/>
            <w:tcMar>
              <w:bottom w:w="28" w:type="dxa"/>
            </w:tcMar>
            <w:vAlign w:val="center"/>
          </w:tcPr>
          <w:p>
            <w:pPr>
              <w:pStyle w:val="TableContents"/>
              <w:spacing w:before="0" w:after="0"/>
              <w:ind w:left="0" w:right="0" w:hanging="0"/>
              <w:jc w:val="right"/>
              <w:rPr/>
            </w:pPr>
            <w:r>
              <w:rPr/>
              <w:t> </w:t>
            </w:r>
            <w:r>
              <w:rPr>
                <w:rFonts w:ascii="times new roman" w:hAnsi="times new roman"/>
                <w:b/>
                <w:sz w:val="20"/>
              </w:rPr>
              <w:t>4,912,604</w:t>
            </w:r>
          </w:p>
        </w:tc>
        <w:tc>
          <w:tcPr>
            <w:tcW w:w="187" w:type="dxa"/>
            <w:tcBorders/>
            <w:shd w:fill="FFFFFF" w:val="clear"/>
            <w:vAlign w:val="bottom"/>
          </w:tcPr>
          <w:p>
            <w:pPr>
              <w:pStyle w:val="TableContents"/>
              <w:spacing w:before="0" w:after="283"/>
              <w:rPr/>
            </w:pPr>
            <w:r>
              <w:rPr/>
              <w:t xml:space="preserve">  </w:t>
            </w:r>
          </w:p>
        </w:tc>
        <w:tc>
          <w:tcPr>
            <w:tcW w:w="1171" w:type="dxa"/>
            <w:tcBorders>
              <w:bottom w:val="double" w:sz="8" w:space="0" w:color="000000"/>
            </w:tcBorders>
            <w:shd w:fill="FFFFFF" w:val="clear"/>
            <w:tcMar>
              <w:bottom w:w="28" w:type="dxa"/>
            </w:tcMar>
            <w:vAlign w:val="center"/>
          </w:tcPr>
          <w:p>
            <w:pPr>
              <w:pStyle w:val="TableContents"/>
              <w:spacing w:before="0" w:after="0"/>
              <w:ind w:left="0" w:right="0" w:hanging="0"/>
              <w:jc w:val="right"/>
              <w:rPr/>
            </w:pPr>
            <w:r>
              <w:rPr/>
              <w:t> </w:t>
            </w:r>
            <w:r>
              <w:rPr>
                <w:rFonts w:ascii="times new roman" w:hAnsi="times new roman"/>
                <w:b/>
                <w:sz w:val="20"/>
              </w:rPr>
              <w:t>22,105,571</w:t>
            </w:r>
          </w:p>
        </w:tc>
        <w:tc>
          <w:tcPr>
            <w:tcW w:w="212" w:type="dxa"/>
            <w:tcBorders/>
            <w:shd w:fill="FFFFFF" w:val="clear"/>
            <w:vAlign w:val="center"/>
          </w:tcPr>
          <w:p>
            <w:pPr>
              <w:pStyle w:val="TableContents"/>
              <w:spacing w:before="0" w:after="283"/>
              <w:rPr/>
            </w:pPr>
            <w:r>
              <w:rPr/>
              <w:t xml:space="preserve">  </w:t>
            </w:r>
          </w:p>
        </w:tc>
        <w:tc>
          <w:tcPr>
            <w:tcW w:w="1084" w:type="dxa"/>
            <w:tcBorders>
              <w:bottom w:val="double" w:sz="8" w:space="0" w:color="000000"/>
            </w:tcBorders>
            <w:shd w:fill="FFFFFF" w:val="clear"/>
            <w:tcMar>
              <w:bottom w:w="28" w:type="dxa"/>
            </w:tcMar>
            <w:vAlign w:val="center"/>
          </w:tcPr>
          <w:p>
            <w:pPr>
              <w:pStyle w:val="TableContents"/>
              <w:spacing w:before="0" w:after="0"/>
              <w:ind w:left="0" w:right="0" w:hanging="0"/>
              <w:jc w:val="right"/>
              <w:rPr/>
            </w:pPr>
            <w:r>
              <w:rPr/>
              <w:t> </w:t>
            </w:r>
            <w:r>
              <w:rPr>
                <w:rFonts w:ascii="times new roman" w:hAnsi="times new roman"/>
                <w:b/>
                <w:sz w:val="20"/>
              </w:rPr>
              <w:t>15,000,000</w:t>
            </w:r>
          </w:p>
        </w:tc>
        <w:tc>
          <w:tcPr>
            <w:tcW w:w="212" w:type="dxa"/>
            <w:tcBorders/>
            <w:shd w:fill="FFFFFF" w:val="clear"/>
            <w:vAlign w:val="center"/>
          </w:tcPr>
          <w:p>
            <w:pPr>
              <w:pStyle w:val="TableContents"/>
              <w:spacing w:before="0" w:after="283"/>
              <w:rPr/>
            </w:pPr>
            <w:r>
              <w:rPr/>
              <w:t xml:space="preserve">  </w:t>
            </w:r>
          </w:p>
        </w:tc>
        <w:tc>
          <w:tcPr>
            <w:tcW w:w="1210" w:type="dxa"/>
            <w:tcBorders>
              <w:bottom w:val="double" w:sz="8" w:space="0" w:color="000000"/>
            </w:tcBorders>
            <w:shd w:fill="FFFFFF" w:val="clear"/>
            <w:tcMar>
              <w:bottom w:w="28" w:type="dxa"/>
            </w:tcMar>
            <w:vAlign w:val="center"/>
          </w:tcPr>
          <w:p>
            <w:pPr>
              <w:pStyle w:val="TableContents"/>
              <w:spacing w:before="0" w:after="0"/>
              <w:ind w:left="0" w:right="0" w:hanging="0"/>
              <w:jc w:val="right"/>
              <w:rPr/>
            </w:pPr>
            <w:r>
              <w:rPr/>
              <w:t> </w:t>
            </w:r>
            <w:r>
              <w:rPr>
                <w:rFonts w:ascii="times new roman" w:hAnsi="times new roman"/>
                <w:b/>
                <w:sz w:val="20"/>
              </w:rPr>
              <w:t>141,553,813</w:t>
            </w:r>
          </w:p>
        </w:tc>
        <w:tc>
          <w:tcPr>
            <w:tcW w:w="187" w:type="dxa"/>
            <w:tcBorders/>
            <w:shd w:fill="FFFFFF" w:val="clear"/>
            <w:vAlign w:val="bottom"/>
          </w:tcPr>
          <w:p>
            <w:pPr>
              <w:pStyle w:val="TableContents"/>
              <w:spacing w:before="0" w:after="283"/>
              <w:rPr/>
            </w:pPr>
            <w:r>
              <w:rPr/>
              <w:t xml:space="preserve">  </w:t>
            </w:r>
          </w:p>
        </w:tc>
        <w:tc>
          <w:tcPr>
            <w:tcW w:w="1013" w:type="dxa"/>
            <w:tcBorders>
              <w:bottom w:val="double" w:sz="8"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100.00%</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(1)</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6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(i) approximately 6.77 million shares of common stock issuable to Platinum upon conversion of $3.273 million face value of Senior Secured Convertible Promissory Notes plus accrued interest concurrently with Closing.</w:t>
            </w:r>
          </w:p>
          <w:p>
            <w:pPr>
              <w:pStyle w:val="TableContents"/>
              <w:spacing w:before="0" w:after="0"/>
              <w:ind w:left="0" w:right="0" w:hanging="0"/>
              <w:rPr/>
            </w:pPr>
            <w:r>
              <w:rPr/>
              <w:t> </w:t>
            </w:r>
          </w:p>
        </w:tc>
      </w:tr>
      <w:tr>
        <w:trPr/>
        <w:tc>
          <w:tcPr>
            <w:tcW w:w="5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6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500,000 shares of Series A Preferred Stock exchangeable into 15.0 million shares of common stock and a five-year warrant to purchase 7.5 million shares of common stock at an exercise price of $1,50 per share, which shall occur at Platinum's discretion.</w:t>
            </w:r>
          </w:p>
          <w:p>
            <w:pPr>
              <w:pStyle w:val="TableContents"/>
              <w:spacing w:before="0" w:after="0"/>
              <w:ind w:left="0" w:right="0" w:hanging="0"/>
              <w:rPr/>
            </w:pPr>
            <w:r>
              <w:rPr/>
              <w:t> </w:t>
            </w:r>
          </w:p>
        </w:tc>
      </w:tr>
      <w:tr>
        <w:trPr/>
        <w:tc>
          <w:tcPr>
            <w:tcW w:w="5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6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7.5 million shares exercisable at a price of $1.50 per share issuable to Platinum upon the exchange of 500,000 shares of Series A Preferred stock into common stock and warrants as described in Note (2).  The issuance of the Shares to Purchaser under this Agreement at $0.50 per share will cause the exercise price of outstanding warrants to purchase 3,272,577 shares of common stock and warrants to purchase 7,500,000 shares of common stock issuable to Platinum pursuant to the Platinum Agreement to be reduced from $1.50 per share to $0.50 per share.</w:t>
            </w:r>
          </w:p>
          <w:p>
            <w:pPr>
              <w:pStyle w:val="TableContents"/>
              <w:spacing w:before="0" w:after="0"/>
              <w:ind w:left="0" w:right="0" w:hanging="0"/>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Schedule 3.1(i)- Material Changes; Undisclosed Events, Liabilities or Developments</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bookmarkStart w:id="291" w:name="TAB14"/>
      <w:bookmarkEnd w:id="291"/>
      <w:r>
        <w:rPr>
          <w:rFonts w:ascii="Times New Roman" w:hAnsi="Times New Roman"/>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2" w:name="PGBRK20"/>
      <w:bookmarkStart w:id="293" w:name="PGBRK20"/>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4" w:name="FTR20"/>
      <w:bookmarkStart w:id="295" w:name="FTR20"/>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6" w:name="GLFTR20"/>
      <w:bookmarkEnd w:id="2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7" w:name="PN20"/>
      <w:bookmarkEnd w:id="297"/>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8" w:name="HDR20"/>
      <w:bookmarkStart w:id="299" w:name="HDR20"/>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0" w:name="GLHDR20"/>
      <w:bookmarkEnd w:id="3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Schedule 3.1(n)– Title to Assets; Schedule 3.1(o)– Intellectual Property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Platinum Agreement, the Company and Platinum entered in an amended and restated Security Agreement (the “</w:t>
      </w:r>
      <w:r>
        <w:rPr>
          <w:rFonts w:ascii="Times New Roman" w:hAnsi="Times New Roman"/>
          <w:i/>
          <w:sz w:val="20"/>
        </w:rPr>
        <w:t>Platinum Security Agreement</w:t>
      </w:r>
      <w:r>
        <w:rPr>
          <w:rFonts w:ascii="Times New Roman" w:hAnsi="Times New Roman"/>
          <w:sz w:val="20"/>
        </w:rPr>
        <w:t>”) wherein the Company’s payment of the Platinum Notes is secured by (i) a continuing security interest in all assets of the Company, (ii) a continuing security interest and filing of assignments of the Company’s interest in all intellectual property owned by VistaGen California with the United State Patent and Trademark Office, and (iii) by VistaGen California’s equity interest in Artemis. In addition, VistaGen California and Artemis entered into a Negative Covenant Agreement pursuant to which VistaGen California and Artemis agreed to refrain from incurring liens or certain indebtedness without the consent of Platinum. Pursuant to its Note Conversion Agreement with the Company, upon Purchaser’s satisfaction of its purchase obligations under this Agreement, Platinum will (i) convert all of the Platinum Notes into Common Stock of the Company, (ii) release its security interest in all assets of the Company, and (iii) terminate the Platinum Security Agreement.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1" w:name="PGBRK21"/>
      <w:bookmarkStart w:id="302" w:name="PGBRK21"/>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3" w:name="FTR21"/>
      <w:bookmarkStart w:id="304" w:name="FTR21"/>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5" w:name="GLFTR21"/>
      <w:bookmarkEnd w:id="3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6" w:name="PN21"/>
      <w:bookmarkEnd w:id="306"/>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7" w:name="HDR21"/>
      <w:bookmarkStart w:id="308" w:name="HDR21"/>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9" w:name="GLHDR21"/>
      <w:bookmarkEnd w:id="3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2160" w:right="0" w:firstLine="720"/>
        <w:jc w:val="right"/>
        <w:rPr>
          <w:rFonts w:ascii="Times New Roman" w:hAnsi="Times New Roman"/>
          <w:sz w:val="20"/>
        </w:rPr>
      </w:pPr>
      <w:r>
        <w:rPr>
          <w:rFonts w:ascii="Times New Roman" w:hAnsi="Times New Roman"/>
          <w:sz w:val="20"/>
        </w:rPr>
        <w:t>EXHIBIT A</w:t>
      </w:r>
    </w:p>
    <w:p>
      <w:pPr>
        <w:pStyle w:val="TextBody"/>
        <w:spacing w:before="0" w:after="0"/>
        <w:ind w:left="0" w:right="0" w:hanging="0"/>
        <w:jc w:val="both"/>
        <w:rPr/>
      </w:pPr>
      <w:r>
        <w:rPr/>
        <w:t> </w:t>
      </w:r>
    </w:p>
    <w:p>
      <w:pPr>
        <w:pStyle w:val="TextBody"/>
        <w:spacing w:before="0" w:after="0"/>
        <w:ind w:left="2160" w:right="0" w:firstLine="720"/>
        <w:jc w:val="right"/>
        <w:rPr>
          <w:rFonts w:ascii="Times New Roman" w:hAnsi="Times New Roman"/>
          <w:sz w:val="20"/>
        </w:rPr>
      </w:pPr>
      <w:r>
        <w:rPr>
          <w:rFonts w:ascii="Times New Roman" w:hAnsi="Times New Roman"/>
          <w:sz w:val="20"/>
        </w:rPr>
        <w:t>April __, 2013</w:t>
      </w:r>
    </w:p>
    <w:p>
      <w:pPr>
        <w:pStyle w:val="TextBody"/>
        <w:spacing w:before="0" w:after="0"/>
        <w:ind w:left="0" w:right="0" w:hanging="0"/>
        <w:jc w:val="both"/>
        <w:rPr>
          <w:rFonts w:ascii="Times New Roman" w:hAnsi="Times New Roman"/>
          <w:sz w:val="20"/>
        </w:rPr>
      </w:pPr>
      <w:r>
        <w:rPr>
          <w:rFonts w:ascii="Times New Roman" w:hAnsi="Times New Roman"/>
          <w:sz w:val="20"/>
        </w:rPr>
        <w:t>Autilion AG</w:t>
      </w:r>
    </w:p>
    <w:p>
      <w:pPr>
        <w:pStyle w:val="TextBody"/>
        <w:spacing w:before="0" w:after="0"/>
        <w:ind w:left="0" w:right="0" w:hanging="0"/>
        <w:jc w:val="left"/>
        <w:rPr>
          <w:rFonts w:ascii="Times New Roman" w:hAnsi="Times New Roman"/>
          <w:sz w:val="20"/>
        </w:rPr>
      </w:pPr>
      <w:r>
        <w:rPr>
          <w:rFonts w:ascii="Times New Roman" w:hAnsi="Times New Roman"/>
          <w:sz w:val="20"/>
        </w:rPr>
        <w:t>Bahnhofplatz 10</w:t>
      </w:r>
    </w:p>
    <w:p>
      <w:pPr>
        <w:pStyle w:val="TextBody"/>
        <w:spacing w:before="0" w:after="0"/>
        <w:ind w:left="0" w:right="0" w:hanging="0"/>
        <w:jc w:val="left"/>
        <w:rPr>
          <w:rFonts w:ascii="Times New Roman" w:hAnsi="Times New Roman"/>
          <w:sz w:val="20"/>
        </w:rPr>
      </w:pPr>
      <w:r>
        <w:rPr>
          <w:rFonts w:ascii="Times New Roman" w:hAnsi="Times New Roman"/>
          <w:sz w:val="20"/>
        </w:rPr>
        <w:t>8853 Lachen</w:t>
      </w:r>
    </w:p>
    <w:p>
      <w:pPr>
        <w:pStyle w:val="TextBody"/>
        <w:spacing w:before="0" w:after="0"/>
        <w:ind w:left="0" w:right="0" w:hanging="0"/>
        <w:jc w:val="left"/>
        <w:rPr>
          <w:rFonts w:ascii="Times New Roman" w:hAnsi="Times New Roman"/>
          <w:sz w:val="20"/>
        </w:rPr>
      </w:pPr>
      <w:r>
        <w:rPr>
          <w:rFonts w:ascii="Times New Roman" w:hAnsi="Times New Roman"/>
          <w:sz w:val="20"/>
        </w:rPr>
        <w:t>Switzerland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10" w:name="TAB15"/>
      <w:bookmarkEnd w:id="310"/>
      <w:r>
        <w:rPr>
          <w:rFonts w:ascii="Times New Roman" w:hAnsi="Times New Roman"/>
          <w:sz w:val="20"/>
        </w:rPr>
        <w:t>Re:           </w:t>
      </w:r>
      <w:r>
        <w:rPr>
          <w:rFonts w:ascii="Times New Roman" w:hAnsi="Times New Roman"/>
          <w:sz w:val="20"/>
          <w:u w:val="single"/>
        </w:rPr>
        <w:t>Investment by Autilion AG in 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Ladies and Gentlemen: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acted as counsel to VistaGen Therapeutics, Inc., a Nevada corporation (the “</w:t>
      </w:r>
      <w:r>
        <w:rPr>
          <w:rFonts w:ascii="Times New Roman" w:hAnsi="Times New Roman"/>
          <w:i/>
          <w:sz w:val="20"/>
        </w:rPr>
        <w:t>Company</w:t>
      </w:r>
      <w:r>
        <w:rPr>
          <w:rFonts w:ascii="Times New Roman" w:hAnsi="Times New Roman"/>
          <w:sz w:val="20"/>
        </w:rPr>
        <w:t>”), in connection with the sale of _____ million shares of the Company’s common stock, par value $0.001 per share (the “</w:t>
      </w:r>
      <w:r>
        <w:rPr>
          <w:rFonts w:ascii="Times New Roman" w:hAnsi="Times New Roman"/>
          <w:i/>
          <w:sz w:val="20"/>
        </w:rPr>
        <w:t>Shares</w:t>
      </w:r>
      <w:r>
        <w:rPr>
          <w:rFonts w:ascii="Times New Roman" w:hAnsi="Times New Roman"/>
          <w:sz w:val="20"/>
        </w:rPr>
        <w:t>”) to Autilion AG, a corporation organized and existing under the laws of Switzerland (“</w:t>
      </w:r>
      <w:r>
        <w:rPr>
          <w:rFonts w:ascii="Times New Roman" w:hAnsi="Times New Roman"/>
          <w:i/>
          <w:sz w:val="20"/>
        </w:rPr>
        <w:t>Autilion</w:t>
      </w:r>
      <w:r>
        <w:rPr>
          <w:rFonts w:ascii="Times New Roman" w:hAnsi="Times New Roman"/>
          <w:sz w:val="20"/>
        </w:rPr>
        <w:t>”), pursuant to the Securities Purchase Agreement dated April 8, 2013 (the “</w:t>
      </w:r>
      <w:r>
        <w:rPr>
          <w:rFonts w:ascii="Times New Roman" w:hAnsi="Times New Roman"/>
          <w:i/>
          <w:sz w:val="20"/>
        </w:rPr>
        <w:t>Agreement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to matters of fact, we are relying upon the representations and warranties of all parties contained in Agreement and upon certificates and statements of government officials, all without independent verification.  In addition, we examined originals or copies of documents, corporate records (including, without limitation, the Company's Certificate of Incorporation and Bylaws) and other documents that we consider relevant for the purposes of this opinion.  In such examination, we assumed that the signatures on documents and instruments examined by us are authentic, that each is complete and what it purports to be, that all documents and instruments submitted to us as copies, facsimiles or digital submissions conform with the originals, and that the documents and instruments submitted to us have not been amended or modified since the date submitted.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our examination of documents, we further assumed (i) that each person or entity entering into such documents (other than the Company in connection with the Agreement) had the power, legal competence and capacity to enter into and perform all of such party's obligations thereunder, (ii) the due authorization, execution and delivery by each party (other than the due authorization, execution and delivery of the Agreement by the Company), (iii) the enforceability and binding nature of the obligations of the parties to such documents (other than as to the enforceability against, and the binding nature upon, the Company of the Agreement), (iv) that there is no fact or circumstance relating to any party (other than the Company) that might prevent Autilion from enforcing any of the rights provided for in the Agreement, (v) performance on or before the date of execution of the Agreement (“</w:t>
      </w:r>
      <w:r>
        <w:rPr>
          <w:rFonts w:ascii="Times New Roman" w:hAnsi="Times New Roman"/>
          <w:i/>
          <w:sz w:val="20"/>
        </w:rPr>
        <w:t>Effective Date</w:t>
      </w:r>
      <w:r>
        <w:rPr>
          <w:rFonts w:ascii="Times New Roman" w:hAnsi="Times New Roman"/>
          <w:sz w:val="20"/>
        </w:rPr>
        <w:t>”) by all parties (other than the Company) of their obligations under the Agreement to be performed on or before the Effective Date, and (vi) no action has been taken or facts occurred which amend, revoke, terminate or render invalid any of the documents, records, consents or resolutions which we have reviewed since the date of the certificates we relied upon in rendering this opinion. We have also assumed that there are no extrinsic agreements or understandings among the parties to the Agreement that would modify or interpret the terms of the Agreement or the respective rights or obligations of the parties thereunder.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Based upon and subject to the foregoing and the qualifications and limitations set forth below, it is our opinion that:</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1.</w:t>
      </w:r>
      <w:bookmarkStart w:id="311" w:name="TAB289"/>
      <w:bookmarkEnd w:id="311"/>
      <w:r>
        <w:rPr>
          <w:color w:val="000000"/>
          <w:spacing w:val="180"/>
        </w:rPr>
        <w:t> </w:t>
      </w:r>
      <w:r>
        <w:rPr>
          <w:rFonts w:ascii="Times New Roman" w:hAnsi="Times New Roman"/>
          <w:sz w:val="20"/>
        </w:rPr>
        <w:t>The Company is a corporation duly incorporated, validly existing and in good standing under the laws of the State of Nevada.</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2.</w:t>
      </w:r>
      <w:bookmarkStart w:id="312" w:name="TAB290"/>
      <w:bookmarkEnd w:id="312"/>
      <w:r>
        <w:rPr>
          <w:color w:val="000000"/>
          <w:spacing w:val="180"/>
        </w:rPr>
        <w:t> </w:t>
      </w:r>
      <w:r>
        <w:rPr>
          <w:rFonts w:ascii="Times New Roman" w:hAnsi="Times New Roman"/>
          <w:sz w:val="20"/>
        </w:rPr>
        <w:t>The Company has the requisite power and authority to enter into the Agreement and issue the Shares.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3" w:name="PGBRK22"/>
      <w:bookmarkStart w:id="314" w:name="PGBRK22"/>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5" w:name="FTR22"/>
      <w:bookmarkStart w:id="316" w:name="FTR22"/>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7" w:name="GLFTR22"/>
      <w:bookmarkEnd w:id="3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8" w:name="PN22"/>
      <w:bookmarkEnd w:id="318"/>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9" w:name="HDR22"/>
      <w:bookmarkStart w:id="320" w:name="HDR22"/>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1" w:name="GLHDR22"/>
      <w:bookmarkEnd w:id="3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rFonts w:ascii="Times New Roman" w:hAnsi="Times New Roman"/>
          <w:sz w:val="20"/>
        </w:rPr>
        <w:t>3.</w:t>
      </w:r>
      <w:bookmarkStart w:id="322" w:name="TAB291"/>
      <w:bookmarkEnd w:id="322"/>
      <w:r>
        <w:rPr>
          <w:color w:val="000000"/>
          <w:spacing w:val="180"/>
        </w:rPr>
        <w:t> </w:t>
      </w:r>
      <w:r>
        <w:rPr>
          <w:rFonts w:ascii="Times New Roman" w:hAnsi="Times New Roman"/>
          <w:sz w:val="20"/>
        </w:rPr>
        <w:t>The execution, delivery and performance by the Company of the Agreement and the consummation by the Company of each of the transactions contemplated thereby has been duly and validly authorized by the Board of Directors of the Corporation, and no further consent or authorization of the Company or its directors is required.  The Agreement has been duly executed and delivered, and the Agreement constitutes a legal, valid and binding obligation of the Company, enforceable against the Company in accordance with its terms.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w:t>
      </w:r>
      <w:bookmarkStart w:id="323" w:name="TAB292"/>
      <w:bookmarkEnd w:id="323"/>
      <w:r>
        <w:rPr>
          <w:color w:val="000000"/>
          <w:spacing w:val="180"/>
        </w:rPr>
        <w:t> </w:t>
      </w:r>
      <w:r>
        <w:rPr>
          <w:rFonts w:ascii="Times New Roman" w:hAnsi="Times New Roman"/>
          <w:sz w:val="20"/>
        </w:rPr>
        <w:t>The Shares have been duly authorized and reserved for issuance, and, when delivered, will be validly issued, fully paid and non-assessable.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w:t>
      </w:r>
      <w:bookmarkStart w:id="324" w:name="TAB293"/>
      <w:bookmarkEnd w:id="324"/>
      <w:r>
        <w:rPr>
          <w:color w:val="000000"/>
          <w:spacing w:val="180"/>
        </w:rPr>
        <w:t> </w:t>
      </w:r>
      <w:r>
        <w:rPr>
          <w:rFonts w:ascii="Times New Roman" w:hAnsi="Times New Roman"/>
          <w:sz w:val="20"/>
        </w:rPr>
        <w:t>The execution, delivery and performance of and compliance with the terms of the Agreement and the issuance of the Shares do not and will not conflict with or violate any provision of the Company’s Certificate of Incorporation or Bylaws.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rendering the opinion set forth in Paragraph 1 above as to the good standing of the Company, we have relied exclusively on certificates of public officials, dated _____ __, 2013, a copy of which is attached hereto as </w:t>
      </w:r>
      <w:r>
        <w:rPr>
          <w:rFonts w:ascii="Times New Roman" w:hAnsi="Times New Roman"/>
          <w:sz w:val="20"/>
          <w:u w:val="single"/>
        </w:rPr>
        <w:t>Exhibit A</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With regard to the opinion set forth in Paragraph 3 above, we note that whenever an opinion herein states that an agreement is a “valid and binding obligation” of the Company “enforceable against the Company in accordance with its terms,” such statement shall mean that, subject to the qualifications and limitations set forth herein, (i) an effective contract has been formed under California law, (ii) the entire agreement is not invalid by reason of a specific statutory prohibition or the public policy of the State of California, (iii) contractual defenses to the Agreement are not available and (iv) some remedy is available if a party to any of the Agreement does not materially comply with its terms.  This does not imply that any particular type of remedy is available.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opinion set forth in Paragraph 3 above is further qualified by, and subject to, and renders no opinion with respect to the following: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           The enforceability of provisions of the Agreement expressly or by implication waiving or relinquishing broadly or vaguely stated rights or unknown future rights or defenses, or waiving defenses to obligations or rights granted by law (whether substantive or procedural) or waiving rights to damages, or the benefits of statutory, regulatory or constitutional rights, unless and to the extent the statute, regulation or constitution explicitly permits the waiver of such rights;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2.           The enforceability of any provision of the Agreement purporting to (a) waive rights to trial by jury, service of process or objections to venue or jurisdiction in connection with any litigation arising out of or pertaining to the Agreement, (b) exclude conflict of law principles under Nevada or California law, (c) establish particular courts as the forum for the adjudication of any controversy relating to the Agreement, or (d) establish the laws of any particular state or jurisdiction for the adjudication of any controversy relating to the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3.           The effect of judicial decisions, which may permit the introduction of extrinsic evidence to modify the terms or the interpretation of any of the Agreement; and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4.           Any provision of any of the Agreement requiring written amendments or waivers insofar as it suggests that oral or other modifications, amendments or waivers could not be effectively agreed upon by the parties or that the doctrine of promissory estoppel might not apply.  We note that a requirement that provisions of the Agreement may only be amended or waived in writing may not be binding or enforceable if an oral agreement has been created modifying such provision or an implied agreement by trade practice or course of conduct has given rise to an amendment or waiver.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the foregoing, the opinions expressed above are subject to the following limitations, exceptions, qualifications and assumptions: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We express no opinion as to compliance with applicable provisions in any state or Federal statutes, rules or regulations concerning the issuance or sale of securities, including the Shares.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5" w:name="PGBRK23"/>
      <w:bookmarkStart w:id="326" w:name="PGBRK23"/>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7" w:name="FTR23"/>
      <w:bookmarkStart w:id="328" w:name="FTR23"/>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9" w:name="GLFTR23"/>
      <w:bookmarkEnd w:id="3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0" w:name="PN23"/>
      <w:bookmarkEnd w:id="330"/>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HDR23"/>
      <w:bookmarkStart w:id="332" w:name="HDR23"/>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3" w:name="GLHDR23"/>
      <w:bookmarkEnd w:id="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           We express no opinion as to matters governed by any laws other than the State of California, the Nevada Corporation Code and the Federal law of the United States of America.  We express no opinion as to the laws of any other jurisdiction and no opinion regarding the statutes, administrative decisions, rules, regulations or requirements of any county, municipality, subdivision or local authority of any jurisdiction.  We express no opinion as to whether the laws of any particular jurisdiction apply nor that the laws of any jurisdiction other than those identified above are applicable to the Agreement or the transactions contemplated thereby.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           Our opinion is premised upon the result that would be obtained if a California court were to apply the internal laws of the State of California to the interpretation and enforcement of the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opinion is rendered as of the date first above written solely for your benefit in connection with the Agreement and may not be relied on by, nor may copies be delivered to, any other person without our prior written consent.  Our opinion is expressly limited to the matters set forth above and we render no opinion, whether by implication or otherwise, as to any other matters relating to the Company.  We assume no obligation to inform you of any facts, circumstances, events or changes in the law that may hereafter be brought to our attention that may alter, affect or modify the opinions expressed herein.</w:t>
      </w:r>
    </w:p>
    <w:p>
      <w:pPr>
        <w:pStyle w:val="TextBody"/>
        <w:spacing w:before="0" w:after="0"/>
        <w:ind w:left="0" w:right="0" w:hanging="0"/>
        <w:jc w:val="both"/>
        <w:rPr/>
      </w:pPr>
      <w:r>
        <w:rPr/>
        <w:t> </w:t>
      </w:r>
    </w:p>
    <w:p>
      <w:pPr>
        <w:pStyle w:val="TextBody"/>
        <w:spacing w:before="0" w:after="0"/>
        <w:ind w:left="3600" w:right="0" w:firstLine="720"/>
        <w:jc w:val="both"/>
        <w:rPr>
          <w:rFonts w:ascii="Times New Roman" w:hAnsi="Times New Roman"/>
          <w:sz w:val="20"/>
        </w:rPr>
      </w:pPr>
      <w:bookmarkStart w:id="334" w:name="TAB16"/>
      <w:bookmarkEnd w:id="334"/>
      <w:r>
        <w:rPr>
          <w:rFonts w:ascii="Times New Roman" w:hAnsi="Times New Roman"/>
          <w:sz w:val="20"/>
        </w:rPr>
        <w:t>Very truly yours,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both"/>
        <w:rPr>
          <w:rFonts w:ascii="Times New Roman" w:hAnsi="Times New Roman"/>
          <w:sz w:val="20"/>
        </w:rPr>
      </w:pPr>
      <w:r>
        <w:rPr>
          <w:rFonts w:ascii="Times New Roman" w:hAnsi="Times New Roman"/>
          <w:sz w:val="20"/>
        </w:rPr>
        <w:t>Daniel W. Rumsey</w:t>
      </w:r>
    </w:p>
    <w:p>
      <w:pPr>
        <w:pStyle w:val="TextBody"/>
        <w:spacing w:before="0" w:after="0"/>
        <w:ind w:left="3600" w:right="0" w:firstLine="720"/>
        <w:jc w:val="both"/>
        <w:rPr>
          <w:rFonts w:ascii="Times New Roman" w:hAnsi="Times New Roman"/>
          <w:sz w:val="20"/>
        </w:rPr>
      </w:pPr>
      <w:r>
        <w:rPr>
          <w:rFonts w:ascii="Times New Roman" w:hAnsi="Times New Roman"/>
          <w:sz w:val="20"/>
        </w:rPr>
        <w:t>Managing Partner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5" w:name="PGBRK24"/>
      <w:bookmarkStart w:id="336" w:name="PGBRK24"/>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7" w:name="FTR24"/>
      <w:bookmarkStart w:id="338" w:name="FTR24"/>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9" w:name="GLFTR24"/>
      <w:bookmarkEnd w:id="3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0" w:name="PN24"/>
      <w:bookmarkEnd w:id="340"/>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1" w:name="HDR24"/>
      <w:bookmarkStart w:id="342" w:name="HDR24"/>
      <w:bookmarkEnd w:id="3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3" w:name="GLHDR24"/>
      <w:bookmarkEnd w:id="3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right"/>
        <w:rPr>
          <w:rFonts w:ascii="Times New Roman" w:hAnsi="Times New Roman"/>
          <w:sz w:val="20"/>
        </w:rPr>
      </w:pPr>
      <w:r>
        <w:rPr>
          <w:rFonts w:ascii="Times New Roman" w:hAnsi="Times New Roman"/>
          <w:sz w:val="20"/>
        </w:rPr>
        <w:t>EXHIBIT C</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SILICON VALLEY BANK</w:t>
      </w:r>
    </w:p>
    <w:p>
      <w:pPr>
        <w:pStyle w:val="TextBody"/>
        <w:spacing w:before="0" w:after="0"/>
        <w:ind w:left="0" w:right="0" w:hanging="0"/>
        <w:jc w:val="center"/>
        <w:rPr>
          <w:rFonts w:ascii="Times New Roman" w:hAnsi="Times New Roman"/>
          <w:sz w:val="20"/>
        </w:rPr>
      </w:pPr>
      <w:r>
        <w:rPr>
          <w:rFonts w:ascii="Times New Roman" w:hAnsi="Times New Roman"/>
          <w:sz w:val="20"/>
        </w:rPr>
        <w:t>WIRE TRANSFER INSTRUCTIONS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information is provided to assist clients in routing wire transfers TO Silicon Valley Bank in the most expeditious manner.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For all incoming foreign currency wires, please contact our International Department at (408)654-7774 for settlement instructions.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DOMESTIC WIRE TRANSFER: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Instruct the paying financial institution or the payor to route all domestic wire transfers via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FEDWIRE to the following ABA number:</w:t>
      </w:r>
    </w:p>
    <w:p>
      <w:pPr>
        <w:pStyle w:val="TextBody"/>
        <w:spacing w:before="0" w:after="0"/>
        <w:ind w:left="0" w:right="0" w:hanging="0"/>
        <w:jc w:val="left"/>
        <w:rPr>
          <w:rFonts w:ascii="Times New Roman" w:hAnsi="Times New Roman"/>
          <w:sz w:val="20"/>
        </w:rPr>
      </w:pPr>
      <w:r>
        <w:rPr>
          <w:rFonts w:ascii="Times New Roman" w:hAnsi="Times New Roman"/>
          <w:sz w:val="20"/>
        </w:rPr>
        <w:t>TO: SIL VLY BK SJ</w:t>
      </w:r>
    </w:p>
    <w:p>
      <w:pPr>
        <w:pStyle w:val="TextBody"/>
        <w:spacing w:before="0" w:after="0"/>
        <w:ind w:left="0" w:right="0" w:hanging="0"/>
        <w:jc w:val="left"/>
        <w:rPr>
          <w:rFonts w:ascii="Times New Roman" w:hAnsi="Times New Roman"/>
          <w:sz w:val="20"/>
        </w:rPr>
      </w:pPr>
      <w:r>
        <w:rPr>
          <w:rFonts w:ascii="Times New Roman" w:hAnsi="Times New Roman"/>
          <w:sz w:val="20"/>
        </w:rPr>
        <w:t>ROUTING &amp; TRANSIT #: 121140399</w:t>
      </w:r>
    </w:p>
    <w:p>
      <w:pPr>
        <w:pStyle w:val="TextBody"/>
        <w:spacing w:before="0" w:after="0"/>
        <w:ind w:left="0" w:right="0" w:hanging="0"/>
        <w:jc w:val="left"/>
        <w:rPr>
          <w:rFonts w:ascii="Times New Roman" w:hAnsi="Times New Roman"/>
          <w:sz w:val="20"/>
        </w:rPr>
      </w:pPr>
      <w:r>
        <w:rPr>
          <w:rFonts w:ascii="Times New Roman" w:hAnsi="Times New Roman"/>
          <w:sz w:val="20"/>
        </w:rPr>
        <w:t>FOR CREDIT OF: VistaGen Therapeutics Inc.</w:t>
      </w:r>
    </w:p>
    <w:p>
      <w:pPr>
        <w:pStyle w:val="TextBody"/>
        <w:spacing w:before="0" w:after="0"/>
        <w:ind w:left="0" w:right="0" w:hanging="0"/>
        <w:jc w:val="left"/>
        <w:rPr>
          <w:rFonts w:ascii="Times New Roman" w:hAnsi="Times New Roman"/>
          <w:sz w:val="20"/>
        </w:rPr>
      </w:pPr>
      <w:r>
        <w:rPr>
          <w:rFonts w:ascii="Times New Roman" w:hAnsi="Times New Roman"/>
          <w:sz w:val="20"/>
        </w:rPr>
        <w:t>CREDIT ACCOUNT #: 3300101426</w:t>
      </w:r>
    </w:p>
    <w:p>
      <w:pPr>
        <w:pStyle w:val="TextBody"/>
        <w:spacing w:before="0" w:after="0"/>
        <w:ind w:left="0" w:right="0" w:hanging="0"/>
        <w:jc w:val="left"/>
        <w:rPr>
          <w:rFonts w:ascii="Times New Roman" w:hAnsi="Times New Roman"/>
          <w:sz w:val="20"/>
        </w:rPr>
      </w:pPr>
      <w:r>
        <w:rPr>
          <w:rFonts w:ascii="Times New Roman" w:hAnsi="Times New Roman"/>
          <w:sz w:val="20"/>
        </w:rPr>
        <w:t>BY ORDER OF: [NAME OF SENDER]</w:t>
      </w:r>
    </w:p>
    <w:p>
      <w:pPr>
        <w:pStyle w:val="TextBody"/>
        <w:spacing w:before="0" w:after="0"/>
        <w:ind w:left="0" w:right="0" w:hanging="0"/>
        <w:jc w:val="left"/>
        <w:rPr>
          <w:rFonts w:ascii="Times New Roman" w:hAnsi="Times New Roman"/>
          <w:sz w:val="20"/>
        </w:rPr>
      </w:pPr>
      <w:r>
        <w:rPr>
          <w:rFonts w:ascii="Times New Roman" w:hAnsi="Times New Roman"/>
          <w:sz w:val="20"/>
        </w:rPr>
        <w:t>INTERNATIONAL WIRE TRANSFER: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Instruct the paying financial institution to advise their U.S. correspondent to pay as follows: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PAY TO: FC - SILICON VALLEY BANK</w:t>
      </w:r>
    </w:p>
    <w:p>
      <w:pPr>
        <w:pStyle w:val="TextBody"/>
        <w:spacing w:before="0" w:after="0"/>
        <w:ind w:left="0" w:right="0" w:hanging="0"/>
        <w:jc w:val="left"/>
        <w:rPr>
          <w:rFonts w:ascii="Times New Roman" w:hAnsi="Times New Roman"/>
          <w:sz w:val="20"/>
        </w:rPr>
      </w:pPr>
      <w:r>
        <w:rPr>
          <w:rFonts w:ascii="Times New Roman" w:hAnsi="Times New Roman"/>
          <w:sz w:val="20"/>
        </w:rPr>
        <w:t>3003 TASMAN DRIVE</w:t>
      </w:r>
    </w:p>
    <w:p>
      <w:pPr>
        <w:pStyle w:val="TextBody"/>
        <w:spacing w:before="0" w:after="0"/>
        <w:ind w:left="0" w:right="0" w:hanging="0"/>
        <w:jc w:val="left"/>
        <w:rPr>
          <w:rFonts w:ascii="Times New Roman" w:hAnsi="Times New Roman"/>
          <w:sz w:val="20"/>
        </w:rPr>
      </w:pPr>
      <w:r>
        <w:rPr>
          <w:rFonts w:ascii="Times New Roman" w:hAnsi="Times New Roman"/>
          <w:sz w:val="20"/>
        </w:rPr>
        <w:t>SANTA CLARA, CA 95054, USA</w:t>
      </w:r>
    </w:p>
    <w:p>
      <w:pPr>
        <w:pStyle w:val="TextBody"/>
        <w:spacing w:before="0" w:after="0"/>
        <w:ind w:left="0" w:right="0" w:hanging="0"/>
        <w:jc w:val="left"/>
        <w:rPr>
          <w:rFonts w:ascii="Times New Roman" w:hAnsi="Times New Roman"/>
          <w:sz w:val="20"/>
        </w:rPr>
      </w:pPr>
      <w:r>
        <w:rPr>
          <w:rFonts w:ascii="Times New Roman" w:hAnsi="Times New Roman"/>
          <w:sz w:val="20"/>
        </w:rPr>
        <w:t>ROUTING &amp; TRANSIT #: \\FW:121140399</w:t>
      </w:r>
    </w:p>
    <w:p>
      <w:pPr>
        <w:pStyle w:val="TextBody"/>
        <w:spacing w:before="0" w:after="0"/>
        <w:ind w:left="0" w:right="0" w:hanging="0"/>
        <w:jc w:val="left"/>
        <w:rPr>
          <w:rFonts w:ascii="Times New Roman" w:hAnsi="Times New Roman"/>
          <w:sz w:val="20"/>
        </w:rPr>
      </w:pPr>
      <w:r>
        <w:rPr>
          <w:rFonts w:ascii="Times New Roman" w:hAnsi="Times New Roman"/>
          <w:sz w:val="20"/>
        </w:rPr>
        <w:t>SWIFT CODE SVBKUS6S</w:t>
      </w:r>
    </w:p>
    <w:p>
      <w:pPr>
        <w:pStyle w:val="TextBody"/>
        <w:spacing w:before="0" w:after="0"/>
        <w:ind w:left="0" w:right="0" w:hanging="0"/>
        <w:jc w:val="left"/>
        <w:rPr>
          <w:rFonts w:ascii="Times New Roman" w:hAnsi="Times New Roman"/>
          <w:sz w:val="20"/>
        </w:rPr>
      </w:pPr>
      <w:r>
        <w:rPr>
          <w:rFonts w:ascii="Times New Roman" w:hAnsi="Times New Roman"/>
          <w:sz w:val="20"/>
        </w:rPr>
        <w:t>FOR CREDIT OF: VistaGen Therapeutics Inc.</w:t>
      </w:r>
    </w:p>
    <w:p>
      <w:pPr>
        <w:pStyle w:val="TextBody"/>
        <w:spacing w:before="0" w:after="0"/>
        <w:ind w:left="0" w:right="0" w:hanging="0"/>
        <w:jc w:val="left"/>
        <w:rPr>
          <w:rFonts w:ascii="Times New Roman" w:hAnsi="Times New Roman"/>
          <w:sz w:val="20"/>
        </w:rPr>
      </w:pPr>
      <w:r>
        <w:rPr>
          <w:rFonts w:ascii="Times New Roman" w:hAnsi="Times New Roman"/>
          <w:sz w:val="20"/>
        </w:rPr>
        <w:t>FINAL CREDIT ACCOUNT #: 3300101426</w:t>
      </w:r>
    </w:p>
    <w:p>
      <w:pPr>
        <w:pStyle w:val="TextBody"/>
        <w:spacing w:before="0" w:after="0"/>
        <w:ind w:left="0" w:right="0" w:hanging="0"/>
        <w:jc w:val="left"/>
        <w:rPr>
          <w:rFonts w:ascii="Times New Roman" w:hAnsi="Times New Roman"/>
          <w:sz w:val="20"/>
        </w:rPr>
      </w:pPr>
      <w:r>
        <w:rPr>
          <w:rFonts w:ascii="Times New Roman" w:hAnsi="Times New Roman"/>
          <w:sz w:val="20"/>
        </w:rPr>
        <w:t>BY ORDER OF: [NAME OF SENDER]</w:t>
      </w:r>
    </w:p>
    <w:p>
      <w:pPr>
        <w:pStyle w:val="TextBody"/>
        <w:spacing w:before="0" w:after="0"/>
        <w:ind w:left="0" w:right="0" w:hanging="0"/>
        <w:jc w:val="left"/>
        <w:rPr>
          <w:rFonts w:ascii="Times New Roman" w:hAnsi="Times New Roman"/>
          <w:sz w:val="20"/>
        </w:rPr>
      </w:pPr>
      <w:r>
        <w:rPr>
          <w:rFonts w:ascii="Times New Roman" w:hAnsi="Times New Roman"/>
          <w:sz w:val="20"/>
        </w:rPr>
        <w:t>IMPORTANT!!!!</w:t>
      </w:r>
    </w:p>
    <w:p>
      <w:pPr>
        <w:pStyle w:val="TextBody"/>
        <w:spacing w:before="0" w:after="0"/>
        <w:ind w:left="0" w:right="0" w:hanging="0"/>
        <w:rPr/>
      </w:pPr>
      <w:r>
        <w:rPr/>
      </w:r>
    </w:p>
    <w:p>
      <w:pPr>
        <w:pStyle w:val="TextBody"/>
        <w:ind w:left="0" w:right="0" w:hanging="0"/>
        <w:jc w:val="left"/>
        <w:rPr>
          <w:rFonts w:ascii="Times New Roman" w:hAnsi="Times New Roman"/>
          <w:sz w:val="20"/>
        </w:rPr>
      </w:pPr>
      <w:r>
        <w:rPr>
          <w:rFonts w:ascii="Times New Roman" w:hAnsi="Times New Roman"/>
          <w:sz w:val="20"/>
        </w:rPr>
        <w:t>Wire instructions MUST designate your FULL TEN DIGIT ACCOUNT NUMBER. Wires received by Silicon Valley Bank with INCOMPLETE or INVALID ACCOUNT NUMBERS may be delayed and could possibly require return to the sending bank due to new regulations.</w:t>
      </w:r>
      <w:r>
        <w:br w:type="page"/>
      </w:r>
    </w:p>
    <w:p>
      <w:pPr>
        <w:pStyle w:val="TextBody"/>
        <w:spacing w:before="0" w:after="0"/>
        <w:ind w:left="0" w:right="0" w:hanging="0"/>
        <w:jc w:val="right"/>
        <w:rPr>
          <w:rFonts w:ascii="Times New Roman" w:hAnsi="Times New Roman"/>
          <w:b/>
          <w:sz w:val="20"/>
        </w:rPr>
      </w:pPr>
      <w:bookmarkStart w:id="344" w:name="ex10-2.htm"/>
      <w:bookmarkStart w:id="345" w:name="ksex102"/>
      <w:bookmarkEnd w:id="344"/>
      <w:bookmarkEnd w:id="345"/>
      <w:r>
        <w:rPr>
          <w:rFonts w:ascii="Times New Roman" w:hAnsi="Times New Roman"/>
          <w:b/>
          <w:sz w:val="20"/>
        </w:rPr>
        <w:t>Exhibit 10.2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VOTING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Voting Agreement (the “</w:t>
      </w:r>
      <w:r>
        <w:rPr>
          <w:rFonts w:ascii="Times New Roman" w:hAnsi="Times New Roman"/>
          <w:i/>
          <w:sz w:val="20"/>
        </w:rPr>
        <w:t>Agreement</w:t>
      </w:r>
      <w:r>
        <w:rPr>
          <w:rFonts w:ascii="Times New Roman" w:hAnsi="Times New Roman"/>
          <w:sz w:val="20"/>
        </w:rPr>
        <w:t>”) is made and entered into as of this 8th day of April, 2013, by and among VistaGen Therapeutics, Inc.</w:t>
      </w:r>
      <w:r>
        <w:rPr>
          <w:rFonts w:ascii="Times New Roman" w:hAnsi="Times New Roman"/>
          <w:smallCaps/>
          <w:sz w:val="20"/>
        </w:rPr>
        <w:t> </w:t>
      </w:r>
      <w:r>
        <w:rPr>
          <w:rFonts w:ascii="Times New Roman" w:hAnsi="Times New Roman"/>
          <w:sz w:val="20"/>
        </w:rPr>
        <w:t>(the “</w:t>
      </w:r>
      <w:r>
        <w:rPr>
          <w:rFonts w:ascii="Times New Roman" w:hAnsi="Times New Roman"/>
          <w:i/>
          <w:sz w:val="20"/>
        </w:rPr>
        <w:t>Company</w:t>
      </w:r>
      <w:r>
        <w:rPr>
          <w:rFonts w:ascii="Times New Roman" w:hAnsi="Times New Roman"/>
          <w:sz w:val="20"/>
        </w:rPr>
        <w:t>”), and Autilion AG (the “</w:t>
      </w:r>
      <w:r>
        <w:rPr>
          <w:rFonts w:ascii="Times New Roman" w:hAnsi="Times New Roman"/>
          <w:i/>
          <w:sz w:val="20"/>
        </w:rPr>
        <w:t>Investor</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mallCaps/>
          <w:sz w:val="20"/>
        </w:rPr>
      </w:pPr>
      <w:r>
        <w:rPr>
          <w:rFonts w:ascii="Times New Roman" w:hAnsi="Times New Roman"/>
          <w:b/>
          <w:smallCaps/>
          <w:sz w:val="20"/>
        </w:rPr>
        <w:t>RECITALS</w:t>
      </w:r>
    </w:p>
    <w:p>
      <w:pPr>
        <w:pStyle w:val="TextBody"/>
        <w:spacing w:before="0" w:after="0"/>
        <w:ind w:left="0" w:right="0" w:hanging="0"/>
        <w:jc w:val="both"/>
        <w:rPr/>
      </w:pPr>
      <w:r>
        <w:rPr/>
        <w:t> </w:t>
      </w:r>
    </w:p>
    <w:p>
      <w:pPr>
        <w:pStyle w:val="TextBody"/>
        <w:spacing w:before="0" w:after="0"/>
        <w:ind w:left="0" w:right="0" w:firstLine="720"/>
        <w:jc w:val="both"/>
        <w:rPr/>
      </w:pPr>
      <w:r>
        <w:rPr>
          <w:smallCaps/>
        </w:rPr>
        <w:t> </w:t>
      </w:r>
      <w:r>
        <w:rPr>
          <w:rFonts w:ascii="Times New Roman" w:hAnsi="Times New Roman"/>
          <w:b/>
          <w:sz w:val="20"/>
        </w:rPr>
        <w:t>WHEREAS,</w:t>
      </w:r>
      <w:r>
        <w:rPr>
          <w:rFonts w:ascii="Times New Roman" w:hAnsi="Times New Roman"/>
          <w:sz w:val="20"/>
        </w:rPr>
        <w:t xml:space="preserve"> the Investor and the Company are parties to a Securities Purchase Agreement, dated as of the date hereof (the “</w:t>
      </w:r>
      <w:r>
        <w:rPr>
          <w:rFonts w:ascii="Times New Roman" w:hAnsi="Times New Roman"/>
          <w:i/>
          <w:sz w:val="20"/>
        </w:rPr>
        <w:t>Purchase Agreement</w:t>
      </w:r>
      <w:r>
        <w:rPr>
          <w:rFonts w:ascii="Times New Roman" w:hAnsi="Times New Roman"/>
          <w:sz w:val="20"/>
        </w:rPr>
        <w:t>”), pursuant to which the Investor intends to purchase 72.0 million shares of common stock of the Company for consideration of $36,000,000 (the “</w:t>
      </w:r>
      <w:r>
        <w:rPr>
          <w:rFonts w:ascii="Times New Roman" w:hAnsi="Times New Roman"/>
          <w:i/>
          <w:sz w:val="20"/>
        </w:rPr>
        <w:t>Financing</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the obligations in the Purchase Agreement are conditioned upon the execution and delivery of this Agreement; and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in connection with the consummation of the Financing, the Company and the Investor have agreed to provide for the future voting of Investor’s shares of the Company’s capital stock as set forth below.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NOW THEREFORE</w:t>
      </w:r>
      <w:r>
        <w:rPr>
          <w:rFonts w:ascii="Times New Roman" w:hAnsi="Times New Roman"/>
          <w:sz w:val="20"/>
        </w:rPr>
        <w:t>, in consideration of these premises and for other good and valuable consideration, the receipt and sufficiency of which are hereby acknowledged, the parties hereto agree as follows: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AGREEMENT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46" w:name="list6"/>
      <w:bookmarkStart w:id="347" w:name="list6"/>
      <w:bookmarkEnd w:id="347"/>
    </w:p>
    <w:tbl>
      <w:tblPr>
        <w:tblW w:w="5000" w:type="pct"/>
        <w:jc w:val="left"/>
        <w:tblInd w:w="0" w:type="dxa"/>
        <w:tblCellMar>
          <w:top w:w="0" w:type="dxa"/>
          <w:left w:w="0" w:type="dxa"/>
          <w:bottom w:w="0" w:type="dxa"/>
          <w:right w:w="0" w:type="dxa"/>
        </w:tblCellMar>
      </w:tblPr>
      <w:tblGrid>
        <w:gridCol w:w="2574"/>
        <w:gridCol w:w="7631"/>
      </w:tblGrid>
      <w:tr>
        <w:trPr/>
        <w:tc>
          <w:tcPr>
            <w:tcW w:w="257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1.  </w:t>
            </w:r>
          </w:p>
        </w:tc>
        <w:tc>
          <w:tcPr>
            <w:tcW w:w="763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VOTING</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1.1</w:t>
      </w:r>
      <w:bookmarkStart w:id="348" w:name="TAB294"/>
      <w:bookmarkEnd w:id="348"/>
      <w:r>
        <w:rPr>
          <w:color w:val="000000"/>
          <w:spacing w:val="180"/>
        </w:rPr>
        <w:t> </w:t>
      </w:r>
      <w:r>
        <w:rPr>
          <w:rFonts w:ascii="Times New Roman" w:hAnsi="Times New Roman"/>
          <w:b/>
          <w:sz w:val="20"/>
        </w:rPr>
        <w:t>Investor Shares.  </w:t>
      </w:r>
      <w:r>
        <w:rPr>
          <w:rFonts w:ascii="Times New Roman" w:hAnsi="Times New Roman"/>
          <w:sz w:val="20"/>
        </w:rPr>
        <w:t>The Investor agrees to hold all shares of voting capital stock of the Company registered in its name or beneficially owned by it as of the date hereof and any and all other securities of the Company legally or beneficially acquired by the Investor after the date hereof (hereinafter collectively referred to as the “</w:t>
      </w:r>
      <w:r>
        <w:rPr>
          <w:rFonts w:ascii="Times New Roman" w:hAnsi="Times New Roman"/>
          <w:i/>
          <w:sz w:val="20"/>
        </w:rPr>
        <w:t>Investor Shares</w:t>
      </w:r>
      <w:r>
        <w:rPr>
          <w:rFonts w:ascii="Times New Roman" w:hAnsi="Times New Roman"/>
          <w:sz w:val="20"/>
        </w:rPr>
        <w:t>”) subject to, and to vote the Investor Shares in accordance with, the provisions of this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1.2</w:t>
      </w:r>
      <w:bookmarkStart w:id="349" w:name="TAB295"/>
      <w:bookmarkEnd w:id="349"/>
      <w:r>
        <w:rPr>
          <w:color w:val="000000"/>
          <w:spacing w:val="180"/>
        </w:rPr>
        <w:t> </w:t>
      </w:r>
      <w:r>
        <w:rPr>
          <w:rFonts w:ascii="Times New Roman" w:hAnsi="Times New Roman"/>
          <w:b/>
          <w:sz w:val="20"/>
        </w:rPr>
        <w:t>Election of Directors.</w:t>
      </w:r>
      <w:r>
        <w:rPr>
          <w:rFonts w:ascii="Times New Roman" w:hAnsi="Times New Roman"/>
          <w:sz w:val="20"/>
        </w:rPr>
        <w:t>  On all matters relating to the election and removal of directors of the Company, the Investor agrees to vote all Investor Shares held by it (or the Investor shall consent pursuant to an action by written consent of the holders of capital stock of the Company) consistent with the recommendation of a majority of the members of the board of directors of the Company (the “</w:t>
      </w:r>
      <w:r>
        <w:rPr>
          <w:rFonts w:ascii="Times New Roman" w:hAnsi="Times New Roman"/>
          <w:i/>
          <w:sz w:val="20"/>
        </w:rPr>
        <w:t>Board</w:t>
      </w:r>
      <w:r>
        <w:rPr>
          <w:rFonts w:ascii="Times New Roman" w:hAnsi="Times New Roman"/>
          <w:sz w:val="20"/>
        </w:rPr>
        <w:t>”). Any vote taken to remove any director elected pursuant to this Section 1.2 or to fill any vacancy created by the resignation, removal or death of a director elected pursuant to this Section 1.2, shall also be subject to the provisions of this Section 1.2.</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1.3</w:t>
      </w:r>
      <w:bookmarkStart w:id="350" w:name="TAB296"/>
      <w:bookmarkEnd w:id="350"/>
      <w:r>
        <w:rPr>
          <w:color w:val="000000"/>
          <w:spacing w:val="180"/>
        </w:rPr>
        <w:t> </w:t>
      </w:r>
      <w:r>
        <w:rPr>
          <w:rFonts w:ascii="Times New Roman" w:hAnsi="Times New Roman"/>
          <w:b/>
          <w:sz w:val="20"/>
        </w:rPr>
        <w:t>No Liability for Election of Recommended Director.  </w:t>
      </w:r>
      <w:r>
        <w:rPr>
          <w:rFonts w:ascii="Times New Roman" w:hAnsi="Times New Roman"/>
          <w:sz w:val="20"/>
        </w:rPr>
        <w:t>Neither the Investor nor any officer, director, stockholder, partner, employee or agent of Investor makes any representation or warranty as to the fitness or competence of the nominee of any party hereunder to serve on the Board by virtue of Investor’s execution of this Agreement or by the act of Investor in voting for such nominee pursuant to this Agreement.</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1.4</w:t>
      </w:r>
      <w:bookmarkStart w:id="351" w:name="TAB297"/>
      <w:bookmarkEnd w:id="351"/>
      <w:r>
        <w:rPr>
          <w:color w:val="000000"/>
          <w:spacing w:val="180"/>
        </w:rPr>
        <w:t> </w:t>
      </w:r>
      <w:r>
        <w:rPr>
          <w:rFonts w:ascii="Times New Roman" w:hAnsi="Times New Roman"/>
          <w:b/>
          <w:sz w:val="20"/>
        </w:rPr>
        <w:t>Legend.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(a)</w:t>
      </w:r>
      <w:bookmarkStart w:id="352" w:name="TAB298"/>
      <w:bookmarkEnd w:id="352"/>
      <w:r>
        <w:rPr>
          <w:color w:val="000000"/>
          <w:spacing w:val="180"/>
        </w:rPr>
        <w:t> </w:t>
      </w:r>
      <w:r>
        <w:rPr>
          <w:rFonts w:ascii="Times New Roman" w:hAnsi="Times New Roman"/>
          <w:sz w:val="20"/>
        </w:rPr>
        <w:t>Concurrently with the execution of this Agreement, there shall be imprinted or otherwise placed, on certificates representing the Investor Shares the following restrictive legend (the “</w:t>
      </w:r>
      <w:r>
        <w:rPr>
          <w:rFonts w:ascii="Times New Roman" w:hAnsi="Times New Roman"/>
          <w:i/>
          <w:sz w:val="20"/>
        </w:rPr>
        <w:t>Legend</w:t>
      </w:r>
      <w:r>
        <w:rPr>
          <w:rFonts w:ascii="Times New Roman" w:hAnsi="Times New Roman"/>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3" w:name="PGBRK25"/>
      <w:bookmarkStart w:id="354" w:name="PGBRK25"/>
      <w:bookmarkEnd w:id="3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5" w:name="FTR25"/>
      <w:bookmarkStart w:id="356" w:name="FTR25"/>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7" w:name="GLFTR25"/>
      <w:bookmarkEnd w:id="3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8" w:name="PN25"/>
      <w:bookmarkEnd w:id="358"/>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9" w:name="HDR25"/>
      <w:bookmarkStart w:id="360" w:name="HDR25"/>
      <w:bookmarkEnd w:id="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1" w:name="GLHDR25"/>
      <w:bookmarkEnd w:id="3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1440" w:right="720" w:hanging="0"/>
        <w:jc w:val="both"/>
        <w:rPr/>
      </w:pPr>
      <w:r>
        <w:rPr/>
        <w:t>“</w:t>
      </w:r>
      <w:r>
        <w:rPr>
          <w:rFonts w:ascii="Times New Roman" w:hAnsi="Times New Roman"/>
          <w:sz w:val="20"/>
        </w:rPr>
        <w:t>THE SHARES REPRESENTED BY THIS CERTIFICATE ARE SUBJECT TO THE TERMS AND CONDITIONS OF A VOTING AGREEMENT WHICH PLACES CERTAIN RESTRICTIONS ON THE VOTING OF THE SHARES REPRESENTED HEREBY.  ANY PERSON ACCEPTING ANY INTEREST IN SUCH SHARES SHALL BE DEEMED TO AGREE TO AND SHALL BECOME BOUND BY ALL THE PROVISIONS OF SUCH AGREEMENT.  A COPY OF SUCH VOTING AGREEMENT WILL BE FURNISHED TO THE RECORD HOLDER OF THIS CERTIFICATE WITHOUT CHARGE UPON WRITTEN REQUEST TO THE COMPANY AT ITS PRINCIPAL PLACE OF BUSINESS.”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(b)</w:t>
      </w:r>
      <w:bookmarkStart w:id="362" w:name="TAB299"/>
      <w:bookmarkEnd w:id="362"/>
      <w:r>
        <w:rPr>
          <w:color w:val="000000"/>
          <w:spacing w:val="180"/>
        </w:rPr>
        <w:t> </w:t>
      </w:r>
      <w:r>
        <w:rPr>
          <w:rFonts w:ascii="Times New Roman" w:hAnsi="Times New Roman"/>
          <w:sz w:val="20"/>
        </w:rPr>
        <w:t>The Company agrees that, during the term of this Agreement, it will not remove, and will not permit to be removed (upon registration of transfer, reissuance or otherwise), the Legend from any such certificate and will place or cause to be placed the Legend on any new certificate issued to represent Investor Shares theretofore represented by a certificate carrying the Legend.  If at any time or from time to time the Investor holds any certificate representing shares of the Company’s capital stock not bearing the aforementioned legend, the Investor agrees to deliver such certificate to the Company promptly to have such legend placed on such certificate.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1.5</w:t>
      </w:r>
      <w:bookmarkStart w:id="363" w:name="TAB2100"/>
      <w:bookmarkEnd w:id="363"/>
      <w:r>
        <w:rPr>
          <w:color w:val="000000"/>
          <w:spacing w:val="180"/>
        </w:rPr>
        <w:t> </w:t>
      </w:r>
      <w:r>
        <w:rPr>
          <w:rFonts w:ascii="Times New Roman" w:hAnsi="Times New Roman"/>
          <w:b/>
          <w:sz w:val="20"/>
        </w:rPr>
        <w:t>Successors.</w:t>
      </w:r>
      <w:r>
        <w:rPr>
          <w:rFonts w:ascii="Times New Roman" w:hAnsi="Times New Roman"/>
          <w:sz w:val="20"/>
        </w:rPr>
        <w:t>  The provisions of this Agreement shall be binding upon the successors in interest to any of the Investor Shares.  The Company shall not permit the transfer of any of the Investor Shares on its books or issue a new certificate representing any of the Investor Shares unless and until the person to whom such security is to be transferred shall have executed a written agreement, substantially in the form of this Agreement, pursuant to which such person becomes a party to this Agreement and agrees to be bound by all the provisions hereof as if such person were an Investor.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1.6</w:t>
      </w:r>
      <w:bookmarkStart w:id="364" w:name="TAB2101"/>
      <w:bookmarkEnd w:id="364"/>
      <w:r>
        <w:rPr>
          <w:color w:val="000000"/>
          <w:spacing w:val="180"/>
        </w:rPr>
        <w:t> </w:t>
      </w:r>
      <w:r>
        <w:rPr>
          <w:rFonts w:ascii="Times New Roman" w:hAnsi="Times New Roman"/>
          <w:b/>
          <w:sz w:val="20"/>
        </w:rPr>
        <w:t>Other Rights.</w:t>
      </w:r>
      <w:r>
        <w:rPr>
          <w:rFonts w:ascii="Times New Roman" w:hAnsi="Times New Roman"/>
          <w:sz w:val="20"/>
        </w:rPr>
        <w:t>  Except as provided by this Agreement or any other agreement entered into in connection with the Financing, the Investor shall exercise the full rights of a holder of capital stock of the Company with respect to the Investor Shares.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1.7</w:t>
      </w:r>
      <w:bookmarkStart w:id="365" w:name="TAB2102"/>
      <w:bookmarkEnd w:id="365"/>
      <w:r>
        <w:rPr>
          <w:color w:val="000000"/>
          <w:spacing w:val="180"/>
        </w:rPr>
        <w:t> </w:t>
      </w:r>
      <w:r>
        <w:rPr>
          <w:rFonts w:ascii="Times New Roman" w:hAnsi="Times New Roman"/>
          <w:b/>
          <w:sz w:val="20"/>
        </w:rPr>
        <w:t>Extraordinary Transactions.</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366" w:name="TAB17"/>
      <w:bookmarkEnd w:id="366"/>
      <w:r>
        <w:rPr>
          <w:rFonts w:ascii="Times New Roman" w:hAnsi="Times New Roman"/>
          <w:b/>
          <w:sz w:val="20"/>
        </w:rPr>
        <w:t>(a)</w:t>
      </w:r>
      <w:r>
        <w:rPr>
          <w:rFonts w:ascii="Times New Roman" w:hAnsi="Times New Roman"/>
          <w:sz w:val="20"/>
        </w:rPr>
        <w:t>           In the event that a Change in Control of the Company, as defined below in this Section 1.7, or a material or extraordinary transaction outside of the ordinary course of the Company’s business, is approved by (i) a majority of the Board, including the Purchaser Designee, as such term is defined in Section 5.12 of the Purchase Agreement; and (ii) the holders of a majority of the outstanding shares of Common Stock and other voting securities of the Company, if any, in each case held by stockholders unaffiliated with the Investor (together, the “</w:t>
      </w:r>
      <w:r>
        <w:rPr>
          <w:rFonts w:ascii="Times New Roman" w:hAnsi="Times New Roman"/>
          <w:i/>
          <w:sz w:val="20"/>
        </w:rPr>
        <w:t>Requisite Holders</w:t>
      </w:r>
      <w:r>
        <w:rPr>
          <w:rFonts w:ascii="Times New Roman" w:hAnsi="Times New Roman"/>
          <w:sz w:val="20"/>
        </w:rPr>
        <w:t>”) (an “</w:t>
      </w:r>
      <w:r>
        <w:rPr>
          <w:rFonts w:ascii="Times New Roman" w:hAnsi="Times New Roman"/>
          <w:i/>
          <w:sz w:val="20"/>
        </w:rPr>
        <w:t>Approved Transaction</w:t>
      </w:r>
      <w:r>
        <w:rPr>
          <w:rFonts w:ascii="Times New Roman" w:hAnsi="Times New Roman"/>
          <w:sz w:val="20"/>
        </w:rPr>
        <w:t>”), the Investor agrees to be present, in person or by proxy, at all meetings for the vote thereon, to vote all shares of capital stock held by such person for, or in connection with any solicitation of written consents from the stockholders of the Company, and raise no objections to such Approved Transaction, and to waive and refrain from exercising any dissenters rights, appraisal rights or similar rights in connection with such Change in Control; or if the Approved Transaction is structured as a sale of the stock of the Company, the Investor shall agree to sell its Investor Shares on the terms and conditions approved by the Requisite Holders; provided in each case that (A) the terms of the Approved Transaction do not provide that the Investor would receive as a result of such Approved Transaction less than the amount that would be distributed to such Investor in the event the proceeds of such Approved Transaction were distributed in accordance with the liquidation preferences set forth in the Company’s Certificate of Incorporation and (B) under the agreements related to the Approved Transaction, any liability of a Investor for indemnification is pro rata in accordance with the relative gross amount of consideration payable to such Investor,  in such Approved Transaction and does not exceed the consideration actually received by the Investor, if any, in such Approved Transaction.  Subject to the foregoing, the Investor shall take all necessary and desirable actions approved by a majority of the members of the Board and/or the Requisite Holders in connection with the consummation of the Approved Transaction, including the execution of such agreements and such instruments and other actions reasonably necessary to (1) provide the representations, warranties, indemnities, covenants, conditions, non-compete agreements, escrow agreements and other provisions and agreements relating to such Approved Transaction and (2) effectuate the allocation and distribution of the aggregate consideration upon the Approved Transaction.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7" w:name="PGBRK26"/>
      <w:bookmarkStart w:id="368" w:name="PGBRK26"/>
      <w:bookmarkEnd w:id="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9" w:name="FTR26"/>
      <w:bookmarkStart w:id="370" w:name="FTR26"/>
      <w:bookmarkEnd w:id="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1" w:name="GLFTR26"/>
      <w:bookmarkEnd w:id="3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2" w:name="PN26"/>
      <w:bookmarkEnd w:id="372"/>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3" w:name="HDR26"/>
      <w:bookmarkStart w:id="374" w:name="HDR26"/>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5" w:name="GLHDR26"/>
      <w:bookmarkEnd w:id="3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376" w:name="TAB18"/>
      <w:bookmarkEnd w:id="376"/>
      <w:r>
        <w:rPr>
          <w:rFonts w:ascii="Times New Roman" w:hAnsi="Times New Roman"/>
          <w:b/>
          <w:sz w:val="20"/>
        </w:rPr>
        <w:t>(b)</w:t>
      </w:r>
      <w:r>
        <w:rPr>
          <w:rFonts w:ascii="Times New Roman" w:hAnsi="Times New Roman"/>
          <w:sz w:val="20"/>
        </w:rPr>
        <w:t>           For purposes of this Section 1.7, a “</w:t>
      </w:r>
      <w:r>
        <w:rPr>
          <w:rFonts w:ascii="Times New Roman" w:hAnsi="Times New Roman"/>
          <w:i/>
          <w:sz w:val="20"/>
        </w:rPr>
        <w:t>Change in Control</w:t>
      </w:r>
      <w:r>
        <w:rPr>
          <w:rFonts w:ascii="Times New Roman" w:hAnsi="Times New Roman"/>
          <w:sz w:val="20"/>
        </w:rPr>
        <w:t>” shall mean any of the following:  (i) a sale of all or substantially all of the assets of the Company; (ii) the sale or other issuance in voting capital stock of the Company, or securities convertible into voting capital stock of the Company, resulting in more than fifty percent (50%) of the combined voting power of the voting securities of the Company or such surviving entity outstanding immediately after such sale or issuance; (iii) consummation of a merger or consolidation of the Company with any corporation or other entity,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combined voting power of the voting securities of the Company or such surviving entity outstanding immediately after such merger or consolidation; (iv) a change in ownership of the Company through a transaction or series of transactions, such that any person or entity is or becomes the Beneficial Owner (as defined in Rule 13d-3 under the Exchange Act), directly or indirectly, of securities of the Company representing fifty percent (50%) or more of securities of the combined voting power of the Company’s then outstanding securities; provided that, for such purposes, any acquisition by the Company, in exchange for the Company’s securities, shall be disregarded; or (v) the Board (or the stockholders if stockholder approval is required by applicable law or under the terms of any relevant agreement) shall approve a plan of complete liquidation of the Company.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1.8</w:t>
      </w:r>
      <w:bookmarkStart w:id="377" w:name="TAB2103"/>
      <w:bookmarkEnd w:id="377"/>
      <w:r>
        <w:rPr>
          <w:color w:val="000000"/>
          <w:spacing w:val="180"/>
        </w:rPr>
        <w:t> </w:t>
      </w:r>
      <w:r>
        <w:rPr>
          <w:rFonts w:ascii="Times New Roman" w:hAnsi="Times New Roman"/>
          <w:b/>
          <w:sz w:val="20"/>
        </w:rPr>
        <w:t>Irrevocable Proxy.</w:t>
      </w:r>
      <w:r>
        <w:rPr>
          <w:rFonts w:ascii="Times New Roman" w:hAnsi="Times New Roman"/>
          <w:sz w:val="20"/>
        </w:rPr>
        <w:t>  To secure the Investor’s obligations to vote the Investor Shares in accordance with this Agreement, the Investor hereby appoints the Chief Executive, President or Secretary of the Company, or any of them from time to time, or their designees, as such Investor’s true and lawful proxy and attorney, with the power to act alone and with full power of substitution, to vote all of such Investor’s Shares as set forth in this Agreement and to execute all appropriate instruments consistent with this Agreement on behalf of such Investor if, and only if, such Investor fails to vote all of such Investor’s Investor Shares or execute such other instruments in accordance with the provisions of this Agreement within five (5) days of the Company’s or any other party’s written request for such Investor’s written consent or signature.  The proxy and power granted by the Investor and Investor pursuant to this Section 1.8 are coupled with an interest and are given to secure the performance of the Investor’s duties under this Agreement.  Each such proxy and power will be irrevocable for the term hereof.  The proxy and power, so long as the Investor or any successor thereto is an individual, will survive the death, incompetency and disability of the Investor or any other individual holder of the Investor Shares and, so long as Investor is an entity, will survive the merger or reorganization of such party or any other entity holding any Investor Shares.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8" w:name="list7"/>
      <w:bookmarkStart w:id="379" w:name="list7"/>
      <w:bookmarkEnd w:id="379"/>
    </w:p>
    <w:tbl>
      <w:tblPr>
        <w:tblW w:w="5000" w:type="pct"/>
        <w:jc w:val="left"/>
        <w:tblInd w:w="0" w:type="dxa"/>
        <w:tblCellMar>
          <w:top w:w="0" w:type="dxa"/>
          <w:left w:w="0" w:type="dxa"/>
          <w:bottom w:w="0" w:type="dxa"/>
          <w:right w:w="0" w:type="dxa"/>
        </w:tblCellMar>
      </w:tblPr>
      <w:tblGrid>
        <w:gridCol w:w="1576"/>
        <w:gridCol w:w="8629"/>
      </w:tblGrid>
      <w:tr>
        <w:trPr/>
        <w:tc>
          <w:tcPr>
            <w:tcW w:w="157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2.  </w:t>
            </w:r>
          </w:p>
        </w:tc>
        <w:tc>
          <w:tcPr>
            <w:tcW w:w="862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TERMINATION.</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2.1</w:t>
      </w:r>
      <w:bookmarkStart w:id="380" w:name="TAB2104"/>
      <w:bookmarkEnd w:id="380"/>
      <w:r>
        <w:rPr>
          <w:color w:val="000000"/>
          <w:spacing w:val="180"/>
        </w:rPr>
        <w:t> </w:t>
      </w:r>
      <w:r>
        <w:rPr>
          <w:rFonts w:ascii="Times New Roman" w:hAnsi="Times New Roman"/>
          <w:sz w:val="20"/>
        </w:rPr>
        <w:t>This Agreement shall continue in full force and effect from the date hereof through the earliest of the following dates, on which date it shall terminate in its entirety:</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(a)</w:t>
      </w:r>
      <w:bookmarkStart w:id="381" w:name="TAB2105"/>
      <w:bookmarkEnd w:id="381"/>
      <w:r>
        <w:rPr>
          <w:color w:val="000000"/>
          <w:spacing w:val="180"/>
        </w:rPr>
        <w:t> </w:t>
      </w:r>
      <w:r>
        <w:rPr>
          <w:rFonts w:ascii="Times New Roman" w:hAnsi="Times New Roman"/>
          <w:sz w:val="20"/>
        </w:rPr>
        <w:t>subject to Section 2.2, the date of the closing of an Approved Transaction;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(b)</w:t>
      </w:r>
      <w:bookmarkStart w:id="382" w:name="TAB2106"/>
      <w:bookmarkEnd w:id="382"/>
      <w:r>
        <w:rPr>
          <w:color w:val="000000"/>
          <w:spacing w:val="180"/>
        </w:rPr>
        <w:t> </w:t>
      </w:r>
      <w:r>
        <w:rPr>
          <w:rFonts w:ascii="Times New Roman" w:hAnsi="Times New Roman"/>
          <w:sz w:val="20"/>
        </w:rPr>
        <w:t>the date upon which Investor, together with any successor in interest to Investor’s interest in the Investor Shares, beneficially owns less than fifty percent (50%) of the Investor Shares;  and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(c)</w:t>
      </w:r>
      <w:bookmarkStart w:id="383" w:name="TAB2107"/>
      <w:bookmarkEnd w:id="383"/>
      <w:r>
        <w:rPr>
          <w:color w:val="000000"/>
          <w:spacing w:val="180"/>
        </w:rPr>
        <w:t> </w:t>
      </w:r>
      <w:r>
        <w:rPr>
          <w:rFonts w:ascii="Times New Roman" w:hAnsi="Times New Roman"/>
          <w:sz w:val="20"/>
        </w:rPr>
        <w:t>the date as of which the parties hereto terminate this Agreement by written consent of each of the parties hereto.</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2.2</w:t>
      </w:r>
      <w:bookmarkStart w:id="384" w:name="TAB2108"/>
      <w:bookmarkEnd w:id="384"/>
      <w:r>
        <w:rPr>
          <w:color w:val="000000"/>
          <w:spacing w:val="180"/>
        </w:rPr>
        <w:t> </w:t>
      </w:r>
      <w:r>
        <w:rPr>
          <w:rFonts w:ascii="Times New Roman" w:hAnsi="Times New Roman"/>
          <w:sz w:val="20"/>
        </w:rPr>
        <w:t>Notwithstanding anything in this Section 2 to the contrary, if this Agreement is terminated automatically pursuant to Section 2.1(a), then the obligations of the Investor under Section 3 shall survive such termination.  The stockholders of the Company as of immediately prior to the closing of such Change in Control are the intended third party beneficiaries of this Section 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5" w:name="PGBRK27"/>
      <w:bookmarkStart w:id="386" w:name="PGBRK27"/>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7" w:name="FTR27"/>
      <w:bookmarkStart w:id="388" w:name="FTR27"/>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9" w:name="GLFTR27"/>
      <w:bookmarkEnd w:id="3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0" w:name="PN27"/>
      <w:bookmarkEnd w:id="39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1" w:name="HDR27"/>
      <w:bookmarkStart w:id="392" w:name="HDR27"/>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3" w:name="GLHDR27"/>
      <w:bookmarkEnd w:id="3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394" w:name="list8"/>
      <w:bookmarkStart w:id="395" w:name="list8"/>
      <w:bookmarkEnd w:id="395"/>
    </w:p>
    <w:tbl>
      <w:tblPr>
        <w:tblW w:w="5000" w:type="pct"/>
        <w:jc w:val="left"/>
        <w:tblInd w:w="0" w:type="dxa"/>
        <w:tblCellMar>
          <w:top w:w="0" w:type="dxa"/>
          <w:left w:w="0" w:type="dxa"/>
          <w:bottom w:w="0" w:type="dxa"/>
          <w:right w:w="0" w:type="dxa"/>
        </w:tblCellMar>
      </w:tblPr>
      <w:tblGrid>
        <w:gridCol w:w="1399"/>
        <w:gridCol w:w="8806"/>
      </w:tblGrid>
      <w:tr>
        <w:trPr/>
        <w:tc>
          <w:tcPr>
            <w:tcW w:w="139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3.  </w:t>
            </w:r>
          </w:p>
        </w:tc>
        <w:tc>
          <w:tcPr>
            <w:tcW w:w="880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MISCELLANEOUS</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3.1</w:t>
      </w:r>
      <w:bookmarkStart w:id="396" w:name="TAB2109"/>
      <w:bookmarkEnd w:id="396"/>
      <w:r>
        <w:rPr>
          <w:color w:val="000000"/>
          <w:spacing w:val="180"/>
        </w:rPr>
        <w:t> </w:t>
      </w:r>
      <w:r>
        <w:rPr>
          <w:rFonts w:ascii="Times New Roman" w:hAnsi="Times New Roman"/>
          <w:b/>
          <w:sz w:val="20"/>
        </w:rPr>
        <w:t>Ownership.</w:t>
      </w:r>
      <w:r>
        <w:rPr>
          <w:rFonts w:ascii="Times New Roman" w:hAnsi="Times New Roman"/>
          <w:sz w:val="20"/>
        </w:rPr>
        <w:t>  The Investor represents and warrants to the Company that (a) such Investor owns the Investor Shares acquired on the Closing Date, as such term is defined in the Purchase Agreement, free and clear of liens or encumbrances, and has not, prior to or on the date of this Agreement, executed or delivered any proxy or entered into any other voting agreement or similar arrangement other than one which has expired or terminated prior to the date hereof, and (b) such Investor has full power and capacity to execute, deliver and perform this Agreement, which has been duly executed and delivered by, and evidences the valid and binding obligation of, such Investor enforceable in accordance with its terms.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3.2</w:t>
      </w:r>
      <w:bookmarkStart w:id="397" w:name="TAB2110"/>
      <w:bookmarkEnd w:id="397"/>
      <w:r>
        <w:rPr>
          <w:color w:val="000000"/>
          <w:spacing w:val="180"/>
        </w:rPr>
        <w:t> </w:t>
      </w:r>
      <w:r>
        <w:rPr>
          <w:rFonts w:ascii="Times New Roman" w:hAnsi="Times New Roman"/>
          <w:b/>
          <w:sz w:val="20"/>
        </w:rPr>
        <w:t>Further Action.</w:t>
      </w:r>
      <w:r>
        <w:rPr>
          <w:rFonts w:ascii="Times New Roman" w:hAnsi="Times New Roman"/>
          <w:sz w:val="20"/>
        </w:rPr>
        <w:t>  If and whenever any Investor Shares are sold, assigned, or otherwise transferred, the Investor or the personal representative of the Investor shall do all things and execute and deliver all documents and make all transfers, and cause any transferee of the Investor Shares to do all things and execute and deliver all documents, as may be necessary to consummate such sale, assignment or transfer consistent with this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3.3</w:t>
      </w:r>
      <w:bookmarkStart w:id="398" w:name="TAB2111"/>
      <w:bookmarkEnd w:id="398"/>
      <w:r>
        <w:rPr>
          <w:color w:val="000000"/>
          <w:spacing w:val="180"/>
        </w:rPr>
        <w:t> </w:t>
      </w:r>
      <w:r>
        <w:rPr>
          <w:rFonts w:ascii="Times New Roman" w:hAnsi="Times New Roman"/>
          <w:b/>
          <w:sz w:val="20"/>
        </w:rPr>
        <w:t>Specific Performance.</w:t>
      </w:r>
      <w:r>
        <w:rPr>
          <w:rFonts w:ascii="Times New Roman" w:hAnsi="Times New Roman"/>
          <w:sz w:val="20"/>
        </w:rPr>
        <w:t>  The parties hereto hereby declare that it is impossible to measure in money the damages which will accrue to a party hereto or to their heirs, personal representatives, or assigns by reason of a failure to perform any of the obligations under this Agreement and agree that the terms of this Agreement shall be specifically enforceable.  If any party hereto or his heirs, personal representatives, or assigns institutes any action or proceeding to specifically enforce the provisions hereof, any person against whom such action or proceeding is brought hereby waives the claim or defense therein that such party or such personal representative has an adequate remedy at law, and such person shall not offer in any such action or proceeding the claim or defense that such remedy at law exists.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3.4</w:t>
      </w:r>
      <w:bookmarkStart w:id="399" w:name="TAB2112"/>
      <w:bookmarkEnd w:id="399"/>
      <w:r>
        <w:rPr>
          <w:color w:val="000000"/>
          <w:spacing w:val="180"/>
        </w:rPr>
        <w:t> </w:t>
      </w:r>
      <w:r>
        <w:rPr>
          <w:rFonts w:ascii="Times New Roman" w:hAnsi="Times New Roman"/>
          <w:b/>
          <w:sz w:val="20"/>
        </w:rPr>
        <w:t>Governing Law.</w:t>
      </w:r>
      <w:r>
        <w:rPr>
          <w:rFonts w:ascii="Times New Roman" w:hAnsi="Times New Roman"/>
          <w:sz w:val="20"/>
        </w:rPr>
        <w:t>  This Agreement shall be governed by and construed and enforced in accordance with provisions set forth in Section 5.9 of the Purchase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3.5</w:t>
      </w:r>
      <w:bookmarkStart w:id="400" w:name="TAB2113"/>
      <w:bookmarkEnd w:id="400"/>
      <w:r>
        <w:rPr>
          <w:color w:val="000000"/>
          <w:spacing w:val="180"/>
        </w:rPr>
        <w:t> </w:t>
      </w:r>
      <w:r>
        <w:rPr>
          <w:rFonts w:ascii="Times New Roman" w:hAnsi="Times New Roman"/>
          <w:b/>
          <w:sz w:val="20"/>
        </w:rPr>
        <w:t>Amendment or Waiver.</w:t>
      </w:r>
      <w:r>
        <w:rPr>
          <w:rFonts w:ascii="Times New Roman" w:hAnsi="Times New Roman"/>
          <w:sz w:val="20"/>
        </w:rPr>
        <w:t>  This Agreement may be amended or modified (or provisions of this Agreement waived) only upon the written consent of each of the Company and the Investor.  Any amendment or waiver so effected shall be binding upon the Company, the Investor and any assignee of any such party.  Notwithstanding the foregoing, this Agreement and the exhibits hereto may be amended to add additional holders of Common Stock as “Investor” or “Investors” hereunder by an instrument in writing signed by the Company and such holders.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3.6</w:t>
      </w:r>
      <w:bookmarkStart w:id="401" w:name="TAB2114"/>
      <w:bookmarkEnd w:id="401"/>
      <w:r>
        <w:rPr>
          <w:color w:val="000000"/>
          <w:spacing w:val="180"/>
        </w:rPr>
        <w:t> </w:t>
      </w:r>
      <w:r>
        <w:rPr>
          <w:rFonts w:ascii="Times New Roman" w:hAnsi="Times New Roman"/>
          <w:b/>
          <w:sz w:val="20"/>
        </w:rPr>
        <w:t>Severability.</w:t>
      </w:r>
      <w:r>
        <w:rPr>
          <w:rFonts w:ascii="Times New Roman" w:hAnsi="Times New Roman"/>
          <w:sz w:val="20"/>
        </w:rPr>
        <w:t>  In the event one or more of the provisions of this Agreement should, for any reason, be held to be invalid, illegal or unenforceable in any respect, such invalidity, illegality or unenforceability shall not affect any other provisions of this Agreement, and this Agreement shall be construed as if such invalid, illegal or unenforceable provision had never been contained herein.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3.7</w:t>
      </w:r>
      <w:bookmarkStart w:id="402" w:name="TAB2115"/>
      <w:bookmarkEnd w:id="402"/>
      <w:r>
        <w:rPr>
          <w:color w:val="000000"/>
          <w:spacing w:val="180"/>
        </w:rPr>
        <w:t> </w:t>
      </w:r>
      <w:r>
        <w:rPr>
          <w:rFonts w:ascii="Times New Roman" w:hAnsi="Times New Roman"/>
          <w:b/>
          <w:sz w:val="20"/>
        </w:rPr>
        <w:t>Successors and Assigns.</w:t>
      </w:r>
      <w:r>
        <w:rPr>
          <w:rFonts w:ascii="Times New Roman" w:hAnsi="Times New Roman"/>
          <w:sz w:val="20"/>
        </w:rPr>
        <w:t>  The provisions hereof shall inure to the benefit of, and be binding upon, the parties hereto and their respective successors, assigns, heirs, executors and administrators and other legal representatives.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3.8</w:t>
      </w:r>
      <w:bookmarkStart w:id="403" w:name="TAB2116"/>
      <w:bookmarkEnd w:id="403"/>
      <w:r>
        <w:rPr>
          <w:color w:val="000000"/>
          <w:spacing w:val="180"/>
        </w:rPr>
        <w:t> </w:t>
      </w:r>
      <w:r>
        <w:rPr>
          <w:rFonts w:ascii="Times New Roman" w:hAnsi="Times New Roman"/>
          <w:b/>
          <w:sz w:val="20"/>
        </w:rPr>
        <w:t>Additional Shares.</w:t>
      </w:r>
      <w:r>
        <w:rPr>
          <w:rFonts w:ascii="Times New Roman" w:hAnsi="Times New Roman"/>
          <w:sz w:val="20"/>
        </w:rPr>
        <w:t>  In the event that subsequent to the date of this Agreement any shares or other securities are issued on, or in exchange for, any of the Investor Shares by reason of any stock dividend, stock split, combination of shares, reclassification or the like, such shares or securities shall be deemed to be Investor Shares for purposes of this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3.9</w:t>
      </w:r>
      <w:bookmarkStart w:id="404" w:name="TAB2117"/>
      <w:bookmarkEnd w:id="404"/>
      <w:r>
        <w:rPr>
          <w:color w:val="000000"/>
          <w:spacing w:val="180"/>
        </w:rPr>
        <w:t> </w:t>
      </w:r>
      <w:r>
        <w:rPr>
          <w:rFonts w:ascii="Times New Roman" w:hAnsi="Times New Roman"/>
          <w:b/>
          <w:sz w:val="20"/>
        </w:rPr>
        <w:t>Counterparts.</w:t>
      </w:r>
      <w:r>
        <w:rPr>
          <w:rFonts w:ascii="Times New Roman" w:hAnsi="Times New Roman"/>
          <w:sz w:val="20"/>
        </w:rPr>
        <w:t>  This Agreement may be executed in one or more counterparts, each of which will be deemed an original, but all of which together shall constitute one instrument.</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3.10</w:t>
      </w:r>
      <w:bookmarkStart w:id="405" w:name="TAB2118"/>
      <w:bookmarkEnd w:id="405"/>
      <w:r>
        <w:rPr>
          <w:color w:val="000000"/>
          <w:spacing w:val="180"/>
        </w:rPr>
        <w:t> </w:t>
      </w:r>
      <w:r>
        <w:rPr>
          <w:rFonts w:ascii="Times New Roman" w:hAnsi="Times New Roman"/>
          <w:b/>
          <w:sz w:val="20"/>
        </w:rPr>
        <w:t>Waiver.</w:t>
      </w:r>
      <w:r>
        <w:rPr>
          <w:rFonts w:ascii="Times New Roman" w:hAnsi="Times New Roman"/>
          <w:sz w:val="20"/>
        </w:rPr>
        <w:t>  No waivers of any breach of this Agreement extended by any party hereto to any other party shall be construed as a waiver of any rights or remedies of any other party hereto or with respect to any subsequent breach.</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6" w:name="PGBRK28"/>
      <w:bookmarkStart w:id="407" w:name="PGBRK28"/>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8" w:name="FTR28"/>
      <w:bookmarkStart w:id="409" w:name="FTR28"/>
      <w:bookmarkEnd w:id="4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0" w:name="GLFTR28"/>
      <w:bookmarkEnd w:id="4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1" w:name="PN28"/>
      <w:bookmarkEnd w:id="411"/>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2" w:name="HDR28"/>
      <w:bookmarkStart w:id="413" w:name="HDR28"/>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4" w:name="GLHDR28"/>
      <w:bookmarkEnd w:id="4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rFonts w:ascii="Times New Roman" w:hAnsi="Times New Roman"/>
          <w:b/>
          <w:sz w:val="20"/>
        </w:rPr>
        <w:t>3.11</w:t>
      </w:r>
      <w:bookmarkStart w:id="415" w:name="TAB2119"/>
      <w:bookmarkEnd w:id="415"/>
      <w:r>
        <w:rPr>
          <w:color w:val="000000"/>
          <w:spacing w:val="180"/>
        </w:rPr>
        <w:t> </w:t>
      </w:r>
      <w:r>
        <w:rPr>
          <w:rFonts w:ascii="Times New Roman" w:hAnsi="Times New Roman"/>
          <w:b/>
          <w:sz w:val="20"/>
        </w:rPr>
        <w:t>Delays or Omissions.</w:t>
      </w:r>
      <w:r>
        <w:rPr>
          <w:rFonts w:ascii="Times New Roman" w:hAnsi="Times New Roman"/>
          <w:sz w:val="20"/>
        </w:rPr>
        <w:t>  It is agreed that no delay or omission to exercise any right, power or remedy accruing to any 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any party’s part of any breach, default or noncompliance under this Agreement or any waiver on such party’s part of any provisions or conditions of the Agreement must be in writing and shall be effective only to the extent specifically set forth in such writing.  All remedies, either under this Agreement by law, or otherwise afforded to any party, shall be cumulative and not alternative.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3.12</w:t>
      </w:r>
      <w:bookmarkStart w:id="416" w:name="TAB2120"/>
      <w:bookmarkEnd w:id="416"/>
      <w:r>
        <w:rPr>
          <w:color w:val="000000"/>
          <w:spacing w:val="180"/>
        </w:rPr>
        <w:t> </w:t>
      </w:r>
      <w:r>
        <w:rPr>
          <w:rFonts w:ascii="Times New Roman" w:hAnsi="Times New Roman"/>
          <w:b/>
          <w:sz w:val="20"/>
        </w:rPr>
        <w:t>Costs and Attorney’s Fees.</w:t>
      </w:r>
      <w:r>
        <w:rPr>
          <w:rFonts w:ascii="Times New Roman" w:hAnsi="Times New Roman"/>
          <w:sz w:val="20"/>
        </w:rPr>
        <w:t>  In the event that any action, suit or other proceeding is instituted based upon or arising out of this Agreement or the matters contemplated herein or any other matter relating to the equity interest of the Investor in the Company (whether based on breach of contract, tort, breach of duty or any other theory), the prevailing party shall recover all of such party's costs (including, but not limited to expert witness costs) and reasonable attorneys' fees incurred in each such action, suit or other proceeding, including any and all appeals or petitions therefrom.</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3.13</w:t>
      </w:r>
      <w:bookmarkStart w:id="417" w:name="TAB2121"/>
      <w:bookmarkEnd w:id="417"/>
      <w:r>
        <w:rPr>
          <w:color w:val="000000"/>
          <w:spacing w:val="180"/>
        </w:rPr>
        <w:t> </w:t>
      </w:r>
      <w:r>
        <w:rPr>
          <w:rFonts w:ascii="Times New Roman" w:hAnsi="Times New Roman"/>
          <w:b/>
          <w:sz w:val="20"/>
        </w:rPr>
        <w:t>Notices.</w:t>
      </w:r>
      <w:r>
        <w:rPr>
          <w:rFonts w:ascii="Times New Roman" w:hAnsi="Times New Roman"/>
          <w:sz w:val="20"/>
        </w:rPr>
        <w:t>  All notices required in connection with this Agreement shall be in writing and shall be deemed effectively given in accordance with Section 5.4 of the Purchase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3.14</w:t>
      </w:r>
      <w:bookmarkStart w:id="418" w:name="TAB2122"/>
      <w:bookmarkEnd w:id="418"/>
      <w:r>
        <w:rPr>
          <w:color w:val="000000"/>
          <w:spacing w:val="180"/>
        </w:rPr>
        <w:t> </w:t>
      </w:r>
      <w:r>
        <w:rPr>
          <w:rFonts w:ascii="Times New Roman" w:hAnsi="Times New Roman"/>
          <w:b/>
          <w:sz w:val="20"/>
        </w:rPr>
        <w:t>Entire Agreement.</w:t>
      </w:r>
      <w:r>
        <w:rPr>
          <w:rFonts w:ascii="Times New Roman" w:hAnsi="Times New Roman"/>
          <w:sz w:val="20"/>
        </w:rPr>
        <w:t>  This Agreement along with the Purchase Agreement and the other documents delivered pursuant thereto constitute the full and entire understanding and agreement between the parties with regard to the subjects hereof and thereof and no party shall be liable or bound to any other in any manner by any oral or written representations, warranties, covenants and agreements except as specifically set forth herein and therein. Each party expressly represents and warrants that it is not relying on any oral or written representations, warranties, covenants or agreements outside of this Agreement.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9" w:name="PGBRK29"/>
      <w:bookmarkStart w:id="420" w:name="PGBRK29"/>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1" w:name="FTR29"/>
      <w:bookmarkStart w:id="422" w:name="FTR29"/>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3" w:name="GLFTR29"/>
      <w:bookmarkEnd w:id="4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4" w:name="PN29"/>
      <w:bookmarkEnd w:id="424"/>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5" w:name="HDR29"/>
      <w:bookmarkStart w:id="426" w:name="HDR29"/>
      <w:bookmarkEnd w:id="4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7" w:name="GLHDR29"/>
      <w:bookmarkEnd w:id="4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the parties hereto have executed this Voting Agreement as of the date first above written.</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4536"/>
        <w:gridCol w:w="1132"/>
        <w:gridCol w:w="4537"/>
      </w:tblGrid>
      <w:tr>
        <w:trPr/>
        <w:tc>
          <w:tcPr>
            <w:tcW w:w="4536" w:type="dxa"/>
            <w:tcBorders>
              <w:bottom w:val="single" w:sz="12"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COMPANY:</w:t>
            </w:r>
          </w:p>
          <w:p>
            <w:pPr>
              <w:pStyle w:val="TableContents"/>
              <w:spacing w:before="0" w:after="0"/>
              <w:ind w:left="0" w:right="0" w:hanging="0"/>
              <w:jc w:val="left"/>
              <w:rPr>
                <w:rFonts w:ascii="times new roman" w:hAnsi="times new roman"/>
                <w:sz w:val="20"/>
              </w:rPr>
            </w:pPr>
            <w:r>
              <w:rPr>
                <w:rFonts w:ascii="times new roman" w:hAnsi="times new roman"/>
                <w:sz w:val="20"/>
              </w:rPr>
              <w:t>VistaGen Therapeutics, Inc.</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By:  /s/ Shawn K. Singh</w:t>
            </w:r>
          </w:p>
        </w:tc>
        <w:tc>
          <w:tcPr>
            <w:tcW w:w="1132" w:type="dxa"/>
            <w:tcBorders/>
            <w:shd w:fill="auto" w:val="clear"/>
            <w:tcMar>
              <w:bottom w:w="0" w:type="dxa"/>
            </w:tcMar>
          </w:tcPr>
          <w:p>
            <w:pPr>
              <w:pStyle w:val="TableContents"/>
              <w:spacing w:before="0" w:after="283"/>
              <w:jc w:val="left"/>
              <w:rPr>
                <w:smallCaps/>
              </w:rPr>
            </w:pPr>
            <w:r>
              <w:rPr>
                <w:smallCaps/>
              </w:rPr>
              <w:t> </w:t>
            </w:r>
          </w:p>
        </w:tc>
        <w:tc>
          <w:tcPr>
            <w:tcW w:w="4537" w:type="dxa"/>
            <w:tcBorders>
              <w:bottom w:val="single" w:sz="12"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INVESTOR:</w:t>
            </w:r>
          </w:p>
          <w:p>
            <w:pPr>
              <w:pStyle w:val="TableContents"/>
              <w:spacing w:before="0" w:after="0"/>
              <w:ind w:left="0" w:right="0" w:hanging="0"/>
              <w:jc w:val="left"/>
              <w:rPr>
                <w:rFonts w:ascii="times new roman" w:hAnsi="times new roman"/>
                <w:sz w:val="20"/>
              </w:rPr>
            </w:pPr>
            <w:r>
              <w:rPr>
                <w:rFonts w:ascii="times new roman" w:hAnsi="times new roman"/>
                <w:sz w:val="20"/>
              </w:rPr>
              <w:t>Autilion AG</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By:  /s/ Hillard Herzog</w:t>
            </w:r>
          </w:p>
        </w:tc>
      </w:tr>
      <w:tr>
        <w:trPr/>
        <w:tc>
          <w:tcPr>
            <w:tcW w:w="4536" w:type="dxa"/>
            <w:tcBorders/>
            <w:shd w:fill="auto" w:val="clear"/>
            <w:tcMar>
              <w:bottom w:w="0" w:type="dxa"/>
            </w:tcMar>
          </w:tcPr>
          <w:p>
            <w:pPr>
              <w:pStyle w:val="TableContents"/>
              <w:spacing w:before="0" w:after="0"/>
              <w:rPr>
                <w:rFonts w:ascii="times new roman" w:hAnsi="times new roman"/>
                <w:sz w:val="20"/>
              </w:rPr>
            </w:pPr>
            <w:r>
              <w:rPr>
                <w:rFonts w:ascii="times new roman" w:hAnsi="times new roman"/>
                <w:sz w:val="20"/>
              </w:rPr>
              <w:t xml:space="preserve">Name: Shawn Singh </w:t>
            </w:r>
          </w:p>
          <w:p>
            <w:pPr>
              <w:pStyle w:val="TableContents"/>
              <w:spacing w:before="0" w:after="0"/>
              <w:ind w:left="0" w:right="0" w:hanging="0"/>
              <w:jc w:val="left"/>
              <w:rPr>
                <w:rFonts w:ascii="times new roman" w:hAnsi="times new roman"/>
                <w:sz w:val="20"/>
              </w:rPr>
            </w:pPr>
            <w:r>
              <w:rPr>
                <w:rFonts w:ascii="times new roman" w:hAnsi="times new roman"/>
                <w:sz w:val="20"/>
              </w:rPr>
              <w:t>Title: Chief Executive Officer</w:t>
            </w:r>
          </w:p>
        </w:tc>
        <w:tc>
          <w:tcPr>
            <w:tcW w:w="1132" w:type="dxa"/>
            <w:tcBorders/>
            <w:shd w:fill="auto" w:val="clear"/>
            <w:tcMar>
              <w:bottom w:w="0" w:type="dxa"/>
            </w:tcMar>
          </w:tcPr>
          <w:p>
            <w:pPr>
              <w:pStyle w:val="TableContents"/>
              <w:spacing w:before="0" w:after="283"/>
              <w:rPr/>
            </w:pPr>
            <w:r>
              <w:rPr/>
              <w:t> </w:t>
            </w:r>
          </w:p>
        </w:tc>
        <w:tc>
          <w:tcPr>
            <w:tcW w:w="4537" w:type="dxa"/>
            <w:tcBorders/>
            <w:shd w:fill="auto" w:val="clear"/>
            <w:tcMar>
              <w:bottom w:w="0" w:type="dxa"/>
            </w:tcMar>
          </w:tcPr>
          <w:p>
            <w:pPr>
              <w:pStyle w:val="TableContents"/>
              <w:spacing w:before="0" w:after="0"/>
              <w:rPr>
                <w:rFonts w:ascii="times new roman" w:hAnsi="times new roman"/>
                <w:sz w:val="20"/>
              </w:rPr>
            </w:pPr>
            <w:r>
              <w:rPr>
                <w:rFonts w:ascii="times new roman" w:hAnsi="times new roman"/>
                <w:sz w:val="20"/>
              </w:rPr>
              <w:t xml:space="preserve">Name: Hillard Herzog </w:t>
            </w:r>
          </w:p>
          <w:p>
            <w:pPr>
              <w:pStyle w:val="TableContents"/>
              <w:spacing w:before="0" w:after="0"/>
              <w:ind w:left="0" w:right="0" w:hanging="0"/>
              <w:jc w:val="left"/>
              <w:rPr>
                <w:rFonts w:ascii="times new roman" w:hAnsi="times new roman"/>
                <w:sz w:val="20"/>
              </w:rPr>
            </w:pPr>
            <w:r>
              <w:rPr>
                <w:rFonts w:ascii="times new roman" w:hAnsi="times new roman"/>
                <w:sz w:val="20"/>
              </w:rPr>
              <w:t>Title: President</w:t>
            </w:r>
          </w:p>
        </w:tc>
      </w:tr>
    </w:tbl>
    <w:p>
      <w:pPr>
        <w:pStyle w:val="TextBody"/>
        <w:ind w:left="0" w:right="0" w:hanging="0"/>
        <w:rPr/>
      </w:pPr>
      <w:r>
        <w:rPr/>
        <w:t> </w:t>
      </w:r>
      <w:r>
        <w:br w:type="page"/>
      </w:r>
    </w:p>
    <w:p>
      <w:pPr>
        <w:pStyle w:val="TextBody"/>
        <w:spacing w:before="0" w:after="0"/>
        <w:ind w:left="0" w:right="0" w:hanging="0"/>
        <w:jc w:val="right"/>
        <w:rPr>
          <w:rFonts w:ascii="Times New Roman" w:hAnsi="Times New Roman"/>
          <w:b/>
          <w:sz w:val="20"/>
        </w:rPr>
      </w:pPr>
      <w:bookmarkStart w:id="428" w:name="ex10-3.htm"/>
      <w:bookmarkStart w:id="429" w:name="ksex103"/>
      <w:bookmarkEnd w:id="428"/>
      <w:bookmarkEnd w:id="429"/>
      <w:r>
        <w:rPr>
          <w:rFonts w:ascii="Times New Roman" w:hAnsi="Times New Roman"/>
          <w:b/>
          <w:sz w:val="20"/>
        </w:rPr>
        <w:t>Exhibit 10.3</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 CONVERSION AGREEMENT</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THIS NOTE CONVERSION AGREEMENT</w:t>
      </w:r>
      <w:r>
        <w:rPr>
          <w:rFonts w:ascii="Times New Roman" w:hAnsi="Times New Roman"/>
          <w:sz w:val="20"/>
        </w:rPr>
        <w:t xml:space="preserve"> (this “</w:t>
      </w:r>
      <w:r>
        <w:rPr>
          <w:rFonts w:ascii="Times New Roman" w:hAnsi="Times New Roman"/>
          <w:i/>
          <w:sz w:val="20"/>
        </w:rPr>
        <w:t>Agreement</w:t>
      </w:r>
      <w:r>
        <w:rPr>
          <w:rFonts w:ascii="Times New Roman" w:hAnsi="Times New Roman"/>
          <w:sz w:val="20"/>
        </w:rPr>
        <w:t>”) is entered into on April 4, 2013, by and between VistaGen Therapeutics, Inc., a Nevada corporation (the “</w:t>
      </w:r>
      <w:r>
        <w:rPr>
          <w:rFonts w:ascii="Times New Roman" w:hAnsi="Times New Roman"/>
          <w:i/>
          <w:sz w:val="20"/>
        </w:rPr>
        <w:t>Company</w:t>
      </w:r>
      <w:r>
        <w:rPr>
          <w:rFonts w:ascii="Times New Roman" w:hAnsi="Times New Roman"/>
          <w:sz w:val="20"/>
        </w:rPr>
        <w:t>”), and Platinum Long Term Growth VII, LLC, a Delaware limited liability company (“</w:t>
      </w:r>
      <w:r>
        <w:rPr>
          <w:rFonts w:ascii="Times New Roman" w:hAnsi="Times New Roman"/>
          <w:i/>
          <w:sz w:val="20"/>
        </w:rPr>
        <w:t>Platinum</w:t>
      </w:r>
      <w:r>
        <w:rPr>
          <w:rFonts w:ascii="Times New Roman" w:hAnsi="Times New Roman"/>
          <w:sz w:val="20"/>
        </w:rPr>
        <w: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Platinum is the holder of certain Senior Secured Convertible Promissory Notes of the Company, issued on the dates and in the principal amounts set forth on </w:t>
      </w:r>
      <w:r>
        <w:rPr>
          <w:rFonts w:ascii="Times New Roman" w:hAnsi="Times New Roman"/>
          <w:sz w:val="20"/>
          <w:u w:val="single"/>
        </w:rPr>
        <w:t>Schedule A</w:t>
      </w:r>
      <w:r>
        <w:rPr>
          <w:rFonts w:ascii="Times New Roman" w:hAnsi="Times New Roman"/>
          <w:sz w:val="20"/>
        </w:rPr>
        <w:t xml:space="preserve"> (the “</w:t>
      </w:r>
      <w:r>
        <w:rPr>
          <w:rFonts w:ascii="Times New Roman" w:hAnsi="Times New Roman"/>
          <w:i/>
          <w:sz w:val="20"/>
        </w:rPr>
        <w:t>Notes</w:t>
      </w:r>
      <w:r>
        <w:rPr>
          <w:rFonts w:ascii="Times New Roman" w:hAnsi="Times New Roman"/>
          <w:sz w:val="20"/>
        </w:rPr>
        <w:t>”), which Notes were issued pursuant to the terms of a Note Exchange and Purchase Agreement, dated as of October 11, 2012, between the Company and Platinum (“</w:t>
      </w:r>
      <w:r>
        <w:rPr>
          <w:rFonts w:ascii="Times New Roman" w:hAnsi="Times New Roman"/>
          <w:i/>
          <w:sz w:val="20"/>
        </w:rPr>
        <w:t>NEPA</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in order to secure the Company’s obligations to Platinum under the terms of the Notes, the Company and Platinum entered into (i) the Amended and Restated Security Agreement,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i/>
          <w:sz w:val="20"/>
        </w:rPr>
        <w:t>Security Agreement</w:t>
      </w:r>
      <w:r>
        <w:rPr>
          <w:rFonts w:ascii="Times New Roman" w:hAnsi="Times New Roman"/>
          <w:sz w:val="20"/>
        </w:rPr>
        <w:t xml:space="preserve">”), pursuant to which Platinum was granted a security interest in substantially all of the Company’s assets; and (ii) a Negative Covenant,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i/>
          <w:sz w:val="20"/>
        </w:rPr>
        <w:t>Negative Covenant</w:t>
      </w:r>
      <w:r>
        <w:rPr>
          <w:rFonts w:ascii="Times New Roman" w:hAnsi="Times New Roman"/>
          <w:sz w:val="20"/>
        </w:rPr>
        <w:t>”), prohibiting VistaGen Therapeutics, Inc., a California corporation and wholly owned subsidiary of the Company (“</w:t>
      </w:r>
      <w:r>
        <w:rPr>
          <w:rFonts w:ascii="Times New Roman" w:hAnsi="Times New Roman"/>
          <w:i/>
          <w:sz w:val="20"/>
        </w:rPr>
        <w:t>VistaGen California</w:t>
      </w:r>
      <w:r>
        <w:rPr>
          <w:rFonts w:ascii="Times New Roman" w:hAnsi="Times New Roman"/>
          <w:sz w:val="20"/>
        </w:rPr>
        <w:t>”), and Artemis Neuroscience, Inc., a Maryland corporation and wholly owned subsidiary of VistaGen California (“</w:t>
      </w:r>
      <w:r>
        <w:rPr>
          <w:rFonts w:ascii="Times New Roman" w:hAnsi="Times New Roman"/>
          <w:i/>
          <w:sz w:val="20"/>
        </w:rPr>
        <w:t>Artemis</w:t>
      </w:r>
      <w:r>
        <w:rPr>
          <w:rFonts w:ascii="Times New Roman" w:hAnsi="Times New Roman"/>
          <w:sz w:val="20"/>
        </w:rPr>
        <w:t>) (together, the “</w:t>
      </w:r>
      <w:r>
        <w:rPr>
          <w:rFonts w:ascii="Times New Roman" w:hAnsi="Times New Roman"/>
          <w:i/>
          <w:sz w:val="20"/>
        </w:rPr>
        <w:t>Subsidiaries</w:t>
      </w:r>
      <w:r>
        <w:rPr>
          <w:rFonts w:ascii="Times New Roman" w:hAnsi="Times New Roman"/>
          <w:sz w:val="20"/>
        </w:rPr>
        <w:t>”), from incurring, among other things, certain kinds of liens or indebtedness, and from agreeing to any merger or other organizational change;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in addition, the Company, the Subsidiaries and Platinum entered into the Intellectual Property and Stock Pledge Agreement,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i/>
          <w:sz w:val="20"/>
        </w:rPr>
        <w:t>IP Security Agreement</w:t>
      </w:r>
      <w:r>
        <w:rPr>
          <w:rFonts w:ascii="Times New Roman" w:hAnsi="Times New Roman"/>
          <w:sz w:val="20"/>
        </w:rPr>
        <w:t>”), pursuant to which Platinum was granted a security interest in (i) all intellectual property of VistaGen California, and (ii) all of the capital stock and other equity interests of VistaGen California in Artemis;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 xml:space="preserve">WHEREAS, </w:t>
      </w:r>
      <w:r>
        <w:rPr>
          <w:rFonts w:ascii="Times New Roman" w:hAnsi="Times New Roman"/>
          <w:sz w:val="20"/>
        </w:rPr>
        <w:t>the Company has agreed to sell shares of its common stock, par value $0.001 per share (“</w:t>
      </w:r>
      <w:r>
        <w:rPr>
          <w:rFonts w:ascii="Times New Roman" w:hAnsi="Times New Roman"/>
          <w:i/>
          <w:sz w:val="20"/>
        </w:rPr>
        <w:t>Common Stock</w:t>
      </w:r>
      <w:r>
        <w:rPr>
          <w:rFonts w:ascii="Times New Roman" w:hAnsi="Times New Roman"/>
          <w:sz w:val="20"/>
        </w:rPr>
        <w:t>”), in a private transaction(s) resulting in gross proceeds to the Company of $36.0 million (the “</w:t>
      </w:r>
      <w:r>
        <w:rPr>
          <w:rFonts w:ascii="Times New Roman" w:hAnsi="Times New Roman"/>
          <w:i/>
          <w:sz w:val="20"/>
        </w:rPr>
        <w:t>Qualified Financing</w:t>
      </w:r>
      <w:r>
        <w:rPr>
          <w:rFonts w:ascii="Times New Roman" w:hAnsi="Times New Roman"/>
          <w:sz w:val="20"/>
        </w:rPr>
        <w:t xml:space="preserve">”) pursuant to the agreements attached hereto as </w:t>
      </w:r>
      <w:r>
        <w:rPr>
          <w:rFonts w:ascii="Times New Roman" w:hAnsi="Times New Roman"/>
          <w:sz w:val="20"/>
          <w:u w:val="single"/>
        </w:rPr>
        <w:t>Annex A</w:t>
      </w:r>
      <w:r>
        <w:rPr>
          <w:rFonts w:ascii="Times New Roman" w:hAnsi="Times New Roman"/>
          <w:sz w:val="20"/>
        </w:rPr>
        <w:t xml:space="preserve"> (the “</w:t>
      </w:r>
      <w:r>
        <w:rPr>
          <w:rFonts w:ascii="Times New Roman" w:hAnsi="Times New Roman"/>
          <w:i/>
          <w:sz w:val="20"/>
        </w:rPr>
        <w:t>QF Documents</w:t>
      </w:r>
      <w:r>
        <w:rPr>
          <w:rFonts w:ascii="Times New Roman" w:hAnsi="Times New Roman"/>
          <w:sz w:val="20"/>
        </w:rPr>
        <w:t>”).  The Qualified Financing will result in a change in control of the Company, assuming conversion or exercise of all issued and outstanding derivative securities of the Company; and</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the Company has requested that Platinum convert the principal balance and all accrued but unpaid interest due and owing Platinum under the terms of the Notes (the “</w:t>
      </w:r>
      <w:r>
        <w:rPr>
          <w:rFonts w:ascii="Times New Roman" w:hAnsi="Times New Roman"/>
          <w:i/>
          <w:sz w:val="20"/>
        </w:rPr>
        <w:t>Outstanding Balance</w:t>
      </w:r>
      <w:r>
        <w:rPr>
          <w:rFonts w:ascii="Times New Roman" w:hAnsi="Times New Roman"/>
          <w:sz w:val="20"/>
        </w:rPr>
        <w:t>”) into shares of the Company’s Common Stock upon consummation of the Qualified Financing (the “</w:t>
      </w:r>
      <w:r>
        <w:rPr>
          <w:rFonts w:ascii="Times New Roman" w:hAnsi="Times New Roman"/>
          <w:i/>
          <w:sz w:val="20"/>
        </w:rPr>
        <w:t>Note Conversion</w:t>
      </w:r>
      <w:r>
        <w:rPr>
          <w:rFonts w:ascii="Times New Roman" w:hAnsi="Times New Roman"/>
          <w:sz w:val="20"/>
        </w:rPr>
        <w:t>”), and to terminate the Security Agreement, Negative Covenant and IP Security Agreement (together, the “</w:t>
      </w:r>
      <w:r>
        <w:rPr>
          <w:rFonts w:ascii="Times New Roman" w:hAnsi="Times New Roman"/>
          <w:i/>
          <w:sz w:val="20"/>
        </w:rPr>
        <w:t>Security Agreements</w:t>
      </w:r>
      <w:r>
        <w:rPr>
          <w:rFonts w:ascii="Times New Roman" w:hAnsi="Times New Roman"/>
          <w:sz w:val="20"/>
        </w:rPr>
        <w: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NOW, THEREFORE</w:t>
      </w:r>
      <w:r>
        <w:rPr>
          <w:rFonts w:ascii="Times New Roman" w:hAnsi="Times New Roman"/>
          <w:sz w:val="20"/>
        </w:rPr>
        <w:t>, for and in consideration of the mutual agreements set forth herein, the parties hereto agree as follows: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1.         </w:t>
      </w:r>
      <w:r>
        <w:rPr>
          <w:rFonts w:ascii="Times New Roman" w:hAnsi="Times New Roman"/>
          <w:sz w:val="20"/>
          <w:u w:val="single"/>
        </w:rPr>
        <w:t>Note Conversion</w:t>
      </w:r>
      <w:r>
        <w:rPr>
          <w:rFonts w:ascii="Times New Roman" w:hAnsi="Times New Roman"/>
          <w:sz w:val="20"/>
        </w:rPr>
        <w:t>. Subject to the satisfaction or waiver of the conditions to closing set forth in Section 7 of this Agreement (the “</w:t>
      </w:r>
      <w:r>
        <w:rPr>
          <w:rFonts w:ascii="Times New Roman" w:hAnsi="Times New Roman"/>
          <w:i/>
          <w:sz w:val="20"/>
        </w:rPr>
        <w:t>Closing</w:t>
      </w:r>
      <w:r>
        <w:rPr>
          <w:rFonts w:ascii="Times New Roman" w:hAnsi="Times New Roman"/>
          <w:sz w:val="20"/>
        </w:rPr>
        <w:t>”), the Outstanding Balance due Platinum under the terms of the Notes shall convert into that number of shares of Common Stock equal to the Outstanding Balance on the date of Closing (the “Closing Date”), divided by $0.50 (the “</w:t>
      </w:r>
      <w:r>
        <w:rPr>
          <w:rFonts w:ascii="Times New Roman" w:hAnsi="Times New Roman"/>
          <w:i/>
          <w:sz w:val="20"/>
        </w:rPr>
        <w:t>Conversion Shares</w:t>
      </w:r>
      <w:r>
        <w:rPr>
          <w:rFonts w:ascii="Times New Roman" w:hAnsi="Times New Roman"/>
          <w:sz w:val="20"/>
        </w:rPr>
        <w: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2.         </w:t>
      </w:r>
      <w:r>
        <w:rPr>
          <w:rFonts w:ascii="Times New Roman" w:hAnsi="Times New Roman"/>
          <w:sz w:val="20"/>
          <w:u w:val="single"/>
        </w:rPr>
        <w:t>Manner of Conversion/Termination of Notes</w:t>
      </w:r>
      <w:r>
        <w:rPr>
          <w:rFonts w:ascii="Times New Roman" w:hAnsi="Times New Roman"/>
          <w:sz w:val="20"/>
        </w:rPr>
        <w:t>. On the Closing Date, the Company shall deliver (i) to Platinum written notice of the closing of the Qualified Financing, together with evidence of the receipt by the Company of $36.0 million in gross proceeds from the Qualified Financing and the issuance of 72 million shares of Common Stock as contemplated by the QF Documents (the “</w:t>
      </w:r>
      <w:r>
        <w:rPr>
          <w:rFonts w:ascii="Times New Roman" w:hAnsi="Times New Roman"/>
          <w:i/>
          <w:sz w:val="20"/>
        </w:rPr>
        <w:t>QF Notice</w:t>
      </w:r>
      <w:r>
        <w:rPr>
          <w:rFonts w:ascii="Times New Roman" w:hAnsi="Times New Roman"/>
          <w:sz w:val="20"/>
        </w:rPr>
        <w:t>”); and (ii) to the Company’s transfer agent an irrevocable notice to issue and deliver to Platinum a certificate or certificates or other document evidencing the Conversion Shares (the “</w:t>
      </w:r>
      <w:r>
        <w:rPr>
          <w:rFonts w:ascii="Times New Roman" w:hAnsi="Times New Roman"/>
          <w:i/>
          <w:sz w:val="20"/>
        </w:rPr>
        <w:t>Conversion Instructions</w:t>
      </w:r>
      <w:r>
        <w:rPr>
          <w:rFonts w:ascii="Times New Roman" w:hAnsi="Times New Roman"/>
          <w:sz w:val="20"/>
        </w:rPr>
        <w:t>”), which Conversion Shares shall be delivered within three (3) business days of Closing.  Upon receipt by Platinum of the QF Notice and Conversion Instructions, the Notes shall be deemed paid in full, including accrued interest thereon, and all rights of Platinum under the Notes shall terminate and be of no further force and effect (other than its right to receive the Conversion Shares pursuant to the Conversion Instructions).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0" w:name="PGBRK30"/>
      <w:bookmarkStart w:id="431" w:name="PGBRK30"/>
      <w:bookmarkEnd w:id="4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2" w:name="FTR30"/>
      <w:bookmarkStart w:id="433" w:name="FTR30"/>
      <w:bookmarkEnd w:id="4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4" w:name="GLFTR30"/>
      <w:bookmarkEnd w:id="4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5" w:name="PN30"/>
      <w:bookmarkEnd w:id="435"/>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6" w:name="HDR30"/>
      <w:bookmarkStart w:id="437" w:name="HDR30"/>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8" w:name="GLHDR30"/>
      <w:bookmarkEnd w:id="4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3.         </w:t>
      </w:r>
      <w:r>
        <w:rPr>
          <w:rFonts w:ascii="Times New Roman" w:hAnsi="Times New Roman"/>
          <w:sz w:val="20"/>
          <w:u w:val="single"/>
        </w:rPr>
        <w:t>Termination of the Security Agreement, Negative Covenant and IP Security Agreement</w:t>
      </w:r>
      <w:r>
        <w:rPr>
          <w:rFonts w:ascii="Times New Roman" w:hAnsi="Times New Roman"/>
          <w:sz w:val="20"/>
        </w:rPr>
        <w:t xml:space="preserve">. On the Closing Date, the Security Agreements shall terminate and be of no further force and effect, and Platinum shall execute any release, termination statement, or other document reasonably requested by the Company necessary to release Platinum’s security or other interest in and to any asset of the Company and the Subsidiaries granted or issued to Platinum under the terms of the Security Agreements, including by way of example and not by limitation, Platinum’s security interest in and to any and all intellectual property of VistaGen California, as described in </w:t>
      </w:r>
      <w:r>
        <w:rPr>
          <w:rFonts w:ascii="Times New Roman" w:hAnsi="Times New Roman"/>
          <w:sz w:val="20"/>
          <w:u w:val="single"/>
        </w:rPr>
        <w:t>Schedule B</w:t>
      </w:r>
      <w:r>
        <w:rPr>
          <w:rFonts w:ascii="Times New Roman" w:hAnsi="Times New Roman"/>
          <w:sz w:val="20"/>
        </w:rPr>
        <w:t>.</w:t>
      </w:r>
    </w:p>
    <w:p>
      <w:pPr>
        <w:pStyle w:val="TextBody"/>
        <w:spacing w:before="0" w:after="0"/>
        <w:ind w:left="0" w:right="0" w:hanging="0"/>
        <w:jc w:val="both"/>
        <w:rPr/>
      </w:pPr>
      <w:r>
        <w:rPr/>
      </w:r>
    </w:p>
    <w:p>
      <w:pPr>
        <w:pStyle w:val="TextBody"/>
        <w:spacing w:before="0" w:after="0"/>
        <w:ind w:left="0" w:right="0" w:firstLine="720"/>
        <w:jc w:val="both"/>
        <w:rPr/>
      </w:pPr>
      <w:r>
        <w:rPr>
          <w:rFonts w:ascii="Times New Roman" w:hAnsi="Times New Roman"/>
          <w:sz w:val="20"/>
        </w:rPr>
        <w:t>4.</w:t>
      </w:r>
      <w:bookmarkStart w:id="439" w:name="TAB2123"/>
      <w:bookmarkEnd w:id="439"/>
      <w:r>
        <w:rPr>
          <w:color w:val="000000"/>
          <w:spacing w:val="180"/>
        </w:rPr>
        <w:t> </w:t>
      </w:r>
      <w:r>
        <w:rPr>
          <w:rFonts w:ascii="Times New Roman" w:hAnsi="Times New Roman"/>
          <w:sz w:val="20"/>
          <w:u w:val="single"/>
        </w:rPr>
        <w:t>Representations, Warranties and Covenants of Platinum</w:t>
      </w:r>
      <w:r>
        <w:rPr>
          <w:rFonts w:ascii="Times New Roman" w:hAnsi="Times New Roman"/>
          <w:sz w:val="20"/>
        </w:rPr>
        <w:t>. Platinum hereby makes the following representations and warranties to the Company, and covenants for the benefit of the Company:</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(a)</w:t>
      </w:r>
      <w:bookmarkStart w:id="440" w:name="TAB2124"/>
      <w:bookmarkEnd w:id="440"/>
      <w:r>
        <w:rPr>
          <w:color w:val="000000"/>
          <w:spacing w:val="180"/>
        </w:rPr>
        <w:t> </w:t>
      </w:r>
      <w:r>
        <w:rPr>
          <w:rFonts w:ascii="Times New Roman" w:hAnsi="Times New Roman"/>
          <w:sz w:val="20"/>
        </w:rPr>
        <w:t>Platinum is a limited liability company validly existing and in good standing under the laws of the jurisdiction of its organization.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(b)</w:t>
      </w:r>
      <w:bookmarkStart w:id="441" w:name="TAB2125"/>
      <w:bookmarkEnd w:id="441"/>
      <w:r>
        <w:rPr>
          <w:color w:val="000000"/>
          <w:spacing w:val="180"/>
        </w:rPr>
        <w:t> </w:t>
      </w:r>
      <w:r>
        <w:rPr>
          <w:rFonts w:ascii="Times New Roman" w:hAnsi="Times New Roman"/>
          <w:sz w:val="20"/>
        </w:rPr>
        <w:t>This Agreement has been duly authorized, validly executed and delivered by Platinum and is a valid and binding agreement and obligation of Platinum enforceable against Platinum in accordance with its terms, subject to limitations on enforcement by general principles of equity and by bankruptcy or other laws affecting the enforcement of creditors’ rights generally, and Platinum has full power and authority to execute and deliver the Agreement and the other agreements and documents contemplated hereby and to perform its obligations hereunder and thereunder.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(c)</w:t>
      </w:r>
      <w:bookmarkStart w:id="442" w:name="TAB2126"/>
      <w:bookmarkEnd w:id="442"/>
      <w:r>
        <w:rPr>
          <w:color w:val="000000"/>
          <w:spacing w:val="180"/>
        </w:rPr>
        <w:t> </w:t>
      </w:r>
      <w:r>
        <w:rPr>
          <w:rFonts w:ascii="Times New Roman" w:hAnsi="Times New Roman"/>
          <w:sz w:val="20"/>
        </w:rPr>
        <w:t>Platinum understands that the Conversion Shares are being offered and sold to it in reliance on specific provisions of Federal and state securities laws and that the Company is relying upon the truth and accuracy of the representations, warranties, agreements, acknowledgments and understandings of Platinum set forth herein for purposes of qualifying for exemptions from registration under the Securities Act of 1933, as amended (the “</w:t>
      </w:r>
      <w:r>
        <w:rPr>
          <w:rFonts w:ascii="Times New Roman" w:hAnsi="Times New Roman"/>
          <w:i/>
          <w:sz w:val="20"/>
        </w:rPr>
        <w:t>Securities Act</w:t>
      </w:r>
      <w:r>
        <w:rPr>
          <w:rFonts w:ascii="Times New Roman" w:hAnsi="Times New Roman"/>
          <w:sz w:val="20"/>
        </w:rPr>
        <w:t>”) and applicable state securities laws.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(d)</w:t>
      </w:r>
      <w:bookmarkStart w:id="443" w:name="TAB2127"/>
      <w:bookmarkEnd w:id="443"/>
      <w:r>
        <w:rPr>
          <w:color w:val="000000"/>
          <w:spacing w:val="180"/>
        </w:rPr>
        <w:t> </w:t>
      </w:r>
      <w:r>
        <w:rPr>
          <w:rFonts w:ascii="Times New Roman" w:hAnsi="Times New Roman"/>
          <w:sz w:val="20"/>
        </w:rPr>
        <w:t>Platinum is an “accredited investor” as defined under Rule 501 of Regulation D promulgated under the Securities Act.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(e)</w:t>
      </w:r>
      <w:bookmarkStart w:id="444" w:name="TAB2128"/>
      <w:bookmarkEnd w:id="444"/>
      <w:r>
        <w:rPr>
          <w:color w:val="000000"/>
          <w:spacing w:val="180"/>
        </w:rPr>
        <w:t> </w:t>
      </w:r>
      <w:r>
        <w:rPr>
          <w:rFonts w:ascii="Times New Roman" w:hAnsi="Times New Roman"/>
          <w:sz w:val="20"/>
        </w:rPr>
        <w:t xml:space="preserve">Platinum is and will be acquiring the Conversion Shares for Platinum’s own account, for investment purposes, and not with a view to any resale or distribution in whole or in part, in violation of the Securities Act or any applicable securities laws; </w:t>
      </w:r>
      <w:r>
        <w:rPr>
          <w:rFonts w:ascii="Times New Roman" w:hAnsi="Times New Roman"/>
          <w:i/>
          <w:sz w:val="20"/>
        </w:rPr>
        <w:t>provided, however</w:t>
      </w:r>
      <w:r>
        <w:rPr>
          <w:rFonts w:ascii="Times New Roman" w:hAnsi="Times New Roman"/>
          <w:sz w:val="20"/>
        </w:rPr>
        <w:t>, that notwithstanding the foregoing, Platinum does not covenant to hold the Conversion Shares for any minimum period of time.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(f)</w:t>
      </w:r>
      <w:bookmarkStart w:id="445" w:name="TAB2129"/>
      <w:bookmarkEnd w:id="445"/>
      <w:r>
        <w:rPr>
          <w:color w:val="000000"/>
          <w:spacing w:val="180"/>
        </w:rPr>
        <w:t> </w:t>
      </w:r>
      <w:r>
        <w:rPr>
          <w:rFonts w:ascii="Times New Roman" w:hAnsi="Times New Roman"/>
          <w:sz w:val="20"/>
        </w:rPr>
        <w:t>The offer and sale of the Conversion Shares is intended to be exempt from registration under the Securities Act, by virtue of Section 3(a)(9) and/or 4(2) thereof.  Platinum understands that the Conversion Shares are “restricted securities,” as that term is defined in the Securities Act and the rules thereunder, have not been registered under the Securities Act, and that none of the Conversion Shares can be sold or transferred unless they are first registered under the Securities Act and such state and other securities laws as may be applicable or the Company receives an opinion of counsel reasonably acceptable to the Company that an exemption from registration under the Securities Act is available (and then the Conversion Shares may be sold or transferred only in compliance with such exemption and all applicable state and other securities laws).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(g)</w:t>
      </w:r>
      <w:bookmarkStart w:id="446" w:name="TAB2130"/>
      <w:bookmarkEnd w:id="446"/>
      <w:r>
        <w:rPr>
          <w:color w:val="000000"/>
          <w:spacing w:val="180"/>
        </w:rPr>
        <w:t> </w:t>
      </w:r>
      <w:r>
        <w:rPr>
          <w:rFonts w:ascii="Times New Roman" w:hAnsi="Times New Roman"/>
          <w:sz w:val="20"/>
        </w:rPr>
        <w:t>Platinum has not assigned, conveyed or otherwise transferred any interest in and to the Notes to any third party, and owns and holds, beneficially and of record, the entire right, title, and interest in and to the Notes free and clear of all rights and Encumbrances (as defined below). As used herein, “Encumbrances”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5.           </w:t>
      </w:r>
      <w:r>
        <w:rPr>
          <w:rFonts w:ascii="Times New Roman" w:hAnsi="Times New Roman"/>
          <w:sz w:val="20"/>
          <w:u w:val="single"/>
        </w:rPr>
        <w:t>Representations, Warranties and Covenants of the Company</w:t>
      </w:r>
      <w:r>
        <w:rPr>
          <w:rFonts w:ascii="Times New Roman" w:hAnsi="Times New Roman"/>
          <w:sz w:val="20"/>
        </w:rPr>
        <w:t>.  The Company represents and warrants to Platinum, and covenants for the benefit of Platinum, as follows: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7" w:name="PGBRK31"/>
      <w:bookmarkStart w:id="448" w:name="PGBRK31"/>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9" w:name="FTR31"/>
      <w:bookmarkStart w:id="450" w:name="FTR31"/>
      <w:bookmarkEnd w:id="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1" w:name="GLFTR31"/>
      <w:bookmarkEnd w:id="4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2" w:name="PN31"/>
      <w:bookmarkEnd w:id="452"/>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3" w:name="HDR31"/>
      <w:bookmarkStart w:id="454" w:name="HDR31"/>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5" w:name="GLHDR31"/>
      <w:bookmarkEnd w:id="4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pPr>
      <w:r>
        <w:rPr>
          <w:rFonts w:ascii="Times New Roman" w:hAnsi="Times New Roman"/>
          <w:sz w:val="20"/>
        </w:rPr>
        <w:t>(a)</w:t>
      </w:r>
      <w:bookmarkStart w:id="456" w:name="TAB2131"/>
      <w:bookmarkEnd w:id="456"/>
      <w:r>
        <w:rPr>
          <w:color w:val="000000"/>
          <w:spacing w:val="180"/>
        </w:rPr>
        <w:t> </w:t>
      </w:r>
      <w:r>
        <w:rPr>
          <w:rFonts w:ascii="Times New Roman" w:hAnsi="Times New Roman"/>
          <w:sz w:val="20"/>
        </w:rPr>
        <w:t>The Company has been duly incorporated and is validly existing and in good standing under the laws of the state of Nevada, with full corporate power and authority to own, lease and operate its properties and to conduct its business as currently conducted, and is duly registered and qualified to conduct its business and is in good standing in each jurisdiction or place where the nature of its properties or the conduct of its business requires such registration or qualification, except where the failure to register or qualify would not have a Material Adverse Effect.  For purposes of this Agreement, “</w:t>
      </w:r>
      <w:r>
        <w:rPr>
          <w:rFonts w:ascii="Times New Roman" w:hAnsi="Times New Roman"/>
          <w:i/>
          <w:sz w:val="20"/>
        </w:rPr>
        <w:t>Material Adverse Effect</w:t>
      </w:r>
      <w:r>
        <w:rPr>
          <w:rFonts w:ascii="Times New Roman" w:hAnsi="Times New Roman"/>
          <w:sz w:val="20"/>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under this Agreement in any material respect.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(b)</w:t>
      </w:r>
      <w:bookmarkStart w:id="457" w:name="TAB2132"/>
      <w:bookmarkEnd w:id="457"/>
      <w:r>
        <w:rPr>
          <w:color w:val="000000"/>
          <w:spacing w:val="180"/>
        </w:rPr>
        <w:t> </w:t>
      </w:r>
      <w:r>
        <w:rPr>
          <w:rFonts w:ascii="Times New Roman" w:hAnsi="Times New Roman"/>
          <w:sz w:val="20"/>
        </w:rPr>
        <w:t>The Conversion Shares have been duly authorized by all necessary corporate action and, when paid for or issued in accordance with the terms hereof, the Conversion Shares shall be validly issued and outstanding, fully paid and nonassessable, free and clear of all liens, encumbrances and rights of refusal of any kind.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(c)</w:t>
      </w:r>
      <w:bookmarkStart w:id="458" w:name="TAB2133"/>
      <w:bookmarkEnd w:id="458"/>
      <w:r>
        <w:rPr>
          <w:color w:val="000000"/>
          <w:spacing w:val="180"/>
        </w:rPr>
        <w:t> </w:t>
      </w:r>
      <w:r>
        <w:rPr>
          <w:rFonts w:ascii="Times New Roman" w:hAnsi="Times New Roman"/>
          <w:sz w:val="20"/>
        </w:rPr>
        <w:t>This Agreement has been duly authorized, validly executed and delivered on behalf of the Company and is a valid and binding agreement and obligation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other agreements and documents contemplated hereby and to perform its obligations hereunder and thereunder.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(d)</w:t>
      </w:r>
      <w:bookmarkStart w:id="459" w:name="TAB2134"/>
      <w:bookmarkEnd w:id="459"/>
      <w:r>
        <w:rPr>
          <w:color w:val="000000"/>
          <w:spacing w:val="180"/>
        </w:rPr>
        <w:t> </w:t>
      </w:r>
      <w:r>
        <w:rPr>
          <w:rFonts w:ascii="Times New Roman" w:hAnsi="Times New Roman"/>
          <w:sz w:val="20"/>
        </w:rPr>
        <w:t>The execution and delivery of the Agreement and the consummation of the transactions contemplated by this Agreement by the Company,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 (iii) for any such conflicts, breaches, or defaults or any liens, charges, or encumbrances which would not have a Material Adverse Effect.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(e)</w:t>
      </w:r>
      <w:bookmarkStart w:id="460" w:name="TAB2135"/>
      <w:bookmarkEnd w:id="460"/>
      <w:r>
        <w:rPr>
          <w:color w:val="000000"/>
          <w:spacing w:val="180"/>
        </w:rPr>
        <w:t> </w:t>
      </w:r>
      <w:r>
        <w:rPr>
          <w:rFonts w:ascii="Times New Roman" w:hAnsi="Times New Roman"/>
          <w:sz w:val="20"/>
        </w:rPr>
        <w:t>The delivery and issuance of the Conversion Shares in accordance with the terms of and in reliance on the accuracy of Platinum’s representations and warranties set forth in this Agreement will be exempt from the registration requirements of the Securities Act.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(f)</w:t>
      </w:r>
      <w:bookmarkStart w:id="461" w:name="TAB2136"/>
      <w:bookmarkEnd w:id="461"/>
      <w:r>
        <w:rPr>
          <w:color w:val="000000"/>
          <w:spacing w:val="180"/>
        </w:rPr>
        <w:t> </w:t>
      </w:r>
      <w:r>
        <w:rPr>
          <w:rFonts w:ascii="Times New Roman" w:hAnsi="Times New Roman"/>
          <w:sz w:val="20"/>
        </w:rPr>
        <w:t>No consent, approval or authorization of or designation, declaration or filing with any governmental authority on the part of the Company is required in connection with the valid execution and delivery of this Agreement or the offer, sale or issuance of the Conversion Shares or the consummation of any other transaction contemplated by this Agreement.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(g)</w:t>
      </w:r>
      <w:bookmarkStart w:id="462" w:name="TAB2137"/>
      <w:bookmarkEnd w:id="462"/>
      <w:r>
        <w:rPr>
          <w:color w:val="000000"/>
          <w:spacing w:val="180"/>
        </w:rPr>
        <w:t> </w:t>
      </w:r>
      <w:r>
        <w:rPr>
          <w:rFonts w:ascii="Times New Roman" w:hAnsi="Times New Roman"/>
          <w:sz w:val="20"/>
        </w:rPr>
        <w:t>The Company has complied and will comply with all applicable federal and state securities laws in connection with the offer, issuance and delivery of the Conversion Shares hereunder.</w:t>
      </w:r>
    </w:p>
    <w:p>
      <w:pPr>
        <w:pStyle w:val="TextBody"/>
        <w:spacing w:before="0" w:after="0"/>
        <w:ind w:left="0" w:right="0" w:hanging="0"/>
        <w:jc w:val="both"/>
        <w:rPr/>
      </w:pPr>
      <w:r>
        <w:rPr/>
        <w:t> </w:t>
      </w:r>
    </w:p>
    <w:p>
      <w:pPr>
        <w:pStyle w:val="TextBody"/>
        <w:spacing w:before="0" w:after="0"/>
        <w:ind w:left="0" w:right="0" w:firstLine="1440"/>
        <w:jc w:val="both"/>
        <w:rPr/>
      </w:pPr>
      <w:r>
        <w:rPr/>
        <w:t> </w:t>
      </w:r>
      <w:r>
        <w:rPr>
          <w:rFonts w:ascii="Times New Roman" w:hAnsi="Times New Roman"/>
          <w:sz w:val="20"/>
        </w:rPr>
        <w:t>(h)           The Company shall cause its Common Stock to continue to be registered under Section 12(b) or 12(g) of the Securities Exchange Act of 1934 (the “</w:t>
      </w:r>
      <w:r>
        <w:rPr>
          <w:rFonts w:ascii="Times New Roman" w:hAnsi="Times New Roman"/>
          <w:i/>
          <w:sz w:val="20"/>
        </w:rPr>
        <w:t>Exchange Act</w:t>
      </w:r>
      <w:r>
        <w:rPr>
          <w:rFonts w:ascii="Times New Roman" w:hAnsi="Times New Roman"/>
          <w:sz w:val="20"/>
        </w:rPr>
        <w:t>”), and not take any action or file any document (whether or not permitted by the Securities Act or the rules promulgated thereunder) to terminate or suspend its reporting and filing obligations under the Exchange Act and the Securities Act, except as permitted herein.  The Company will take all action necessary to continue the listing or trading of its Common Stock on the OTC Bulletin Board or other exchange or market on which the Common Stock is trading.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3" w:name="PGBRK32"/>
      <w:bookmarkStart w:id="464" w:name="PGBRK32"/>
      <w:bookmarkEnd w:id="4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5" w:name="FTR32"/>
      <w:bookmarkStart w:id="466" w:name="FTR32"/>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7" w:name="GLFTR32"/>
      <w:bookmarkEnd w:id="4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8" w:name="PN32"/>
      <w:bookmarkEnd w:id="46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9" w:name="HDR32"/>
      <w:bookmarkStart w:id="470" w:name="HDR32"/>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1" w:name="GLHDR32"/>
      <w:bookmarkEnd w:id="4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(i)           In the event that the Conversion Shares are sold in a manner that complies with an exemption from registration, the Company shall promptly cause its counsel (at its expense) to issue to the transfer agent an opinion permitting removal of the legend (indefinitely if pursuant to Rule 144(k) of the Securities Act (or its successor provisions, including any provision that permits unlimited resales after the relevant holding period set forth in Rule 144), or to permit sales of the Conversion Shares if pursuant to the other provisions of Rule 144 of the Securities Act).</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6.           </w:t>
      </w:r>
      <w:r>
        <w:rPr>
          <w:rFonts w:ascii="Times New Roman" w:hAnsi="Times New Roman"/>
          <w:sz w:val="20"/>
          <w:u w:val="single"/>
        </w:rPr>
        <w:t>Warrant Adjustments</w:t>
      </w:r>
      <w:r>
        <w:rPr>
          <w:rFonts w:ascii="Times New Roman" w:hAnsi="Times New Roman"/>
          <w:sz w:val="20"/>
        </w:rPr>
        <w:t>.  The Parties agree and acknowledge that (i) the issuance of the QF Securities, and (ii) the grant to certain officers and directors of the Company of ten-year warrants to purchase an aggregate of 3.0 million shares of the Company’s Common Stock at an exercise price of $0.64 per share (the “Option Issuance”), shall trigger adjustments to the exercise price and number of warrant shares under (i) Article IV of the common stock purchase warrants issued to Platinum pursuant the NEPA (the “</w:t>
      </w:r>
      <w:r>
        <w:rPr>
          <w:rFonts w:ascii="Times New Roman" w:hAnsi="Times New Roman"/>
          <w:i/>
          <w:sz w:val="20"/>
        </w:rPr>
        <w:t>NEPA Warrants</w:t>
      </w:r>
      <w:r>
        <w:rPr>
          <w:rFonts w:ascii="Times New Roman" w:hAnsi="Times New Roman"/>
          <w:sz w:val="20"/>
        </w:rPr>
        <w:t>”), and (ii) the Series A Exchange Warrants (as defined in the NEPA) that may be issued to Platinum upon consummation of a Series A Exchange (as defined in the NEPA) (together, the “</w:t>
      </w:r>
      <w:r>
        <w:rPr>
          <w:rFonts w:ascii="Times New Roman" w:hAnsi="Times New Roman"/>
          <w:i/>
          <w:sz w:val="20"/>
        </w:rPr>
        <w:t>Warrant Adjustments</w:t>
      </w:r>
      <w:r>
        <w:rPr>
          <w:rFonts w:ascii="Times New Roman" w:hAnsi="Times New Roman"/>
          <w:sz w:val="20"/>
        </w:rPr>
        <w:t>”).   Notwithstanding the above, and the provisions requiring Warrant Adjustments in the NEPA Warrants and the Series A Exchange Warrants, the Parties agree and acknowledge that the exercise price of the NEPA Warrants and the Series A Exchange Warrants shall be reduced to $0.50 per share as a result of the issuance of any Common Stock pursuant to the QF Documents, and no other Warrant Adjustments shall be made as a result of the issuance of the QF Securities pursuant to the QF Documents or the Option Issuance, including without limitation, any adjustment to the number of Shares of Common Stock issuable upon exercise of the NEPA Warrants and the Series A Exchange Warrants.   The Parties further agree and acknowledge that, as a result of the foregoing, to the extent of any conflict between the terms and conditions of the NEPA Warrants and Series A Exchange Warrants, and the terms and conditions set forth in this Section 6, the terms of this Section 6 shall control.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7.           </w:t>
      </w:r>
      <w:r>
        <w:rPr>
          <w:rFonts w:ascii="Times New Roman" w:hAnsi="Times New Roman"/>
          <w:sz w:val="20"/>
          <w:u w:val="single"/>
        </w:rPr>
        <w:t>Conditions Precedent to the Obligation of the Company to Consummate the Note Conversion</w:t>
      </w:r>
      <w:r>
        <w:rPr>
          <w:rFonts w:ascii="Times New Roman" w:hAnsi="Times New Roman"/>
          <w:sz w:val="20"/>
        </w:rPr>
        <w:t>.  The obligation hereunder of the Company to issue and deliver the Conversion Shares to Platinum and consummate the Note Conversion is subject to the satisfaction or waiver, at or before the Closing Date, of each of the conditions set forth below.  These conditions are for the Company’s sole benefit and may be waived by the Company at any time in its sole discretion.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(a)</w:t>
      </w:r>
      <w:bookmarkStart w:id="472" w:name="TAB2138"/>
      <w:bookmarkEnd w:id="472"/>
      <w:r>
        <w:rPr>
          <w:color w:val="000000"/>
          <w:spacing w:val="180"/>
        </w:rPr>
        <w:t> </w:t>
      </w:r>
      <w:r>
        <w:rPr>
          <w:rFonts w:ascii="Times New Roman" w:hAnsi="Times New Roman"/>
          <w:sz w:val="20"/>
        </w:rPr>
        <w:t>Platinum shall have executed and delivered this Agreement.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(b)</w:t>
      </w:r>
      <w:bookmarkStart w:id="473" w:name="TAB2139"/>
      <w:bookmarkEnd w:id="473"/>
      <w:r>
        <w:rPr>
          <w:color w:val="000000"/>
          <w:spacing w:val="180"/>
        </w:rPr>
        <w:t> </w:t>
      </w:r>
      <w:r>
        <w:rPr>
          <w:rFonts w:ascii="Times New Roman" w:hAnsi="Times New Roman"/>
          <w:sz w:val="20"/>
        </w:rPr>
        <w:t>Platinum shall have performed, satisfied and complied in all material respects with all covenants, agreements and conditions required by this Agreement to be performed, satisfied or complied with by Platinum at or prior to the Closing Date.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(c)</w:t>
      </w:r>
      <w:bookmarkStart w:id="474" w:name="TAB2140"/>
      <w:bookmarkEnd w:id="474"/>
      <w:r>
        <w:rPr>
          <w:color w:val="000000"/>
          <w:spacing w:val="180"/>
        </w:rPr>
        <w:t> </w:t>
      </w:r>
      <w:r>
        <w:rPr>
          <w:rFonts w:ascii="Times New Roman" w:hAnsi="Times New Roman"/>
          <w:sz w:val="20"/>
        </w:rPr>
        <w:t>The representations and warranties of Platinum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8.           </w:t>
      </w:r>
      <w:r>
        <w:rPr>
          <w:rFonts w:ascii="Times New Roman" w:hAnsi="Times New Roman"/>
          <w:sz w:val="20"/>
          <w:u w:val="single"/>
        </w:rPr>
        <w:t>Conditions Precedent to the Obligation of Platinum to Consummate the Note Conversion</w:t>
      </w:r>
      <w:r>
        <w:rPr>
          <w:rFonts w:ascii="Times New Roman" w:hAnsi="Times New Roman"/>
          <w:sz w:val="20"/>
        </w:rPr>
        <w:t>. The obligation hereunder of Platinum to surrender the Notes, accept the Conversion Shares and consummate the Note Conversion is subject to the satisfaction or waiver, at or before the Closing Date, of each of the conditions set forth below.  These conditions are for Platinum’s sole benefit and may be waived by Platinum at any time in its sole discretion.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(a)</w:t>
      </w:r>
      <w:bookmarkStart w:id="475" w:name="TAB2141"/>
      <w:bookmarkEnd w:id="475"/>
      <w:r>
        <w:rPr>
          <w:color w:val="000000"/>
          <w:spacing w:val="180"/>
        </w:rPr>
        <w:t> </w:t>
      </w:r>
      <w:r>
        <w:rPr>
          <w:rFonts w:ascii="Times New Roman" w:hAnsi="Times New Roman"/>
          <w:sz w:val="20"/>
        </w:rPr>
        <w:t>The Company shall have executed and delivered this Agreement.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(b)</w:t>
      </w:r>
      <w:bookmarkStart w:id="476" w:name="TAB2142"/>
      <w:bookmarkEnd w:id="476"/>
      <w:r>
        <w:rPr>
          <w:color w:val="000000"/>
          <w:spacing w:val="180"/>
        </w:rPr>
        <w:t> </w:t>
      </w:r>
      <w:r>
        <w:rPr>
          <w:rFonts w:ascii="Times New Roman" w:hAnsi="Times New Roman"/>
          <w:sz w:val="20"/>
        </w:rPr>
        <w:t>The Company shall have performed, satisfied and complied in all material respects with all covenants, agreements and conditions required by the Agreement to be performed, satisfied or complied with by the Company at or prior to the Closing Date.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(c)</w:t>
      </w:r>
      <w:bookmarkStart w:id="477" w:name="TAB2143"/>
      <w:bookmarkEnd w:id="477"/>
      <w:r>
        <w:rPr>
          <w:color w:val="000000"/>
          <w:spacing w:val="180"/>
        </w:rPr>
        <w:t> </w:t>
      </w:r>
      <w:r>
        <w:rPr>
          <w:rFonts w:ascii="Times New Roman" w:hAnsi="Times New Roman"/>
          <w:sz w:val="20"/>
        </w:rPr>
        <w:t>Each of the representations and warranties of the Company shall be true and correct in all material respects as of the date when made and as of the Closing Date as though made at that time, except for representations and warranties that speak as of a particular date, which shall be true and correct in all material respects as of such date.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(d)</w:t>
      </w:r>
      <w:bookmarkStart w:id="478" w:name="TAB2144"/>
      <w:bookmarkEnd w:id="478"/>
      <w:r>
        <w:rPr>
          <w:color w:val="000000"/>
          <w:spacing w:val="180"/>
        </w:rPr>
        <w:t> </w:t>
      </w:r>
      <w:r>
        <w:rPr>
          <w:rFonts w:ascii="Times New Roman" w:hAnsi="Times New Roman"/>
          <w:sz w:val="20"/>
        </w:rPr>
        <w:t>No statute, regulation, executive order, decree, ruling or injunction shall have been enacted, entered, promulgated or endorsed by any court or governmental authority of competent jurisdiction which prohibits the consummation of any of the transactions contemplated by this Agreement at or prior to the Closing Date.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9" w:name="PGBRK33"/>
      <w:bookmarkStart w:id="480" w:name="PGBRK33"/>
      <w:bookmarkEnd w:id="4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1" w:name="FTR33"/>
      <w:bookmarkStart w:id="482" w:name="FTR33"/>
      <w:bookmarkEnd w:id="4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3" w:name="GLFTR33"/>
      <w:bookmarkEnd w:id="4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4" w:name="PN33"/>
      <w:bookmarkEnd w:id="484"/>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5" w:name="HDR33"/>
      <w:bookmarkStart w:id="486" w:name="HDR33"/>
      <w:bookmarkEnd w:id="4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7" w:name="GLHDR33"/>
      <w:bookmarkEnd w:id="4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pPr>
      <w:r>
        <w:rPr>
          <w:rFonts w:ascii="Times New Roman" w:hAnsi="Times New Roman"/>
          <w:sz w:val="20"/>
        </w:rPr>
        <w:t>(e)</w:t>
      </w:r>
      <w:bookmarkStart w:id="488" w:name="TAB2145"/>
      <w:bookmarkEnd w:id="488"/>
      <w:r>
        <w:rPr>
          <w:color w:val="000000"/>
          <w:spacing w:val="180"/>
        </w:rPr>
        <w:t> </w:t>
      </w:r>
      <w:r>
        <w:rPr>
          <w:rFonts w:ascii="Times New Roman" w:hAnsi="Times New Roman"/>
          <w:sz w:val="20"/>
        </w:rPr>
        <w:t>As of the Closing Date, no action, suit or proceeding before or by any court or governmental agency or body, domestic or foreign, shall be pending against or affecting the Company, or any of its properties, which questions the validity of the Agreement or the transactions contemplated thereby or any action taken or to be taken pursuant thereto.  As of the Closing Date, no action, suit, claim or proceeding before or by any court or governmental agency or body, domestic or foreign, shall be pending against or affecting the Company, or any of its properties, which, if adversely determined, is reasonably likely to result in a Material Adverse Effect.</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(f)           On or before April 30, 2013, the Company shall have fully consummated the Qualified Financing on the terms set forth in the QF Documents attached hereto as </w:t>
      </w:r>
      <w:r>
        <w:rPr>
          <w:rFonts w:ascii="Times New Roman" w:hAnsi="Times New Roman"/>
          <w:sz w:val="20"/>
          <w:u w:val="single"/>
        </w:rPr>
        <w:t>Annex A</w:t>
      </w:r>
      <w:r>
        <w:rPr>
          <w:rFonts w:ascii="Times New Roman" w:hAnsi="Times New Roman"/>
          <w:sz w:val="20"/>
        </w:rPr>
        <w:t>, issuing 72 million shares of Common Stock thereunder, and delivered to Platinum the QF Notice and Conversion Instructions.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9.           </w:t>
      </w:r>
      <w:r>
        <w:rPr>
          <w:rFonts w:ascii="Times New Roman" w:hAnsi="Times New Roman"/>
          <w:sz w:val="20"/>
          <w:u w:val="single"/>
        </w:rPr>
        <w:t>Governing Law; Consent to Jurisdiction</w:t>
      </w:r>
      <w:r>
        <w:rPr>
          <w:rFonts w:ascii="Times New Roman" w:hAnsi="Times New Roman"/>
          <w:sz w:val="20"/>
        </w:rPr>
        <w:t xml:space="preserve">.  This Agreement shall be governed by and interpreted in accordance with the laws of the State of New York without giving effect conflicts of law principles that would result in the application of the substantive laws of another jurisdiction.  Each of the Parties consents to the exclusive jurisdiction of the Federal courts whose districts encompass any part of the State of New York in connection with any dispute arising under this Agreement and hereby waives, to the maximum extent permitted by law, any objection, including any objection based on </w:t>
      </w:r>
      <w:r>
        <w:rPr>
          <w:rFonts w:ascii="Times New Roman" w:hAnsi="Times New Roman"/>
          <w:i/>
          <w:sz w:val="20"/>
        </w:rPr>
        <w:t>forum non conveniens</w:t>
      </w:r>
      <w:r>
        <w:rPr>
          <w:rFonts w:ascii="Times New Roman" w:hAnsi="Times New Roman"/>
          <w:sz w:val="20"/>
        </w:rPr>
        <w:t>, to the bringing of any such proceeding in such jurisdictions.  Each Party waives its right to a trial by jury.  Each Party to this Agreement irrevocably consents to the service of process in any such proceeding by the mailing of copies thereof by registered or certified mail, postage prepaid, to such Party at its address set forth herein.  Nothing herein shall affect the right of any Party to serve process in any other manner permitted by law.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10.           </w:t>
      </w:r>
      <w:r>
        <w:rPr>
          <w:rFonts w:ascii="Times New Roman" w:hAnsi="Times New Roman"/>
          <w:sz w:val="20"/>
          <w:u w:val="single"/>
        </w:rPr>
        <w:t>Notices</w:t>
      </w:r>
      <w:r>
        <w:rPr>
          <w:rFonts w:ascii="Times New Roman" w:hAnsi="Times New Roman"/>
          <w:sz w:val="20"/>
        </w:rPr>
        <w:t>. All notices and other communications provided for or permitted hereunder shall be made in writing by hand delivery, express overnight courier, registered first class mail, or telecopier (provided that any notice sent by telecopier shall be confirmed by other means pursuant to this Section 10), initially to the address set forth below, and thereafter at such other address, notice of which is given in accordance with the provisions of this Section 10.</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if to the Company:</w:t>
      </w:r>
    </w:p>
    <w:p>
      <w:pPr>
        <w:pStyle w:val="TextBody"/>
        <w:spacing w:before="0" w:after="0"/>
        <w:ind w:left="0" w:right="0" w:hanging="0"/>
        <w:jc w:val="both"/>
        <w:rPr/>
      </w:pPr>
      <w:r>
        <w:rPr/>
        <w:t> </w:t>
      </w:r>
    </w:p>
    <w:p>
      <w:pPr>
        <w:pStyle w:val="TextBody"/>
        <w:spacing w:before="0" w:after="0"/>
        <w:ind w:left="1440" w:right="0" w:firstLine="720"/>
        <w:jc w:val="left"/>
        <w:rPr>
          <w:rFonts w:ascii="Times New Roman" w:hAnsi="Times New Roman"/>
          <w:sz w:val="20"/>
        </w:rPr>
      </w:pPr>
      <w:r>
        <w:rPr>
          <w:rFonts w:ascii="Times New Roman" w:hAnsi="Times New Roman"/>
          <w:sz w:val="20"/>
        </w:rPr>
        <w:t>VistaGen Therapeutics, Inc.</w:t>
      </w:r>
    </w:p>
    <w:p>
      <w:pPr>
        <w:pStyle w:val="TextBody"/>
        <w:spacing w:before="0" w:after="0"/>
        <w:ind w:left="1440" w:right="0" w:firstLine="720"/>
        <w:jc w:val="left"/>
        <w:rPr>
          <w:rFonts w:ascii="Times New Roman" w:hAnsi="Times New Roman"/>
          <w:sz w:val="20"/>
        </w:rPr>
      </w:pPr>
      <w:r>
        <w:rPr>
          <w:rFonts w:ascii="Times New Roman" w:hAnsi="Times New Roman"/>
          <w:sz w:val="20"/>
        </w:rPr>
        <w:t>384 Oyster Point Blvd., Suite No. 8</w:t>
      </w:r>
    </w:p>
    <w:p>
      <w:pPr>
        <w:pStyle w:val="TextBody"/>
        <w:spacing w:before="0" w:after="0"/>
        <w:ind w:left="1440" w:right="0" w:firstLine="720"/>
        <w:jc w:val="left"/>
        <w:rPr>
          <w:rFonts w:ascii="Times New Roman" w:hAnsi="Times New Roman"/>
          <w:sz w:val="20"/>
        </w:rPr>
      </w:pPr>
      <w:r>
        <w:rPr>
          <w:rFonts w:ascii="Times New Roman" w:hAnsi="Times New Roman"/>
          <w:sz w:val="20"/>
        </w:rPr>
        <w:t>South San Francisco, California 94080</w:t>
      </w:r>
    </w:p>
    <w:p>
      <w:pPr>
        <w:pStyle w:val="TextBody"/>
        <w:spacing w:before="0" w:after="0"/>
        <w:ind w:left="1440" w:right="0" w:firstLine="720"/>
        <w:jc w:val="left"/>
        <w:rPr>
          <w:rFonts w:ascii="Times New Roman" w:hAnsi="Times New Roman"/>
          <w:sz w:val="20"/>
        </w:rPr>
      </w:pPr>
      <w:r>
        <w:rPr>
          <w:rFonts w:ascii="Times New Roman" w:hAnsi="Times New Roman"/>
          <w:sz w:val="20"/>
        </w:rPr>
        <w:t>Attention: Chief Executive Officer</w:t>
      </w:r>
    </w:p>
    <w:p>
      <w:pPr>
        <w:pStyle w:val="TextBody"/>
        <w:spacing w:before="0" w:after="0"/>
        <w:ind w:left="1440" w:right="0" w:firstLine="720"/>
        <w:jc w:val="left"/>
        <w:rPr>
          <w:rFonts w:ascii="Times New Roman" w:hAnsi="Times New Roman"/>
          <w:sz w:val="20"/>
        </w:rPr>
      </w:pPr>
      <w:r>
        <w:rPr>
          <w:rFonts w:ascii="Times New Roman" w:hAnsi="Times New Roman"/>
          <w:sz w:val="20"/>
        </w:rPr>
        <w:t>Tel. No.: (650) 244-9990 ext. 224</w:t>
      </w:r>
    </w:p>
    <w:p>
      <w:pPr>
        <w:pStyle w:val="TextBody"/>
        <w:spacing w:before="0" w:after="0"/>
        <w:ind w:left="1440" w:right="0" w:firstLine="720"/>
        <w:jc w:val="left"/>
        <w:rPr>
          <w:rFonts w:ascii="Times New Roman" w:hAnsi="Times New Roman"/>
          <w:sz w:val="20"/>
        </w:rPr>
      </w:pPr>
      <w:r>
        <w:rPr>
          <w:rFonts w:ascii="Times New Roman" w:hAnsi="Times New Roman"/>
          <w:sz w:val="20"/>
        </w:rPr>
        <w:t>Fax No.: (888) 482-2602</w:t>
      </w:r>
    </w:p>
    <w:p>
      <w:pPr>
        <w:pStyle w:val="TextBody"/>
        <w:spacing w:before="0" w:after="0"/>
        <w:ind w:left="0" w:right="0" w:hanging="0"/>
        <w:jc w:val="both"/>
        <w:rPr/>
      </w:pPr>
      <w:r>
        <w:rPr/>
        <w:t> </w:t>
      </w:r>
    </w:p>
    <w:p>
      <w:pPr>
        <w:pStyle w:val="TextBody"/>
        <w:spacing w:before="0" w:after="0"/>
        <w:ind w:left="0" w:right="0" w:firstLine="720"/>
        <w:jc w:val="left"/>
        <w:rPr/>
      </w:pPr>
      <w:bookmarkStart w:id="489" w:name="TAB2146"/>
      <w:bookmarkEnd w:id="489"/>
      <w:r>
        <w:rPr>
          <w:spacing w:val="180"/>
        </w:rPr>
        <w:t>   </w:t>
      </w:r>
      <w:r>
        <w:rPr/>
        <w:t xml:space="preserve">    </w:t>
      </w:r>
      <w:r>
        <w:rPr>
          <w:rFonts w:ascii="Times New Roman" w:hAnsi="Times New Roman"/>
          <w:sz w:val="20"/>
        </w:rPr>
        <w:t>with a copy to:</w:t>
      </w:r>
    </w:p>
    <w:p>
      <w:pPr>
        <w:pStyle w:val="TextBody"/>
        <w:spacing w:before="0" w:after="0"/>
        <w:ind w:left="0" w:right="0" w:hanging="0"/>
        <w:jc w:val="both"/>
        <w:rPr/>
      </w:pPr>
      <w:r>
        <w:rPr/>
        <w:t> </w:t>
      </w:r>
    </w:p>
    <w:p>
      <w:pPr>
        <w:pStyle w:val="TextBody"/>
        <w:spacing w:before="0" w:after="0"/>
        <w:ind w:left="1440" w:right="0" w:firstLine="720"/>
        <w:jc w:val="left"/>
        <w:rPr>
          <w:rFonts w:ascii="Times New Roman" w:hAnsi="Times New Roman"/>
          <w:sz w:val="20"/>
        </w:rPr>
      </w:pPr>
      <w:r>
        <w:rPr>
          <w:rFonts w:ascii="Times New Roman" w:hAnsi="Times New Roman"/>
          <w:sz w:val="20"/>
        </w:rPr>
        <w:t>Disclosure Law Group</w:t>
      </w:r>
    </w:p>
    <w:p>
      <w:pPr>
        <w:pStyle w:val="TextBody"/>
        <w:spacing w:before="0" w:after="0"/>
        <w:ind w:left="1440" w:right="0" w:firstLine="720"/>
        <w:jc w:val="left"/>
        <w:rPr>
          <w:rFonts w:ascii="Times New Roman" w:hAnsi="Times New Roman"/>
          <w:sz w:val="20"/>
        </w:rPr>
      </w:pPr>
      <w:r>
        <w:rPr>
          <w:rFonts w:ascii="Times New Roman" w:hAnsi="Times New Roman"/>
          <w:sz w:val="20"/>
        </w:rPr>
        <w:t>501 West Broadway, Suite 800</w:t>
      </w:r>
    </w:p>
    <w:p>
      <w:pPr>
        <w:pStyle w:val="TextBody"/>
        <w:spacing w:before="0" w:after="0"/>
        <w:ind w:left="1440" w:right="0" w:firstLine="720"/>
        <w:jc w:val="left"/>
        <w:rPr>
          <w:rFonts w:ascii="Times New Roman" w:hAnsi="Times New Roman"/>
          <w:sz w:val="20"/>
        </w:rPr>
      </w:pPr>
      <w:r>
        <w:rPr>
          <w:rFonts w:ascii="Times New Roman" w:hAnsi="Times New Roman"/>
          <w:sz w:val="20"/>
        </w:rPr>
        <w:t>San Diego, California 92101</w:t>
      </w:r>
    </w:p>
    <w:p>
      <w:pPr>
        <w:pStyle w:val="TextBody"/>
        <w:spacing w:before="0" w:after="0"/>
        <w:ind w:left="1440" w:right="0" w:firstLine="720"/>
        <w:jc w:val="left"/>
        <w:rPr>
          <w:rFonts w:ascii="Times New Roman" w:hAnsi="Times New Roman"/>
          <w:sz w:val="20"/>
        </w:rPr>
      </w:pPr>
      <w:r>
        <w:rPr>
          <w:rFonts w:ascii="Times New Roman" w:hAnsi="Times New Roman"/>
          <w:sz w:val="20"/>
        </w:rPr>
        <w:t>Attention: Daniel W. Rumsey, Esquire</w:t>
      </w:r>
    </w:p>
    <w:p>
      <w:pPr>
        <w:pStyle w:val="TextBody"/>
        <w:spacing w:before="0" w:after="0"/>
        <w:ind w:left="1440" w:right="0" w:firstLine="720"/>
        <w:jc w:val="left"/>
        <w:rPr>
          <w:rFonts w:ascii="Times New Roman" w:hAnsi="Times New Roman"/>
          <w:sz w:val="20"/>
        </w:rPr>
      </w:pPr>
      <w:r>
        <w:rPr>
          <w:rFonts w:ascii="Times New Roman" w:hAnsi="Times New Roman"/>
          <w:sz w:val="20"/>
        </w:rPr>
        <w:t>Tel No.: (619) 795-1134</w:t>
      </w:r>
    </w:p>
    <w:p>
      <w:pPr>
        <w:pStyle w:val="TextBody"/>
        <w:spacing w:before="0" w:after="0"/>
        <w:ind w:left="2160" w:right="0" w:hanging="0"/>
        <w:jc w:val="left"/>
        <w:rPr>
          <w:rFonts w:ascii="Times New Roman" w:hAnsi="Times New Roman"/>
          <w:sz w:val="20"/>
        </w:rPr>
      </w:pPr>
      <w:r>
        <w:rPr>
          <w:rFonts w:ascii="Times New Roman" w:hAnsi="Times New Roman"/>
          <w:sz w:val="20"/>
        </w:rPr>
        <w:t>Fax No.: (619) 330-2101</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if to Platinum:</w:t>
      </w:r>
    </w:p>
    <w:p>
      <w:pPr>
        <w:pStyle w:val="TextBody"/>
        <w:spacing w:before="0" w:after="0"/>
        <w:ind w:left="0" w:right="0" w:hanging="0"/>
        <w:jc w:val="both"/>
        <w:rPr/>
      </w:pPr>
      <w:r>
        <w:rPr/>
        <w:t> </w:t>
      </w:r>
    </w:p>
    <w:p>
      <w:pPr>
        <w:pStyle w:val="TextBody"/>
        <w:spacing w:before="0" w:after="0"/>
        <w:ind w:left="1440" w:right="0" w:firstLine="720"/>
        <w:jc w:val="left"/>
        <w:rPr>
          <w:rFonts w:ascii="Times New Roman" w:hAnsi="Times New Roman"/>
          <w:sz w:val="20"/>
        </w:rPr>
      </w:pPr>
      <w:r>
        <w:rPr>
          <w:rFonts w:ascii="Times New Roman" w:hAnsi="Times New Roman"/>
          <w:sz w:val="20"/>
        </w:rPr>
        <w:t>Platinum Long Term Growth VII, LLC</w:t>
      </w:r>
    </w:p>
    <w:p>
      <w:pPr>
        <w:pStyle w:val="TextBody"/>
        <w:spacing w:before="0" w:after="0"/>
        <w:ind w:left="1440" w:right="0" w:firstLine="720"/>
        <w:jc w:val="left"/>
        <w:rPr>
          <w:rFonts w:ascii="Times New Roman" w:hAnsi="Times New Roman"/>
          <w:sz w:val="20"/>
        </w:rPr>
      </w:pPr>
      <w:r>
        <w:rPr>
          <w:rFonts w:ascii="Times New Roman" w:hAnsi="Times New Roman"/>
          <w:sz w:val="20"/>
        </w:rPr>
        <w:t>152 West 57th Street, 4th Floor</w:t>
      </w:r>
    </w:p>
    <w:p>
      <w:pPr>
        <w:pStyle w:val="TextBody"/>
        <w:spacing w:before="0" w:after="0"/>
        <w:ind w:left="1440" w:right="0" w:firstLine="720"/>
        <w:jc w:val="left"/>
        <w:rPr>
          <w:rFonts w:ascii="Times New Roman" w:hAnsi="Times New Roman"/>
          <w:sz w:val="20"/>
        </w:rPr>
      </w:pPr>
      <w:r>
        <w:rPr>
          <w:rFonts w:ascii="Times New Roman" w:hAnsi="Times New Roman"/>
          <w:sz w:val="20"/>
        </w:rPr>
        <w:t>New York, NY 10019</w:t>
      </w:r>
    </w:p>
    <w:p>
      <w:pPr>
        <w:pStyle w:val="TextBody"/>
        <w:spacing w:before="0" w:after="0"/>
        <w:ind w:left="1440" w:right="0" w:firstLine="720"/>
        <w:jc w:val="left"/>
        <w:rPr>
          <w:rFonts w:ascii="Times New Roman" w:hAnsi="Times New Roman"/>
          <w:sz w:val="20"/>
        </w:rPr>
      </w:pPr>
      <w:r>
        <w:rPr>
          <w:rFonts w:ascii="Times New Roman" w:hAnsi="Times New Roman"/>
          <w:sz w:val="20"/>
        </w:rPr>
        <w:t>Attention: Michael Goldberg, M.D.</w:t>
      </w:r>
    </w:p>
    <w:p>
      <w:pPr>
        <w:pStyle w:val="TextBody"/>
        <w:spacing w:before="0" w:after="0"/>
        <w:ind w:left="1440" w:right="0" w:firstLine="720"/>
        <w:jc w:val="left"/>
        <w:rPr>
          <w:rFonts w:ascii="Times New Roman" w:hAnsi="Times New Roman"/>
          <w:sz w:val="20"/>
        </w:rPr>
      </w:pPr>
      <w:r>
        <w:rPr>
          <w:rFonts w:ascii="Times New Roman" w:hAnsi="Times New Roman"/>
          <w:sz w:val="20"/>
        </w:rPr>
        <w:t>Tel. No.: (212) 271-7895</w:t>
      </w:r>
    </w:p>
    <w:p>
      <w:pPr>
        <w:pStyle w:val="TextBody"/>
        <w:spacing w:before="0" w:after="0"/>
        <w:ind w:left="2160" w:right="0" w:hanging="0"/>
        <w:jc w:val="left"/>
        <w:rPr>
          <w:rFonts w:ascii="Times New Roman" w:hAnsi="Times New Roman"/>
          <w:sz w:val="20"/>
        </w:rPr>
      </w:pPr>
      <w:r>
        <w:rPr>
          <w:rFonts w:ascii="Times New Roman" w:hAnsi="Times New Roman"/>
          <w:sz w:val="20"/>
        </w:rPr>
        <w:t>Fax No.: (212) 582-2424</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0" w:name="PGBRK34"/>
      <w:bookmarkStart w:id="491" w:name="PGBRK34"/>
      <w:bookmarkEnd w:id="4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2" w:name="FTR34"/>
      <w:bookmarkStart w:id="493" w:name="FTR34"/>
      <w:bookmarkEnd w:id="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4" w:name="GLFTR34"/>
      <w:bookmarkEnd w:id="4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5" w:name="PN34"/>
      <w:bookmarkEnd w:id="495"/>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6" w:name="HDR34"/>
      <w:bookmarkStart w:id="497" w:name="HDR34"/>
      <w:bookmarkEnd w:id="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8" w:name="GLHDR34"/>
      <w:bookmarkEnd w:id="4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with a copy to:</w:t>
      </w:r>
    </w:p>
    <w:p>
      <w:pPr>
        <w:pStyle w:val="TextBody"/>
        <w:spacing w:before="0" w:after="0"/>
        <w:ind w:left="0" w:right="0" w:hanging="0"/>
        <w:jc w:val="both"/>
        <w:rPr/>
      </w:pPr>
      <w:r>
        <w:rPr/>
        <w:t> </w:t>
      </w:r>
    </w:p>
    <w:p>
      <w:pPr>
        <w:pStyle w:val="TextBody"/>
        <w:spacing w:before="0" w:after="0"/>
        <w:ind w:left="1440" w:right="0" w:firstLine="720"/>
        <w:jc w:val="left"/>
        <w:rPr>
          <w:rFonts w:ascii="Times New Roman" w:hAnsi="Times New Roman"/>
          <w:sz w:val="20"/>
        </w:rPr>
      </w:pPr>
      <w:r>
        <w:rPr>
          <w:rFonts w:ascii="Times New Roman" w:hAnsi="Times New Roman"/>
          <w:sz w:val="20"/>
        </w:rPr>
        <w:t>Burak Anderson &amp; Melloni, PLC</w:t>
      </w:r>
    </w:p>
    <w:p>
      <w:pPr>
        <w:pStyle w:val="TextBody"/>
        <w:spacing w:before="0" w:after="0"/>
        <w:ind w:left="1440" w:right="0" w:firstLine="720"/>
        <w:jc w:val="left"/>
        <w:rPr>
          <w:rFonts w:ascii="Times New Roman" w:hAnsi="Times New Roman"/>
          <w:sz w:val="20"/>
        </w:rPr>
      </w:pPr>
      <w:r>
        <w:rPr>
          <w:rFonts w:ascii="Times New Roman" w:hAnsi="Times New Roman"/>
          <w:sz w:val="20"/>
        </w:rPr>
        <w:t>30 Main Street, Suite 210</w:t>
      </w:r>
    </w:p>
    <w:p>
      <w:pPr>
        <w:pStyle w:val="TextBody"/>
        <w:spacing w:before="0" w:after="0"/>
        <w:ind w:left="1440" w:right="0" w:firstLine="720"/>
        <w:jc w:val="left"/>
        <w:rPr>
          <w:rFonts w:ascii="Times New Roman" w:hAnsi="Times New Roman"/>
          <w:sz w:val="20"/>
        </w:rPr>
      </w:pPr>
      <w:r>
        <w:rPr>
          <w:rFonts w:ascii="Times New Roman" w:hAnsi="Times New Roman"/>
          <w:sz w:val="20"/>
        </w:rPr>
        <w:t>Burlington, Vermont 05401</w:t>
      </w:r>
    </w:p>
    <w:p>
      <w:pPr>
        <w:pStyle w:val="TextBody"/>
        <w:spacing w:before="0" w:after="0"/>
        <w:ind w:left="1440" w:right="0" w:firstLine="720"/>
        <w:jc w:val="left"/>
        <w:rPr>
          <w:rFonts w:ascii="Times New Roman" w:hAnsi="Times New Roman"/>
          <w:sz w:val="20"/>
        </w:rPr>
      </w:pPr>
      <w:r>
        <w:rPr>
          <w:rFonts w:ascii="Times New Roman" w:hAnsi="Times New Roman"/>
          <w:sz w:val="20"/>
        </w:rPr>
        <w:t>Attention: Shane W. McCormack, Esquire</w:t>
      </w:r>
    </w:p>
    <w:p>
      <w:pPr>
        <w:pStyle w:val="TextBody"/>
        <w:spacing w:before="0" w:after="0"/>
        <w:ind w:left="1440" w:right="0" w:firstLine="720"/>
        <w:jc w:val="left"/>
        <w:rPr>
          <w:rFonts w:ascii="Times New Roman" w:hAnsi="Times New Roman"/>
          <w:sz w:val="20"/>
        </w:rPr>
      </w:pPr>
      <w:r>
        <w:rPr>
          <w:rFonts w:ascii="Times New Roman" w:hAnsi="Times New Roman"/>
          <w:sz w:val="20"/>
        </w:rPr>
        <w:t>Tel No.: (802) 862-0500</w:t>
      </w:r>
    </w:p>
    <w:p>
      <w:pPr>
        <w:pStyle w:val="TextBody"/>
        <w:spacing w:before="0" w:after="0"/>
        <w:ind w:left="1440" w:right="0" w:firstLine="720"/>
        <w:jc w:val="left"/>
        <w:rPr>
          <w:rFonts w:ascii="Times New Roman" w:hAnsi="Times New Roman"/>
          <w:sz w:val="20"/>
        </w:rPr>
      </w:pPr>
      <w:r>
        <w:rPr>
          <w:rFonts w:ascii="Times New Roman" w:hAnsi="Times New Roman"/>
          <w:sz w:val="20"/>
        </w:rPr>
        <w:t>Fax No.: (802) 862-8176</w:t>
      </w:r>
    </w:p>
    <w:p>
      <w:pPr>
        <w:pStyle w:val="TextBody"/>
        <w:spacing w:before="0" w:after="0"/>
        <w:ind w:left="0" w:right="0" w:hanging="0"/>
        <w:jc w:val="both"/>
        <w:rPr/>
      </w:pPr>
      <w:r>
        <w:rPr/>
        <w:t> </w:t>
      </w:r>
    </w:p>
    <w:p>
      <w:pPr>
        <w:pStyle w:val="TextBody"/>
        <w:spacing w:before="0" w:after="0"/>
        <w:ind w:left="0" w:right="0" w:firstLine="360"/>
        <w:jc w:val="left"/>
        <w:rPr>
          <w:rFonts w:ascii="Times New Roman" w:hAnsi="Times New Roman"/>
          <w:sz w:val="20"/>
        </w:rPr>
      </w:pPr>
      <w:r>
        <w:rPr>
          <w:rFonts w:ascii="Times New Roman" w:hAnsi="Times New Roman"/>
          <w:sz w:val="20"/>
        </w:rPr>
        <w:t>All such notices and communications shall be deemed to have been duly given: when delivered by hand, if personally delivered; when receipt is acknowledged, if telecopied; or when actually received or refused if sent by other means.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11.           </w:t>
      </w:r>
      <w:r>
        <w:rPr>
          <w:rFonts w:ascii="Times New Roman" w:hAnsi="Times New Roman"/>
          <w:sz w:val="20"/>
          <w:u w:val="single"/>
        </w:rPr>
        <w:t>Disclosure of Transaction</w:t>
      </w:r>
      <w:r>
        <w:rPr>
          <w:rFonts w:ascii="Times New Roman" w:hAnsi="Times New Roman"/>
          <w:sz w:val="20"/>
        </w:rPr>
        <w:t>. The Company shall file with the Securities and Exchange Commission a Current Report on Form 8-K (the “</w:t>
      </w:r>
      <w:r>
        <w:rPr>
          <w:rFonts w:ascii="Times New Roman" w:hAnsi="Times New Roman"/>
          <w:i/>
          <w:sz w:val="20"/>
        </w:rPr>
        <w:t>Form 8-K</w:t>
      </w:r>
      <w:r>
        <w:rPr>
          <w:rFonts w:ascii="Times New Roman" w:hAnsi="Times New Roman"/>
          <w:sz w:val="20"/>
        </w:rPr>
        <w:t>”) describing the material terms of the transactions contemplated hereby as soon as practicable following the Closing Date but in no event more than two (2) business days following the Closing Date.</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12.           </w:t>
      </w:r>
      <w:r>
        <w:rPr>
          <w:rFonts w:ascii="Times New Roman" w:hAnsi="Times New Roman"/>
          <w:sz w:val="20"/>
          <w:u w:val="single"/>
        </w:rPr>
        <w:t>Entire Agreement</w:t>
      </w:r>
      <w:r>
        <w:rPr>
          <w:rFonts w:ascii="Times New Roman" w:hAnsi="Times New Roman"/>
          <w:sz w:val="20"/>
        </w:rPr>
        <w:t>.  This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both of the Parties.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13.           </w:t>
      </w:r>
      <w:r>
        <w:rPr>
          <w:rFonts w:ascii="Times New Roman" w:hAnsi="Times New Roman"/>
          <w:sz w:val="20"/>
          <w:u w:val="single"/>
        </w:rPr>
        <w:t>Counterparts</w:t>
      </w:r>
      <w:r>
        <w:rPr>
          <w:rFonts w:ascii="Times New Roman" w:hAnsi="Times New Roman"/>
          <w:sz w:val="20"/>
        </w:rPr>
        <w:t>. This Agreement may be executed by facsimile signature and in counterparts, each of which shall be deemed an original, but all of which together shall constitute one and the same instrument.</w:t>
      </w:r>
    </w:p>
    <w:p>
      <w:pPr>
        <w:pStyle w:val="TextBody"/>
        <w:spacing w:before="0" w:after="0"/>
        <w:ind w:left="0" w:right="0" w:hanging="0"/>
        <w:jc w:val="both"/>
        <w:rPr/>
      </w:pPr>
      <w:r>
        <w:rPr/>
        <w:br/>
        <w:t> </w:t>
      </w:r>
    </w:p>
    <w:p>
      <w:pPr>
        <w:pStyle w:val="TextBody"/>
        <w:spacing w:before="0" w:after="0"/>
        <w:ind w:left="0" w:right="0" w:hanging="0"/>
        <w:jc w:val="center"/>
        <w:rPr>
          <w:rFonts w:ascii="Times New Roman" w:hAnsi="Times New Roman"/>
          <w:sz w:val="20"/>
        </w:rPr>
      </w:pPr>
      <w:r>
        <w:rPr>
          <w:rFonts w:ascii="Times New Roman" w:hAnsi="Times New Roman"/>
          <w:sz w:val="20"/>
        </w:rPr>
        <w:t>[REMAINDER OF PAGE INTENTIONALLY LEFT BLANK]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9" w:name="PGBRK35"/>
      <w:bookmarkStart w:id="500" w:name="PGBRK35"/>
      <w:bookmarkEnd w:id="5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1" w:name="FTR35"/>
      <w:bookmarkStart w:id="502" w:name="FTR35"/>
      <w:bookmarkEnd w:id="5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3" w:name="GLFTR35"/>
      <w:bookmarkEnd w:id="5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4" w:name="PN35"/>
      <w:bookmarkEnd w:id="504"/>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5" w:name="HDR35"/>
      <w:bookmarkStart w:id="506" w:name="HDR35"/>
      <w:bookmarkEnd w:id="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7" w:name="GLHDR35"/>
      <w:bookmarkEnd w:id="5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signed this instrument as of the date first set forth above.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39"/>
        <w:gridCol w:w="380"/>
        <w:gridCol w:w="253"/>
        <w:gridCol w:w="5233"/>
      </w:tblGrid>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tc>
      </w:tr>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Suite No. 8</w:t>
            </w:r>
          </w:p>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California 94080</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By: /s/ Shawn K. Singh</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Name: Shawn K. Singh </w:t>
            </w:r>
          </w:p>
          <w:p>
            <w:pPr>
              <w:pStyle w:val="TableContents"/>
              <w:spacing w:before="0" w:after="0"/>
              <w:ind w:left="0" w:right="0" w:hanging="0"/>
              <w:jc w:val="left"/>
              <w:rPr>
                <w:rFonts w:ascii="times new roman" w:hAnsi="times new roman"/>
                <w:sz w:val="20"/>
              </w:rPr>
            </w:pPr>
            <w:r>
              <w:rPr>
                <w:rFonts w:ascii="times new roman" w:hAnsi="times new roman"/>
                <w:sz w:val="20"/>
              </w:rPr>
              <w:t>Title: Chief Executive Officer</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PLATINUM LONG TERM GROWTH VII, LLC</w:t>
            </w:r>
          </w:p>
        </w:tc>
      </w:tr>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152 West 57th Street, 4th Floor</w:t>
            </w:r>
          </w:p>
          <w:p>
            <w:pPr>
              <w:pStyle w:val="TableContents"/>
              <w:spacing w:before="0" w:after="0"/>
              <w:ind w:left="0" w:right="0" w:hanging="0"/>
              <w:jc w:val="left"/>
              <w:rPr>
                <w:rFonts w:ascii="times new roman" w:hAnsi="times new roman"/>
                <w:sz w:val="20"/>
              </w:rPr>
            </w:pPr>
            <w:r>
              <w:rPr>
                <w:rFonts w:ascii="times new roman" w:hAnsi="times new roman"/>
                <w:sz w:val="20"/>
              </w:rPr>
              <w:t>New York, NY 10019</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By: /s/ Michael Goldberg</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Name: Michael Goldberg </w:t>
            </w:r>
          </w:p>
          <w:p>
            <w:pPr>
              <w:pStyle w:val="TableContents"/>
              <w:spacing w:before="0" w:after="0"/>
              <w:ind w:left="0" w:right="0" w:hanging="0"/>
              <w:jc w:val="left"/>
              <w:rPr>
                <w:rFonts w:ascii="times new roman" w:hAnsi="times new roman"/>
                <w:sz w:val="20"/>
              </w:rPr>
            </w:pPr>
            <w:r>
              <w:rPr>
                <w:rFonts w:ascii="times new roman" w:hAnsi="times new roman"/>
                <w:sz w:val="20"/>
              </w:rPr>
              <w:t>Title: Portfolio Manager</w:t>
            </w:r>
          </w:p>
        </w:tc>
      </w:tr>
    </w:tbl>
    <w:p>
      <w:pPr>
        <w:pStyle w:val="TextBody"/>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08" w:name="PGBRK36"/>
      <w:bookmarkStart w:id="509" w:name="PGBRK36"/>
      <w:bookmarkEnd w:id="5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10" w:name="FTR36"/>
      <w:bookmarkStart w:id="511" w:name="FTR36"/>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512" w:name="GLFTR36"/>
      <w:bookmarkEnd w:id="5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3" w:name="PN36"/>
      <w:bookmarkEnd w:id="513"/>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14" w:name="HDR36"/>
      <w:bookmarkStart w:id="515" w:name="HDR36"/>
      <w:bookmarkEnd w:id="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16" w:name="GLHDR36"/>
      <w:bookmarkEnd w:id="5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ANNEX A</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7" w:name="PGBRK37"/>
      <w:bookmarkStart w:id="518" w:name="PGBRK37"/>
      <w:bookmarkEnd w:id="5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9" w:name="FTR37"/>
      <w:bookmarkStart w:id="520" w:name="FTR37"/>
      <w:bookmarkEnd w:id="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1" w:name="GLFTR37"/>
      <w:bookmarkEnd w:id="5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2" w:name="PN37"/>
      <w:bookmarkEnd w:id="522"/>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3" w:name="HDR37"/>
      <w:bookmarkStart w:id="524" w:name="HDR37"/>
      <w:bookmarkEnd w:id="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5" w:name="GLHDR37"/>
      <w:bookmarkEnd w:id="5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SCHEDULE A</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SENIOR SECURED CONVERTIBLE PROMISSORY NOTES ISSUED TO PLATINUM</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042"/>
        <w:gridCol w:w="112"/>
        <w:gridCol w:w="130"/>
        <w:gridCol w:w="2802"/>
        <w:gridCol w:w="119"/>
      </w:tblGrid>
      <w:tr>
        <w:trPr/>
        <w:tc>
          <w:tcPr>
            <w:tcW w:w="7042"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Date of Issuance</w:t>
            </w:r>
          </w:p>
        </w:tc>
        <w:tc>
          <w:tcPr>
            <w:tcW w:w="112" w:type="dxa"/>
            <w:tcBorders/>
            <w:shd w:fill="auto" w:val="clear"/>
            <w:tcMar>
              <w:bottom w:w="0" w:type="dxa"/>
            </w:tcMar>
            <w:vAlign w:val="bottom"/>
          </w:tcPr>
          <w:p>
            <w:pPr>
              <w:pStyle w:val="TableContents"/>
              <w:spacing w:before="0" w:after="283"/>
              <w:jc w:val="left"/>
              <w:rPr/>
            </w:pPr>
            <w:r>
              <w:rPr/>
              <w:t> </w:t>
            </w:r>
          </w:p>
        </w:tc>
        <w:tc>
          <w:tcPr>
            <w:tcW w:w="293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Principal Amount</w:t>
            </w:r>
          </w:p>
        </w:tc>
        <w:tc>
          <w:tcPr>
            <w:tcW w:w="119" w:type="dxa"/>
            <w:tcBorders/>
            <w:shd w:fill="auto" w:val="clear"/>
            <w:tcMar>
              <w:bottom w:w="0" w:type="dxa"/>
            </w:tcMar>
            <w:vAlign w:val="bottom"/>
          </w:tcPr>
          <w:p>
            <w:pPr>
              <w:pStyle w:val="TableContents"/>
              <w:spacing w:before="0" w:after="283"/>
              <w:jc w:val="left"/>
              <w:rPr/>
            </w:pPr>
            <w:r>
              <w:rPr/>
              <w:t> </w:t>
            </w:r>
          </w:p>
        </w:tc>
      </w:tr>
      <w:tr>
        <w:trPr/>
        <w:tc>
          <w:tcPr>
            <w:tcW w:w="704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October 11, 2012</w:t>
            </w:r>
          </w:p>
        </w:tc>
        <w:tc>
          <w:tcPr>
            <w:tcW w:w="112"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0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1,272,577.27</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04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October 11, 2012</w:t>
            </w:r>
          </w:p>
        </w:tc>
        <w:tc>
          <w:tcPr>
            <w:tcW w:w="112"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0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04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October 19, 2012</w:t>
            </w:r>
          </w:p>
        </w:tc>
        <w:tc>
          <w:tcPr>
            <w:tcW w:w="112"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0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04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February 22, 2013</w:t>
            </w:r>
          </w:p>
        </w:tc>
        <w:tc>
          <w:tcPr>
            <w:tcW w:w="112"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0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04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12, 2013</w:t>
            </w:r>
          </w:p>
        </w:tc>
        <w:tc>
          <w:tcPr>
            <w:tcW w:w="112"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0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750,000.00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042"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w:t>
            </w:r>
          </w:p>
        </w:tc>
        <w:tc>
          <w:tcPr>
            <w:tcW w:w="112"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0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3,272,577.27</w:t>
            </w:r>
          </w:p>
        </w:tc>
        <w:tc>
          <w:tcPr>
            <w:tcW w:w="119" w:type="dxa"/>
            <w:tcBorders/>
            <w:shd w:fill="FFFFFF" w:val="clear"/>
            <w:tcMar>
              <w:bottom w:w="0" w:type="dxa"/>
            </w:tcM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26" w:name="PGBRK38"/>
      <w:bookmarkStart w:id="527" w:name="PGBRK38"/>
      <w:bookmarkEnd w:id="5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28" w:name="FTR38"/>
      <w:bookmarkStart w:id="529" w:name="FTR38"/>
      <w:bookmarkEnd w:id="5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530" w:name="GLFTR38"/>
      <w:bookmarkEnd w:id="5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1" w:name="PN38"/>
      <w:bookmarkEnd w:id="531"/>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32" w:name="HDR38"/>
      <w:bookmarkStart w:id="533" w:name="HDR38"/>
      <w:bookmarkEnd w:id="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34" w:name="GLHDR38"/>
      <w:bookmarkEnd w:id="5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SCHEDULE B</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of the “Collateral” under and as defined in that certain Intellectual Property and Security Agreement by and between Vistagen Therapeutics, Inc., a California corporation, and Platinum Long Term Growth VII, LLC, dated as of October 11, 2012, including, but not limited to, the following:</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Patents:</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1005"/>
        <w:gridCol w:w="99"/>
        <w:gridCol w:w="1869"/>
        <w:gridCol w:w="99"/>
        <w:gridCol w:w="1562"/>
        <w:gridCol w:w="99"/>
        <w:gridCol w:w="1762"/>
        <w:gridCol w:w="99"/>
        <w:gridCol w:w="1191"/>
        <w:gridCol w:w="99"/>
        <w:gridCol w:w="1498"/>
        <w:gridCol w:w="99"/>
        <w:gridCol w:w="724"/>
      </w:tblGrid>
      <w:tr>
        <w:trPr/>
        <w:tc>
          <w:tcPr>
            <w:tcW w:w="1005" w:type="dxa"/>
            <w:tcBorders>
              <w:bottom w:val="single" w:sz="12"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Country</w:t>
            </w:r>
          </w:p>
        </w:tc>
        <w:tc>
          <w:tcPr>
            <w:tcW w:w="99" w:type="dxa"/>
            <w:tcBorders/>
            <w:shd w:fill="auto" w:val="clear"/>
            <w:tcMar>
              <w:bottom w:w="0" w:type="dxa"/>
            </w:tcMar>
          </w:tcPr>
          <w:p>
            <w:pPr>
              <w:pStyle w:val="TableContents"/>
              <w:spacing w:before="0" w:after="283"/>
              <w:jc w:val="left"/>
              <w:rPr/>
            </w:pPr>
            <w:r>
              <w:rPr/>
              <w:t> </w:t>
            </w:r>
          </w:p>
        </w:tc>
        <w:tc>
          <w:tcPr>
            <w:tcW w:w="1869" w:type="dxa"/>
            <w:tcBorders>
              <w:bottom w:val="single" w:sz="12"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Title</w:t>
            </w:r>
          </w:p>
        </w:tc>
        <w:tc>
          <w:tcPr>
            <w:tcW w:w="99" w:type="dxa"/>
            <w:tcBorders/>
            <w:shd w:fill="auto" w:val="clear"/>
            <w:tcMar>
              <w:bottom w:w="0" w:type="dxa"/>
            </w:tcMar>
          </w:tcPr>
          <w:p>
            <w:pPr>
              <w:pStyle w:val="TableContents"/>
              <w:spacing w:before="0" w:after="283"/>
              <w:jc w:val="left"/>
              <w:rPr/>
            </w:pPr>
            <w:r>
              <w:rPr/>
              <w:t> </w:t>
            </w:r>
          </w:p>
        </w:tc>
        <w:tc>
          <w:tcPr>
            <w:tcW w:w="1562"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Application Number Filing Date</w:t>
            </w:r>
          </w:p>
        </w:tc>
        <w:tc>
          <w:tcPr>
            <w:tcW w:w="99" w:type="dxa"/>
            <w:tcBorders/>
            <w:shd w:fill="auto" w:val="clear"/>
            <w:tcMar>
              <w:bottom w:w="0" w:type="dxa"/>
            </w:tcMar>
          </w:tcPr>
          <w:p>
            <w:pPr>
              <w:pStyle w:val="TableContents"/>
              <w:spacing w:before="0" w:after="283"/>
              <w:jc w:val="left"/>
              <w:rPr/>
            </w:pPr>
            <w:r>
              <w:rPr/>
              <w:t> </w:t>
            </w:r>
          </w:p>
        </w:tc>
        <w:tc>
          <w:tcPr>
            <w:tcW w:w="1762"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Publication Number Publication Date</w:t>
            </w:r>
          </w:p>
        </w:tc>
        <w:tc>
          <w:tcPr>
            <w:tcW w:w="99" w:type="dxa"/>
            <w:tcBorders/>
            <w:shd w:fill="auto" w:val="clear"/>
            <w:tcMar>
              <w:bottom w:w="0" w:type="dxa"/>
            </w:tcMar>
          </w:tcPr>
          <w:p>
            <w:pPr>
              <w:pStyle w:val="TableContents"/>
              <w:spacing w:before="0" w:after="283"/>
              <w:jc w:val="left"/>
              <w:rPr/>
            </w:pPr>
            <w:r>
              <w:rPr/>
              <w:t> </w:t>
            </w:r>
          </w:p>
        </w:tc>
        <w:tc>
          <w:tcPr>
            <w:tcW w:w="1191" w:type="dxa"/>
            <w:tcBorders>
              <w:bottom w:val="single" w:sz="12"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Patent</w:t>
            </w:r>
          </w:p>
        </w:tc>
        <w:tc>
          <w:tcPr>
            <w:tcW w:w="99" w:type="dxa"/>
            <w:tcBorders/>
            <w:shd w:fill="auto" w:val="clear"/>
            <w:tcMar>
              <w:bottom w:w="0" w:type="dxa"/>
            </w:tcMar>
          </w:tcPr>
          <w:p>
            <w:pPr>
              <w:pStyle w:val="TableContents"/>
              <w:spacing w:before="0" w:after="283"/>
              <w:jc w:val="left"/>
              <w:rPr/>
            </w:pPr>
            <w:r>
              <w:rPr/>
              <w:t> </w:t>
            </w:r>
          </w:p>
        </w:tc>
        <w:tc>
          <w:tcPr>
            <w:tcW w:w="1498" w:type="dxa"/>
            <w:tcBorders>
              <w:bottom w:val="single" w:sz="12"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Inventors /Assignees</w:t>
            </w:r>
          </w:p>
        </w:tc>
        <w:tc>
          <w:tcPr>
            <w:tcW w:w="99" w:type="dxa"/>
            <w:tcBorders/>
            <w:shd w:fill="auto" w:val="clear"/>
            <w:tcMar>
              <w:bottom w:w="0" w:type="dxa"/>
            </w:tcMar>
          </w:tcPr>
          <w:p>
            <w:pPr>
              <w:pStyle w:val="TableContents"/>
              <w:spacing w:before="0" w:after="283"/>
              <w:jc w:val="left"/>
              <w:rPr/>
            </w:pPr>
            <w:r>
              <w:rPr/>
              <w:t> </w:t>
            </w:r>
          </w:p>
        </w:tc>
        <w:tc>
          <w:tcPr>
            <w:tcW w:w="724" w:type="dxa"/>
            <w:tcBorders>
              <w:bottom w:val="single" w:sz="12"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Status</w:t>
            </w:r>
          </w:p>
        </w:tc>
      </w:tr>
      <w:tr>
        <w:trPr/>
        <w:tc>
          <w:tcPr>
            <w:tcW w:w="1005"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US</w:t>
            </w:r>
          </w:p>
        </w:tc>
        <w:tc>
          <w:tcPr>
            <w:tcW w:w="99" w:type="dxa"/>
            <w:tcBorders/>
            <w:shd w:fill="auto" w:val="clear"/>
            <w:tcMar>
              <w:bottom w:w="0" w:type="dxa"/>
            </w:tcMar>
          </w:tcPr>
          <w:p>
            <w:pPr>
              <w:pStyle w:val="TableContents"/>
              <w:spacing w:before="0" w:after="283"/>
              <w:jc w:val="left"/>
              <w:rPr/>
            </w:pPr>
            <w:r>
              <w:rPr/>
              <w:t> </w:t>
            </w:r>
          </w:p>
        </w:tc>
        <w:tc>
          <w:tcPr>
            <w:tcW w:w="186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Toxicity Typing Using Liver Stem Cells</w:t>
            </w:r>
          </w:p>
        </w:tc>
        <w:tc>
          <w:tcPr>
            <w:tcW w:w="99" w:type="dxa"/>
            <w:tcBorders/>
            <w:shd w:fill="auto" w:val="clear"/>
            <w:tcMar>
              <w:bottom w:w="0" w:type="dxa"/>
            </w:tcMar>
          </w:tcPr>
          <w:p>
            <w:pPr>
              <w:pStyle w:val="TableContents"/>
              <w:spacing w:before="0" w:after="283"/>
              <w:jc w:val="left"/>
              <w:rPr/>
            </w:pPr>
            <w:r>
              <w:rPr/>
              <w:t> </w:t>
            </w:r>
          </w:p>
        </w:tc>
        <w:tc>
          <w:tcPr>
            <w:tcW w:w="156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11/445,733 06/01/2006</w:t>
            </w:r>
          </w:p>
        </w:tc>
        <w:tc>
          <w:tcPr>
            <w:tcW w:w="99" w:type="dxa"/>
            <w:tcBorders/>
            <w:shd w:fill="auto" w:val="clear"/>
            <w:tcMar>
              <w:bottom w:w="0" w:type="dxa"/>
            </w:tcMar>
          </w:tcPr>
          <w:p>
            <w:pPr>
              <w:pStyle w:val="TableContents"/>
              <w:spacing w:before="0" w:after="283"/>
              <w:jc w:val="left"/>
              <w:rPr/>
            </w:pPr>
            <w:r>
              <w:rPr/>
              <w:t> </w:t>
            </w:r>
          </w:p>
        </w:tc>
        <w:tc>
          <w:tcPr>
            <w:tcW w:w="176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8,143,009</w:t>
            </w:r>
          </w:p>
          <w:p>
            <w:pPr>
              <w:pStyle w:val="TableContents"/>
              <w:spacing w:before="0" w:after="0"/>
              <w:ind w:left="0" w:right="0" w:hanging="0"/>
              <w:jc w:val="left"/>
              <w:rPr>
                <w:rFonts w:ascii="times new roman" w:hAnsi="times new roman"/>
                <w:sz w:val="20"/>
              </w:rPr>
            </w:pPr>
            <w:r>
              <w:rPr>
                <w:rFonts w:ascii="times new roman" w:hAnsi="times new roman"/>
                <w:sz w:val="20"/>
              </w:rPr>
              <w:t>03/27/12</w:t>
            </w:r>
          </w:p>
          <w:p>
            <w:pPr>
              <w:pStyle w:val="TableContents"/>
              <w:spacing w:before="0" w:after="0"/>
              <w:ind w:left="0" w:right="0" w:hanging="0"/>
              <w:jc w:val="left"/>
              <w:rPr>
                <w:rFonts w:ascii="times new roman" w:hAnsi="times new roman"/>
                <w:sz w:val="20"/>
              </w:rPr>
            </w:pPr>
            <w:r>
              <w:rPr>
                <w:rFonts w:ascii="times new roman" w:hAnsi="times new roman"/>
                <w:sz w:val="20"/>
              </w:rPr>
              <w:t>2007/0111195 05/17/2007</w:t>
            </w:r>
          </w:p>
        </w:tc>
        <w:tc>
          <w:tcPr>
            <w:tcW w:w="99" w:type="dxa"/>
            <w:tcBorders/>
            <w:shd w:fill="auto" w:val="clear"/>
            <w:tcMar>
              <w:bottom w:w="0" w:type="dxa"/>
            </w:tcMar>
          </w:tcPr>
          <w:p>
            <w:pPr>
              <w:pStyle w:val="TableContents"/>
              <w:spacing w:before="0" w:after="283"/>
              <w:jc w:val="left"/>
              <w:rPr/>
            </w:pPr>
            <w:r>
              <w:rPr/>
              <w:t> </w:t>
            </w:r>
          </w:p>
        </w:tc>
        <w:tc>
          <w:tcPr>
            <w:tcW w:w="1191"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09/881,526 06/14/2001</w:t>
            </w:r>
          </w:p>
        </w:tc>
        <w:tc>
          <w:tcPr>
            <w:tcW w:w="99" w:type="dxa"/>
            <w:tcBorders/>
            <w:shd w:fill="auto" w:val="clear"/>
            <w:tcMar>
              <w:bottom w:w="0" w:type="dxa"/>
            </w:tcMar>
          </w:tcPr>
          <w:p>
            <w:pPr>
              <w:pStyle w:val="TableContents"/>
              <w:spacing w:before="0" w:after="283"/>
              <w:jc w:val="left"/>
              <w:rPr/>
            </w:pPr>
            <w:r>
              <w:rPr/>
              <w:t> </w:t>
            </w:r>
          </w:p>
        </w:tc>
        <w:tc>
          <w:tcPr>
            <w:tcW w:w="1498"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Inventor:</w:t>
            </w:r>
          </w:p>
          <w:p>
            <w:pPr>
              <w:pStyle w:val="TableContents"/>
              <w:spacing w:before="0" w:after="0"/>
              <w:ind w:left="0" w:right="0" w:hanging="0"/>
              <w:jc w:val="left"/>
              <w:rPr>
                <w:rFonts w:ascii="times new roman" w:hAnsi="times new roman"/>
                <w:sz w:val="20"/>
              </w:rPr>
            </w:pPr>
            <w:r>
              <w:rPr>
                <w:rFonts w:ascii="times new roman" w:hAnsi="times new roman"/>
                <w:sz w:val="20"/>
              </w:rPr>
              <w:t>Snodgrass, H.R.</w:t>
            </w:r>
          </w:p>
          <w:p>
            <w:pPr>
              <w:pStyle w:val="TableContents"/>
              <w:spacing w:before="0" w:after="0"/>
              <w:ind w:left="0" w:right="0" w:hanging="0"/>
              <w:jc w:val="left"/>
              <w:rPr>
                <w:rFonts w:ascii="times new roman" w:hAnsi="times new roman"/>
                <w:sz w:val="20"/>
              </w:rPr>
            </w:pPr>
            <w:r>
              <w:rPr>
                <w:rFonts w:ascii="times new roman" w:hAnsi="times new roman"/>
                <w:sz w:val="20"/>
              </w:rPr>
              <w:t>Assignee:</w:t>
            </w:r>
          </w:p>
          <w:p>
            <w:pPr>
              <w:pStyle w:val="TableContents"/>
              <w:spacing w:before="0" w:after="0"/>
              <w:ind w:left="0" w:right="0" w:hanging="0"/>
              <w:jc w:val="left"/>
              <w:rPr>
                <w:rFonts w:ascii="times new roman" w:hAnsi="times new roman"/>
                <w:sz w:val="20"/>
              </w:rPr>
            </w:pPr>
            <w:r>
              <w:rPr>
                <w:rFonts w:ascii="times new roman" w:hAnsi="times new roman"/>
                <w:sz w:val="20"/>
              </w:rPr>
              <w:t>VistaGen Inc.</w:t>
            </w:r>
          </w:p>
        </w:tc>
        <w:tc>
          <w:tcPr>
            <w:tcW w:w="99" w:type="dxa"/>
            <w:tcBorders/>
            <w:shd w:fill="auto" w:val="clear"/>
            <w:tcMar>
              <w:bottom w:w="0" w:type="dxa"/>
            </w:tcMar>
          </w:tcPr>
          <w:p>
            <w:pPr>
              <w:pStyle w:val="TableContents"/>
              <w:spacing w:before="0" w:after="283"/>
              <w:jc w:val="left"/>
              <w:rPr/>
            </w:pPr>
            <w:r>
              <w:rPr/>
              <w:t> </w:t>
            </w:r>
          </w:p>
        </w:tc>
        <w:tc>
          <w:tcPr>
            <w:tcW w:w="724"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r>
      <w:tr>
        <w:trPr/>
        <w:tc>
          <w:tcPr>
            <w:tcW w:w="1005"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US</w:t>
            </w:r>
          </w:p>
        </w:tc>
        <w:tc>
          <w:tcPr>
            <w:tcW w:w="99" w:type="dxa"/>
            <w:tcBorders/>
            <w:shd w:fill="auto" w:val="clear"/>
            <w:tcMar>
              <w:bottom w:w="0" w:type="dxa"/>
            </w:tcMar>
          </w:tcPr>
          <w:p>
            <w:pPr>
              <w:pStyle w:val="TableContents"/>
              <w:spacing w:before="0" w:after="283"/>
              <w:jc w:val="left"/>
              <w:rPr/>
            </w:pPr>
            <w:r>
              <w:rPr/>
              <w:t> </w:t>
            </w:r>
          </w:p>
        </w:tc>
        <w:tc>
          <w:tcPr>
            <w:tcW w:w="186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Toxicity Typing Using Liver Stem Cells</w:t>
            </w:r>
          </w:p>
        </w:tc>
        <w:tc>
          <w:tcPr>
            <w:tcW w:w="99" w:type="dxa"/>
            <w:tcBorders/>
            <w:shd w:fill="auto" w:val="clear"/>
            <w:tcMar>
              <w:bottom w:w="0" w:type="dxa"/>
            </w:tcMar>
          </w:tcPr>
          <w:p>
            <w:pPr>
              <w:pStyle w:val="TableContents"/>
              <w:spacing w:before="0" w:after="283"/>
              <w:jc w:val="left"/>
              <w:rPr/>
            </w:pPr>
            <w:r>
              <w:rPr/>
              <w:t> </w:t>
            </w:r>
          </w:p>
        </w:tc>
        <w:tc>
          <w:tcPr>
            <w:tcW w:w="156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13/401,623</w:t>
            </w:r>
          </w:p>
          <w:p>
            <w:pPr>
              <w:pStyle w:val="TableContents"/>
              <w:spacing w:before="0" w:after="0"/>
              <w:ind w:left="0" w:right="0" w:hanging="0"/>
              <w:jc w:val="left"/>
              <w:rPr>
                <w:rFonts w:ascii="times new roman" w:hAnsi="times new roman"/>
                <w:sz w:val="20"/>
              </w:rPr>
            </w:pPr>
            <w:r>
              <w:rPr>
                <w:rFonts w:ascii="times new roman" w:hAnsi="times new roman"/>
                <w:sz w:val="20"/>
              </w:rPr>
              <w:t>02/21/12</w:t>
            </w:r>
          </w:p>
        </w:tc>
        <w:tc>
          <w:tcPr>
            <w:tcW w:w="99" w:type="dxa"/>
            <w:tcBorders/>
            <w:shd w:fill="auto" w:val="clear"/>
            <w:tcMar>
              <w:bottom w:w="0" w:type="dxa"/>
            </w:tcMar>
          </w:tcPr>
          <w:p>
            <w:pPr>
              <w:pStyle w:val="TableContents"/>
              <w:spacing w:before="0" w:after="283"/>
              <w:jc w:val="left"/>
              <w:rPr/>
            </w:pPr>
            <w:r>
              <w:rPr/>
              <w:t> </w:t>
            </w:r>
          </w:p>
        </w:tc>
        <w:tc>
          <w:tcPr>
            <w:tcW w:w="176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11/445,733 06/01/2006</w:t>
            </w:r>
          </w:p>
        </w:tc>
        <w:tc>
          <w:tcPr>
            <w:tcW w:w="99" w:type="dxa"/>
            <w:tcBorders/>
            <w:shd w:fill="auto" w:val="clear"/>
            <w:tcMar>
              <w:bottom w:w="0" w:type="dxa"/>
            </w:tcMar>
          </w:tcPr>
          <w:p>
            <w:pPr>
              <w:pStyle w:val="TableContents"/>
              <w:spacing w:before="0" w:after="283"/>
              <w:jc w:val="left"/>
              <w:rPr/>
            </w:pPr>
            <w:r>
              <w:rPr/>
              <w:t> </w:t>
            </w:r>
          </w:p>
        </w:tc>
        <w:tc>
          <w:tcPr>
            <w:tcW w:w="1191" w:type="dxa"/>
            <w:tcBorders>
              <w:bottom w:val="single" w:sz="12" w:space="0" w:color="000000"/>
            </w:tcBorders>
            <w:shd w:fill="auto" w:val="clear"/>
          </w:tcPr>
          <w:p>
            <w:pPr>
              <w:pStyle w:val="TableContents"/>
              <w:spacing w:before="0" w:after="283"/>
              <w:rPr/>
            </w:pPr>
            <w:r>
              <w:rPr/>
              <w:t xml:space="preserve">  </w:t>
            </w:r>
          </w:p>
        </w:tc>
        <w:tc>
          <w:tcPr>
            <w:tcW w:w="99" w:type="dxa"/>
            <w:tcBorders/>
            <w:shd w:fill="auto" w:val="clear"/>
            <w:tcMar>
              <w:bottom w:w="0" w:type="dxa"/>
            </w:tcMar>
          </w:tcPr>
          <w:p>
            <w:pPr>
              <w:pStyle w:val="TableContents"/>
              <w:spacing w:before="0" w:after="283"/>
              <w:rPr/>
            </w:pPr>
            <w:r>
              <w:rPr/>
              <w:t> </w:t>
            </w:r>
          </w:p>
        </w:tc>
        <w:tc>
          <w:tcPr>
            <w:tcW w:w="1498"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Inventor:</w:t>
            </w:r>
          </w:p>
          <w:p>
            <w:pPr>
              <w:pStyle w:val="TableContents"/>
              <w:spacing w:before="0" w:after="0"/>
              <w:ind w:left="0" w:right="0" w:hanging="0"/>
              <w:jc w:val="left"/>
              <w:rPr>
                <w:rFonts w:ascii="times new roman" w:hAnsi="times new roman"/>
                <w:sz w:val="20"/>
              </w:rPr>
            </w:pPr>
            <w:r>
              <w:rPr>
                <w:rFonts w:ascii="times new roman" w:hAnsi="times new roman"/>
                <w:sz w:val="20"/>
              </w:rPr>
              <w:t>Snodgrass, H.R.</w:t>
            </w:r>
          </w:p>
          <w:p>
            <w:pPr>
              <w:pStyle w:val="TableContents"/>
              <w:spacing w:before="0" w:after="0"/>
              <w:ind w:left="0" w:right="0" w:hanging="0"/>
              <w:jc w:val="left"/>
              <w:rPr>
                <w:rFonts w:ascii="times new roman" w:hAnsi="times new roman"/>
                <w:sz w:val="20"/>
              </w:rPr>
            </w:pPr>
            <w:r>
              <w:rPr>
                <w:rFonts w:ascii="times new roman" w:hAnsi="times new roman"/>
                <w:sz w:val="20"/>
              </w:rPr>
              <w:t>Assignee:</w:t>
            </w:r>
          </w:p>
          <w:p>
            <w:pPr>
              <w:pStyle w:val="TableContents"/>
              <w:spacing w:before="0" w:after="0"/>
              <w:ind w:left="0" w:right="0" w:hanging="0"/>
              <w:jc w:val="left"/>
              <w:rPr>
                <w:rFonts w:ascii="times new roman" w:hAnsi="times new roman"/>
                <w:sz w:val="20"/>
              </w:rPr>
            </w:pPr>
            <w:r>
              <w:rPr>
                <w:rFonts w:ascii="times new roman" w:hAnsi="times new roman"/>
                <w:sz w:val="20"/>
              </w:rPr>
              <w:t>VistaGen Inc.</w:t>
            </w:r>
          </w:p>
        </w:tc>
        <w:tc>
          <w:tcPr>
            <w:tcW w:w="99" w:type="dxa"/>
            <w:tcBorders/>
            <w:shd w:fill="auto" w:val="clear"/>
            <w:tcMar>
              <w:bottom w:w="0" w:type="dxa"/>
            </w:tcMar>
          </w:tcPr>
          <w:p>
            <w:pPr>
              <w:pStyle w:val="TableContents"/>
              <w:spacing w:before="0" w:after="283"/>
              <w:jc w:val="left"/>
              <w:rPr/>
            </w:pPr>
            <w:r>
              <w:rPr/>
              <w:t> </w:t>
            </w:r>
          </w:p>
        </w:tc>
        <w:tc>
          <w:tcPr>
            <w:tcW w:w="724"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Pending</w:t>
            </w:r>
          </w:p>
        </w:tc>
      </w:tr>
      <w:tr>
        <w:trPr/>
        <w:tc>
          <w:tcPr>
            <w:tcW w:w="1005"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w:t>
            </w:r>
          </w:p>
        </w:tc>
        <w:tc>
          <w:tcPr>
            <w:tcW w:w="99" w:type="dxa"/>
            <w:tcBorders/>
            <w:shd w:fill="auto" w:val="clear"/>
            <w:tcMar>
              <w:bottom w:w="0" w:type="dxa"/>
            </w:tcMar>
          </w:tcPr>
          <w:p>
            <w:pPr>
              <w:pStyle w:val="TableContents"/>
              <w:spacing w:before="0" w:after="283"/>
              <w:jc w:val="left"/>
              <w:rPr/>
            </w:pPr>
            <w:r>
              <w:rPr/>
              <w:t> </w:t>
            </w:r>
          </w:p>
        </w:tc>
        <w:tc>
          <w:tcPr>
            <w:tcW w:w="186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Pancreatic Endocrine Progenitor Cells Derived From Pluripotent Stem Cells</w:t>
            </w:r>
          </w:p>
        </w:tc>
        <w:tc>
          <w:tcPr>
            <w:tcW w:w="99" w:type="dxa"/>
            <w:tcBorders/>
            <w:shd w:fill="auto" w:val="clear"/>
            <w:tcMar>
              <w:bottom w:w="0" w:type="dxa"/>
            </w:tcMar>
          </w:tcPr>
          <w:p>
            <w:pPr>
              <w:pStyle w:val="TableContents"/>
              <w:spacing w:before="0" w:after="283"/>
              <w:jc w:val="left"/>
              <w:rPr/>
            </w:pPr>
            <w:r>
              <w:rPr/>
              <w:t> </w:t>
            </w:r>
          </w:p>
        </w:tc>
        <w:tc>
          <w:tcPr>
            <w:tcW w:w="15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12/464,005 05/11/2009</w:t>
            </w:r>
          </w:p>
        </w:tc>
        <w:tc>
          <w:tcPr>
            <w:tcW w:w="99" w:type="dxa"/>
            <w:tcBorders/>
            <w:shd w:fill="auto" w:val="clear"/>
            <w:tcMar>
              <w:bottom w:w="0" w:type="dxa"/>
            </w:tcMar>
          </w:tcPr>
          <w:p>
            <w:pPr>
              <w:pStyle w:val="TableContents"/>
              <w:spacing w:before="0" w:after="283"/>
              <w:jc w:val="left"/>
              <w:rPr/>
            </w:pPr>
            <w:r>
              <w:rPr/>
              <w:t> </w:t>
            </w:r>
          </w:p>
        </w:tc>
        <w:tc>
          <w:tcPr>
            <w:tcW w:w="17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2009/0280096 11/12/2009</w:t>
            </w:r>
          </w:p>
        </w:tc>
        <w:tc>
          <w:tcPr>
            <w:tcW w:w="99" w:type="dxa"/>
            <w:tcBorders/>
            <w:shd w:fill="auto" w:val="clear"/>
            <w:tcMar>
              <w:bottom w:w="0" w:type="dxa"/>
            </w:tcMar>
          </w:tcPr>
          <w:p>
            <w:pPr>
              <w:pStyle w:val="TableContents"/>
              <w:spacing w:before="0" w:after="283"/>
              <w:jc w:val="left"/>
              <w:rPr/>
            </w:pPr>
            <w:r>
              <w:rPr/>
              <w:t> </w:t>
            </w:r>
          </w:p>
        </w:tc>
        <w:tc>
          <w:tcPr>
            <w:tcW w:w="11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61/052,155 05/09/2008</w:t>
            </w:r>
          </w:p>
          <w:p>
            <w:pPr>
              <w:pStyle w:val="TableContents"/>
              <w:spacing w:before="0" w:after="0"/>
              <w:ind w:left="0" w:right="0" w:hanging="0"/>
              <w:jc w:val="left"/>
              <w:rPr>
                <w:rFonts w:ascii="times new roman" w:hAnsi="times new roman"/>
                <w:sz w:val="20"/>
              </w:rPr>
            </w:pPr>
            <w:r>
              <w:rPr>
                <w:rFonts w:ascii="times new roman" w:hAnsi="times new roman"/>
                <w:sz w:val="20"/>
              </w:rPr>
              <w:t>61/061,070 06/12/2008</w:t>
            </w:r>
          </w:p>
        </w:tc>
        <w:tc>
          <w:tcPr>
            <w:tcW w:w="99" w:type="dxa"/>
            <w:tcBorders/>
            <w:shd w:fill="auto" w:val="clear"/>
            <w:tcMar>
              <w:bottom w:w="0" w:type="dxa"/>
            </w:tcMar>
          </w:tcPr>
          <w:p>
            <w:pPr>
              <w:pStyle w:val="TableContents"/>
              <w:spacing w:before="0" w:after="283"/>
              <w:jc w:val="left"/>
              <w:rPr/>
            </w:pPr>
            <w:r>
              <w:rPr/>
              <w:t> </w:t>
            </w:r>
          </w:p>
        </w:tc>
        <w:tc>
          <w:tcPr>
            <w:tcW w:w="1498"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Inventor:</w:t>
            </w:r>
          </w:p>
          <w:p>
            <w:pPr>
              <w:pStyle w:val="TableContents"/>
              <w:spacing w:before="0" w:after="0"/>
              <w:ind w:left="0" w:right="0" w:hanging="0"/>
              <w:jc w:val="left"/>
              <w:rPr>
                <w:rFonts w:ascii="times new roman" w:hAnsi="times new roman"/>
                <w:sz w:val="20"/>
              </w:rPr>
            </w:pPr>
            <w:r>
              <w:rPr>
                <w:rFonts w:ascii="times new roman" w:hAnsi="times new roman"/>
                <w:sz w:val="20"/>
              </w:rPr>
              <w:t>Kubo, A., Bonham, K, Stull, R. Snodgrass, H.R.</w:t>
            </w:r>
          </w:p>
        </w:tc>
        <w:tc>
          <w:tcPr>
            <w:tcW w:w="99" w:type="dxa"/>
            <w:tcBorders/>
            <w:shd w:fill="auto" w:val="clear"/>
            <w:tcMar>
              <w:bottom w:w="0" w:type="dxa"/>
            </w:tcMar>
          </w:tcPr>
          <w:p>
            <w:pPr>
              <w:pStyle w:val="TableContents"/>
              <w:spacing w:before="0" w:after="283"/>
              <w:jc w:val="left"/>
              <w:rPr/>
            </w:pPr>
            <w:r>
              <w:rPr/>
              <w:t> </w:t>
            </w:r>
          </w:p>
        </w:tc>
        <w:tc>
          <w:tcPr>
            <w:tcW w:w="724"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Pending</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Trademarks: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VISTAGEN                      US, Switzerland, Europe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 use trademark, not registered,                                                                                                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5" w:name="PGBRK39"/>
      <w:bookmarkStart w:id="536" w:name="PGBRK39"/>
      <w:bookmarkEnd w:id="5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7" w:name="FTR39"/>
      <w:bookmarkStart w:id="538" w:name="FTR39"/>
      <w:bookmarkEnd w:id="5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9" w:name="GLFTR39"/>
      <w:bookmarkEnd w:id="5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0" w:name="PN39"/>
      <w:bookmarkEnd w:id="540"/>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1" w:name="HDR39"/>
      <w:bookmarkStart w:id="542" w:name="HDR39"/>
      <w:bookmarkEnd w:id="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3" w:name="GLHDR39"/>
      <w:bookmarkEnd w:id="5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EXHIBIT A</w:t>
      </w:r>
    </w:p>
    <w:p>
      <w:pPr>
        <w:pStyle w:val="TextBody"/>
        <w:spacing w:before="0" w:after="0"/>
        <w:rPr/>
      </w:pPr>
      <w:r>
        <w:rPr/>
        <w:t> </w:t>
      </w:r>
    </w:p>
    <w:p>
      <w:pPr>
        <w:pStyle w:val="TextBody"/>
        <w:spacing w:before="0" w:after="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4" w:name="PGBRK40"/>
      <w:bookmarkStart w:id="545" w:name="PGBRK40"/>
      <w:bookmarkEnd w:id="5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6" w:name="FTR40"/>
      <w:bookmarkStart w:id="547" w:name="FTR40"/>
      <w:bookmarkEnd w:id="5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8" w:name="GLFTR40"/>
      <w:bookmarkEnd w:id="5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9" w:name="PN40"/>
      <w:bookmarkEnd w:id="549"/>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0" w:name="HDR40"/>
      <w:bookmarkStart w:id="551" w:name="HDR40"/>
      <w:bookmarkEnd w:id="5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2" w:name="GLHDR40"/>
      <w:bookmarkEnd w:id="5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EXHIBIT B</w:t>
      </w:r>
    </w:p>
    <w:p>
      <w:pPr>
        <w:pStyle w:val="TextBody"/>
        <w:spacing w:before="0" w:after="0"/>
        <w:rPr/>
      </w:pPr>
      <w:r>
        <w:rPr/>
        <w:t> </w:t>
      </w:r>
    </w:p>
    <w:p>
      <w:pPr>
        <w:pStyle w:val="TextBody"/>
        <w:spacing w:before="0" w:after="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3" w:name="PGBRK41"/>
      <w:bookmarkStart w:id="554" w:name="PGBRK41"/>
      <w:bookmarkEnd w:id="5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5" w:name="FTR41"/>
      <w:bookmarkStart w:id="556" w:name="FTR41"/>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7" w:name="GLFTR41"/>
      <w:bookmarkEnd w:id="5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8" w:name="PN41"/>
      <w:bookmarkEnd w:id="558"/>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9" w:name="HDR41"/>
      <w:bookmarkStart w:id="560" w:name="HDR41"/>
      <w:bookmarkEnd w:id="5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1" w:name="GLHDR41"/>
      <w:bookmarkEnd w:id="5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EXHIBIT C</w:t>
      </w:r>
    </w:p>
    <w:p>
      <w:pPr>
        <w:pStyle w:val="TextBody"/>
        <w:ind w:left="0" w:right="0" w:hanging="0"/>
        <w:rPr/>
      </w:pPr>
      <w:r>
        <w:rPr/>
        <w:br/>
        <w:t> </w:t>
      </w:r>
      <w:r>
        <w:br w:type="page"/>
      </w:r>
    </w:p>
    <w:p>
      <w:pPr>
        <w:pStyle w:val="TextBody"/>
        <w:spacing w:before="0" w:after="0"/>
        <w:ind w:left="0" w:right="0" w:hanging="0"/>
        <w:jc w:val="right"/>
        <w:rPr>
          <w:b/>
        </w:rPr>
      </w:pPr>
      <w:bookmarkStart w:id="562" w:name="ex99-1.htm"/>
      <w:bookmarkStart w:id="563" w:name="ksex991"/>
      <w:bookmarkEnd w:id="562"/>
      <w:bookmarkEnd w:id="563"/>
      <w:r>
        <w:rPr>
          <w:b/>
        </w:rPr>
        <w:t>Exhibit 99.1</w:t>
      </w:r>
    </w:p>
    <w:p>
      <w:pPr>
        <w:pStyle w:val="TextBody"/>
        <w:spacing w:before="0" w:after="0"/>
        <w:ind w:left="0" w:right="0" w:hanging="0"/>
        <w:jc w:val="center"/>
        <w:rPr/>
      </w:pPr>
      <w:r>
        <w:rPr/>
        <w:drawing>
          <wp:inline distT="0" distB="0" distL="0" distR="0">
            <wp:extent cx="16002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752475"/>
                    </a:xfrm>
                    <a:prstGeom prst="rect">
                      <a:avLst/>
                    </a:prstGeom>
                  </pic:spPr>
                </pic:pic>
              </a:graphicData>
            </a:graphic>
          </wp:inline>
        </w:drawing>
      </w:r>
    </w:p>
    <w:p>
      <w:pPr>
        <w:pStyle w:val="TextBody"/>
        <w:spacing w:before="0" w:after="0"/>
        <w:ind w:left="0" w:right="0" w:hanging="0"/>
        <w:jc w:val="center"/>
        <w:rPr>
          <w:rFonts w:ascii="Times New Roman" w:hAnsi="Times New Roman"/>
          <w:b/>
          <w:sz w:val="20"/>
        </w:rPr>
      </w:pPr>
      <w:r>
        <w:rPr>
          <w:rFonts w:ascii="Times New Roman" w:hAnsi="Times New Roman"/>
          <w:b/>
          <w:sz w:val="20"/>
        </w:rPr>
        <w:t>VistaGen Announces $36 Million Strategic Financing Agreement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Proceeds will accelerate stem cell technology-based drug rescue,</w:t>
      </w:r>
    </w:p>
    <w:p>
      <w:pPr>
        <w:pStyle w:val="TextBody"/>
        <w:spacing w:before="0" w:after="0"/>
        <w:ind w:left="0" w:right="0" w:hanging="0"/>
        <w:jc w:val="center"/>
        <w:rPr>
          <w:rFonts w:ascii="Times New Roman" w:hAnsi="Times New Roman"/>
          <w:i/>
          <w:sz w:val="20"/>
        </w:rPr>
      </w:pPr>
      <w:r>
        <w:rPr>
          <w:rFonts w:ascii="Times New Roman" w:hAnsi="Times New Roman"/>
          <w:i/>
          <w:sz w:val="20"/>
        </w:rPr>
        <w:t>predictive toxicology and drug metabolism programs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SOUTH SAN FRANCISCO, CA – April 10, 2013 (MARKETWIRE via COMTEX) – VistaGen Therapeutics, Inc. (OTCQB: VSTA), a biotechnology company applying stem cell technology for drug rescue, predictive toxicology and drug metabolism assays, today announces the signing of a strategic financing agreement with the European subsidiary of Bergamo Acquisition Corp. (OTC: BGMO), a global diversified investment holding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agreement, Bergamo’s European subsidiary will invest $36 million in VistaGen in consideration for 72 million shares of restricted VistaGen Common Stock at a price of $0.50 per share.  The Company’s self-placed strategic financing does not include warrants or any investment banking fees.  The transaction is scheduled to close on or before April 30, 2013.  At closing, the shares issued in connection with the strategic financing will represent a majority of the issued and outstanding shares of VistaGen’s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VistaGen plans to use proceeds of the financing to accelerate and expand its stem cell technology-based drug rescue programs.  Using its innovative </w:t>
      </w:r>
      <w:r>
        <w:rPr>
          <w:rFonts w:ascii="Times New Roman" w:hAnsi="Times New Roman"/>
          <w:i/>
          <w:sz w:val="20"/>
        </w:rPr>
        <w:t>CardioSafe</w:t>
      </w:r>
      <w:r>
        <w:rPr>
          <w:rFonts w:ascii="Times New Roman" w:hAnsi="Times New Roman"/>
          <w:sz w:val="20"/>
        </w:rPr>
        <w:t xml:space="preserve">™ 3D and </w:t>
      </w:r>
      <w:r>
        <w:rPr>
          <w:rFonts w:ascii="Times New Roman" w:hAnsi="Times New Roman"/>
          <w:i/>
          <w:sz w:val="20"/>
        </w:rPr>
        <w:t>LiverSafe</w:t>
      </w:r>
      <w:r>
        <w:rPr>
          <w:rFonts w:ascii="Times New Roman" w:hAnsi="Times New Roman"/>
          <w:sz w:val="20"/>
        </w:rPr>
        <w:t xml:space="preserve">™ 3D bioassay systems and modern medicinal chemistry, the Company is focused on generating new, safer, proprietary variants (Drug Rescue Variants) of once-promising small molecule drug candidates discontinued in development by large pharmaceutical companies due to heart or liver safety issues. In collaboration with co-founder and renowned stem cell research scientist, Dr. Gordon Keller, as well as long-term strategic partner, the University Health Network in Toronto, and several other leading academic and corporate collaborators, VistaGen also plans to advance new pilot nonclinical regenerative cell therapy programs and certain other emerging commercial opportunities related to its </w:t>
      </w:r>
      <w:r>
        <w:rPr>
          <w:rFonts w:ascii="Times New Roman" w:hAnsi="Times New Roman"/>
          <w:i/>
          <w:sz w:val="20"/>
        </w:rPr>
        <w:t>Human Clinical Trials in a Test Tube</w:t>
      </w:r>
      <w:r>
        <w:rPr>
          <w:rFonts w:ascii="Times New Roman" w:hAnsi="Times New Roman"/>
          <w:sz w:val="20"/>
        </w:rPr>
        <w:t>™ platform.</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sz w:val="20"/>
        </w:rPr>
        <w:t>Since our inception nearly 15 years ago, we have carefully deployed more than $53 million, including over $15 million from grant awards and collaboration revenue, to successfully develop innovative stem cell technology and bioassay systems capable of bringing clinically relevant human heart and liver biology to the front end of the drug development process,” stated Shawn K. Singh, VistaGen’s Chief Executive Officer. “Upon the closing of this transformative financing, our strong long-term financial position will enhance substantially our ability to drive our core programs to valuable commercial outcomes.”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About VistaGen Therapeutics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VistaGen is a biotechnology company applying human pluripotent stem cell technology for drug rescue, predictive toxicology and drug metabolism screening. VistaGen's drug rescue activities combine its human pluripotent stem cell technology platform, </w:t>
      </w:r>
      <w:r>
        <w:rPr>
          <w:rFonts w:ascii="Times New Roman" w:hAnsi="Times New Roman"/>
          <w:i/>
          <w:sz w:val="20"/>
        </w:rPr>
        <w:t>Human Clinical Trials in a Test Tube</w:t>
      </w:r>
      <w:r>
        <w:rPr>
          <w:rFonts w:ascii="Times New Roman" w:hAnsi="Times New Roman"/>
          <w:sz w:val="20"/>
        </w:rPr>
        <w:t>™, with modern medicinal chemistry to generate novel, safer chemical variants (Drug Rescue Variants) of once-promising small molecule drug candidates. These are drug candidates discontinued by pharmaceutical companies, the U.S. National Institutes of Health (NIH) or university laboratories, after substantial investment in discovery and development, due to heart or liver toxicity or metabolism issues. VistaGen uses its pluripotent stem cell technology to generate early indications, or predictions, of how humans will ultimately respond to new drug candidates before they are ever tested in humans, bringing human biology to the front end of the drug development process.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4" w:name="PGBRK42"/>
      <w:bookmarkStart w:id="565" w:name="PGBRK42"/>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6" w:name="FTR42"/>
      <w:bookmarkStart w:id="567" w:name="FTR42"/>
      <w:bookmarkEnd w:id="5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8" w:name="GLFTR42"/>
      <w:bookmarkEnd w:id="5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569" w:name="PN42"/>
      <w:bookmarkEnd w:id="569"/>
      <w:r>
        <w:rPr>
          <w:rFonts w:ascii="effontselection" w:hAnsi="effontselectio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0" w:name="HDR42"/>
      <w:bookmarkStart w:id="571" w:name="HDR42"/>
      <w:bookmarkEnd w:id="5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2" w:name="GLHDR42"/>
      <w:bookmarkEnd w:id="5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VistaGen's small molecule prodrug candidate, AV-101, has completed Phase 1 development for treatment of neuropathic pain. Neuropathic pain, a serious and chronic condition causing pain after an injury or disease of the peripheral or central nervous system, affects millions of people worldwide.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Visit VistaGen at </w:t>
      </w:r>
      <w:r>
        <w:rPr>
          <w:rFonts w:ascii="Times New Roman" w:hAnsi="Times New Roman"/>
          <w:sz w:val="20"/>
          <w:u w:val="single"/>
        </w:rPr>
        <w:t>http://www.VistaGen.com</w:t>
      </w:r>
      <w:r>
        <w:rPr>
          <w:rFonts w:ascii="Times New Roman" w:hAnsi="Times New Roman"/>
          <w:sz w:val="20"/>
        </w:rPr>
        <w:t xml:space="preserve">, follow VistaGen at </w:t>
      </w:r>
      <w:r>
        <w:rPr>
          <w:rFonts w:ascii="Times New Roman" w:hAnsi="Times New Roman"/>
          <w:sz w:val="20"/>
          <w:u w:val="single"/>
        </w:rPr>
        <w:t>http://www.twitter.com/VistaGen</w:t>
      </w:r>
      <w:r>
        <w:rPr>
          <w:rFonts w:ascii="Times New Roman" w:hAnsi="Times New Roman"/>
          <w:sz w:val="20"/>
        </w:rPr>
        <w:t xml:space="preserve"> or view VistaGen's Facebook page at </w:t>
      </w:r>
      <w:r>
        <w:rPr>
          <w:rFonts w:ascii="Times New Roman" w:hAnsi="Times New Roman"/>
          <w:sz w:val="20"/>
          <w:u w:val="single"/>
        </w:rPr>
        <w:t>http://www.facebook.com/VistaGen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Cautionary Statement Regarding Forward-Looking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satisfaction of certain conditions to closing the strategic financing referred to in this press release, the success of VistaGen's stem cell technology-based drug rescue, predictive toxicology and metabolism screening activities, further development of stem cell-based bioassay systems and cell therapies, clinical development and commercialization of AV-101 for neuropathic pain or any other disease or condition, its ability to enter into strategic predictive toxicology, metabolism screening, drug rescue and/or drug discovery, development and commercialization collaborations and/or licensing arrangements with respect to one or more drug rescue variants, regenerative cell therapies or AV-101, risks and uncertainties relating to the availability of substantial additional capital to support its research, drug rescue, development and commercialization activities, and the success of its research and development plans and strategies, including those plans and strategies related to any drug rescue variant or regenerative cell therapy identified and developed by VistaGen, or AV-101. These and other risks and uncertainties are identified and described in more detail in VistaGen's filings with the Securities and Exchange Commission (SEC). These filings are available on the SEC's website at </w:t>
      </w:r>
      <w:r>
        <w:rPr>
          <w:rFonts w:ascii="Times New Roman" w:hAnsi="Times New Roman"/>
          <w:sz w:val="20"/>
          <w:u w:val="single"/>
        </w:rPr>
        <w:t>www.sec.gov</w:t>
      </w:r>
      <w:r>
        <w:rPr>
          <w:rFonts w:ascii="Times New Roman" w:hAnsi="Times New Roman"/>
          <w:sz w:val="20"/>
        </w:rPr>
        <w:t>. VistaGen undertakes no obligation to publicly update or revise any forward-looking statements.</w:t>
      </w: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0"/>
              <w:rPr>
                <w:rFonts w:ascii="times new roman" w:hAnsi="times new roman"/>
                <w:b/>
                <w:sz w:val="20"/>
              </w:rPr>
            </w:pPr>
            <w:r>
              <w:rPr>
                <w:rFonts w:ascii="times new roman" w:hAnsi="times new roman"/>
                <w:b/>
                <w:sz w:val="20"/>
              </w:rPr>
              <w:t>For more information:</w:t>
            </w:r>
          </w:p>
          <w:p>
            <w:pPr>
              <w:pStyle w:val="TableContents"/>
              <w:spacing w:before="0" w:after="0"/>
              <w:rPr/>
            </w:pPr>
            <w:r>
              <w:rPr/>
              <w:t> </w:t>
            </w:r>
          </w:p>
          <w:p>
            <w:pPr>
              <w:pStyle w:val="TableContents"/>
              <w:spacing w:before="0" w:after="0"/>
              <w:ind w:left="0" w:right="0" w:hanging="0"/>
              <w:jc w:val="left"/>
              <w:rPr/>
            </w:pPr>
            <w:r>
              <w:rPr>
                <w:rFonts w:ascii="times new roman" w:hAnsi="times new roman"/>
                <w:sz w:val="20"/>
              </w:rPr>
              <w:t>Shawn K. Singh, J.D.</w:t>
            </w:r>
            <w:r>
              <w:rPr/>
              <w:t xml:space="preserve">  </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spacing w:before="0" w:after="0"/>
              <w:ind w:left="0" w:right="0" w:hanging="0"/>
              <w:jc w:val="left"/>
              <w:rPr/>
            </w:pPr>
            <w:r>
              <w:rPr>
                <w:rFonts w:ascii="times new roman" w:hAnsi="times new roman"/>
                <w:sz w:val="20"/>
              </w:rPr>
              <w:t>VistaGen Therapeutics, Inc.</w:t>
            </w:r>
            <w:r>
              <w:rPr/>
              <w:t xml:space="preserve">  </w:t>
            </w:r>
          </w:p>
          <w:p>
            <w:pPr>
              <w:pStyle w:val="TableContents"/>
              <w:spacing w:before="0" w:after="0"/>
              <w:ind w:left="0" w:right="0" w:hanging="0"/>
              <w:jc w:val="left"/>
              <w:rPr/>
            </w:pPr>
            <w:r>
              <w:rPr>
                <w:rFonts w:ascii="times new roman" w:hAnsi="times new roman"/>
                <w:sz w:val="20"/>
                <w:u w:val="single"/>
              </w:rPr>
              <w:t>www.VistaGen.com</w:t>
            </w:r>
            <w:r>
              <w:rPr/>
              <w:t xml:space="preserve">  </w:t>
            </w:r>
          </w:p>
          <w:p>
            <w:pPr>
              <w:pStyle w:val="TableContents"/>
              <w:spacing w:before="0" w:after="0"/>
              <w:ind w:left="0" w:right="0" w:hanging="0"/>
              <w:jc w:val="left"/>
              <w:rPr/>
            </w:pPr>
            <w:r>
              <w:rPr>
                <w:rFonts w:ascii="times new roman" w:hAnsi="times new roman"/>
                <w:sz w:val="20"/>
              </w:rPr>
              <w:t>650-244-9990 x224</w:t>
            </w:r>
            <w:r>
              <w:rPr/>
              <w:t xml:space="preserve">  </w:t>
            </w:r>
          </w:p>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Investor.Relations@VistaGen.com</w:t>
            </w:r>
          </w:p>
        </w:tc>
        <w:tc>
          <w:tcPr>
            <w:tcW w:w="5103" w:type="dxa"/>
            <w:tcBorders/>
            <w:shd w:fill="FFFFFF"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Mission Investor Relations</w:t>
            </w:r>
          </w:p>
          <w:p>
            <w:pPr>
              <w:pStyle w:val="TableContents"/>
              <w:spacing w:before="0" w:after="0"/>
              <w:rPr>
                <w:rFonts w:ascii="times new roman" w:hAnsi="times new roman"/>
                <w:sz w:val="20"/>
              </w:rPr>
            </w:pPr>
            <w:r>
              <w:rPr>
                <w:rFonts w:ascii="times new roman" w:hAnsi="times new roman"/>
                <w:sz w:val="20"/>
              </w:rPr>
              <w:t>IR Communications</w:t>
            </w:r>
          </w:p>
          <w:p>
            <w:pPr>
              <w:pStyle w:val="TableContents"/>
              <w:spacing w:before="0" w:after="0"/>
              <w:rPr>
                <w:rFonts w:ascii="times new roman" w:hAnsi="times new roman"/>
                <w:sz w:val="20"/>
              </w:rPr>
            </w:pPr>
            <w:r>
              <w:rPr>
                <w:rFonts w:ascii="times new roman" w:hAnsi="times new roman"/>
                <w:sz w:val="20"/>
              </w:rPr>
              <w:t>Atlanta, Georgia</w:t>
            </w:r>
          </w:p>
          <w:p>
            <w:pPr>
              <w:pStyle w:val="TableContents"/>
              <w:spacing w:before="0" w:after="0"/>
              <w:rPr>
                <w:rFonts w:ascii="times new roman" w:hAnsi="times new roman"/>
                <w:sz w:val="20"/>
                <w:u w:val="single"/>
              </w:rPr>
            </w:pPr>
            <w:r>
              <w:rPr>
                <w:rFonts w:ascii="times new roman" w:hAnsi="times new roman"/>
                <w:sz w:val="20"/>
                <w:u w:val="single"/>
              </w:rPr>
              <w:t>www.MissionIR.com</w:t>
            </w:r>
          </w:p>
          <w:p>
            <w:pPr>
              <w:pStyle w:val="TableContents"/>
              <w:spacing w:before="0" w:after="0"/>
              <w:rPr>
                <w:rFonts w:ascii="times new roman" w:hAnsi="times new roman"/>
                <w:sz w:val="20"/>
              </w:rPr>
            </w:pPr>
            <w:r>
              <w:rPr>
                <w:rFonts w:ascii="times new roman" w:hAnsi="times new roman"/>
                <w:sz w:val="20"/>
              </w:rPr>
              <w:t>404-941-8975</w:t>
            </w:r>
          </w:p>
          <w:p>
            <w:pPr>
              <w:pStyle w:val="TableContents"/>
              <w:spacing w:before="0" w:after="0"/>
              <w:rPr>
                <w:rFonts w:ascii="times new roman" w:hAnsi="times new roman"/>
                <w:sz w:val="20"/>
                <w:u w:val="single"/>
              </w:rPr>
            </w:pPr>
            <w:r>
              <w:rPr>
                <w:rFonts w:ascii="times new roman" w:hAnsi="times new roman"/>
                <w:sz w:val="20"/>
                <w:u w:val="single"/>
              </w:rPr>
              <w:t>Investors@MissionIR.com</w:t>
            </w:r>
          </w:p>
        </w:tc>
      </w:tr>
    </w:tbl>
    <w:p>
      <w:pPr>
        <w:pStyle w:val="TextBody"/>
        <w:spacing w:before="0" w:after="283"/>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altName w:val="serif"/>
    <w:charset w:val="00"/>
    <w:family w:val="auto"/>
    <w:pitch w:val="default"/>
  </w:font>
  <w:font w:name="effontselectio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22607</Words>
  <CharactersWithSpaces>144912</CharactersWithSpaces>
  <Paragraphs>1396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