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February 19, 2016</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Nevada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20-5093315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(IRS Employer Identification No.)</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577-3600</w:t>
      </w:r>
    </w:p>
    <w:p>
      <w:pPr>
        <w:spacing w:after="0" w:line="23" w:lineRule="exact"/>
        <w:rPr>
          <w:rFonts w:ascii="Arial" w:cs="Arial" w:eastAsia="Arial" w:hAnsi="Arial"/>
          <w:sz w:val="18"/>
          <w:szCs w:val="18"/>
          <w:u w:val="single" w:color="auto"/>
          <w:color w:val="auto"/>
        </w:rPr>
      </w:pPr>
    </w:p>
    <w:p>
      <w:pPr>
        <w:ind w:left="4540"/>
        <w:spacing w:after="0"/>
        <w:rPr>
          <w:rFonts w:ascii="Arial" w:cs="Arial" w:eastAsia="Arial" w:hAnsi="Arial"/>
          <w:sz w:val="18"/>
          <w:szCs w:val="18"/>
          <w:u w:val="single" w:color="auto"/>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741680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24, 2016,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filed a Current Report on Form 8-K (the “</w:t>
      </w:r>
      <w:r>
        <w:rPr>
          <w:rFonts w:ascii="Arial" w:cs="Arial" w:eastAsia="Arial" w:hAnsi="Arial"/>
          <w:sz w:val="18"/>
          <w:szCs w:val="18"/>
          <w:i w:val="1"/>
          <w:iCs w:val="1"/>
          <w:color w:val="auto"/>
        </w:rPr>
        <w:t>Original Form 8-K</w:t>
      </w:r>
      <w:r>
        <w:rPr>
          <w:rFonts w:ascii="Arial" w:cs="Arial" w:eastAsia="Arial" w:hAnsi="Arial"/>
          <w:sz w:val="18"/>
          <w:szCs w:val="18"/>
          <w:color w:val="auto"/>
        </w:rPr>
        <w:t>”) to disclose certain unregistered issuances of its common stock, par value $0.001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and Series B Preferred Units. The Company also included a table in the Original 8-K that listed the number of shares of Common Stock and Common Stock equivalents outstanding following the completion of the transactions reported therein (the “</w:t>
      </w:r>
      <w:r>
        <w:rPr>
          <w:rFonts w:ascii="Arial" w:cs="Arial" w:eastAsia="Arial" w:hAnsi="Arial"/>
          <w:sz w:val="18"/>
          <w:szCs w:val="18"/>
          <w:i w:val="1"/>
          <w:iCs w:val="1"/>
          <w:color w:val="auto"/>
        </w:rPr>
        <w:t>Table</w:t>
      </w:r>
      <w:r>
        <w:rPr>
          <w:rFonts w:ascii="Arial" w:cs="Arial" w:eastAsia="Arial" w:hAnsi="Arial"/>
          <w:sz w:val="18"/>
          <w:szCs w:val="18"/>
          <w:color w:val="auto"/>
        </w:rPr>
        <w:t>”). This Amendment No. 1 to the Original 8-K is being filed to correctly state the number of shares of the Company’s Series C Convertible Preferred Stock outstanding in the Table. Except as stated in this Explanatory Note, no other information contained in the Original Form 8-K is revised, updated or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695325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February 17, 2016, in a self-placed private placement transaction,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sold to an accredited investor Series B Preferred Units consisting of (i) an aggregate of 28,571 shares of the Company’s Series B 10% Convertible Preferred Stock and (ii) five-year warrants to purchase an aggregate of 28,571 shares of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at an exercise price of $7.00 per share. The Company received cash proceeds of $200,000 from this sale of Series B Preferred Units, which proceeds will be used for general corporate purposes.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Between February 17, 2016 and February 19, 2016, the Company entered into Warrant Exchange Agreements (individually, the “</w:t>
      </w:r>
      <w:r>
        <w:rPr>
          <w:rFonts w:ascii="Arial" w:cs="Arial" w:eastAsia="Arial" w:hAnsi="Arial"/>
          <w:sz w:val="16"/>
          <w:szCs w:val="16"/>
          <w:i w:val="1"/>
          <w:iCs w:val="1"/>
          <w:color w:val="auto"/>
        </w:rPr>
        <w:t>Agreement</w:t>
      </w:r>
      <w:r>
        <w:rPr>
          <w:rFonts w:ascii="Arial" w:cs="Arial" w:eastAsia="Arial" w:hAnsi="Arial"/>
          <w:sz w:val="16"/>
          <w:szCs w:val="16"/>
          <w:color w:val="auto"/>
        </w:rPr>
        <w:t>” and collectively, the “</w:t>
      </w:r>
      <w:r>
        <w:rPr>
          <w:rFonts w:ascii="Arial" w:cs="Arial" w:eastAsia="Arial" w:hAnsi="Arial"/>
          <w:sz w:val="16"/>
          <w:szCs w:val="16"/>
          <w:i w:val="1"/>
          <w:iCs w:val="1"/>
          <w:color w:val="auto"/>
        </w:rPr>
        <w:t>Agreements</w:t>
      </w:r>
      <w:r>
        <w:rPr>
          <w:rFonts w:ascii="Arial" w:cs="Arial" w:eastAsia="Arial" w:hAnsi="Arial"/>
          <w:sz w:val="16"/>
          <w:szCs w:val="16"/>
          <w:color w:val="auto"/>
        </w:rPr>
        <w:t>”) with certain holders of outstanding warrants to purchase an aggregate of 173,648 shares of the Company’s Common Stock (the “</w:t>
      </w:r>
      <w:r>
        <w:rPr>
          <w:rFonts w:ascii="Arial" w:cs="Arial" w:eastAsia="Arial" w:hAnsi="Arial"/>
          <w:sz w:val="16"/>
          <w:szCs w:val="16"/>
          <w:i w:val="1"/>
          <w:iCs w:val="1"/>
          <w:color w:val="auto"/>
        </w:rPr>
        <w:t>Warrants</w:t>
      </w:r>
      <w:r>
        <w:rPr>
          <w:rFonts w:ascii="Arial" w:cs="Arial" w:eastAsia="Arial" w:hAnsi="Arial"/>
          <w:sz w:val="16"/>
          <w:szCs w:val="16"/>
          <w:color w:val="auto"/>
        </w:rPr>
        <w:t>”), pursuant to which the holders agreed to cancel the Warrants in exchange for an aggregate of 130,240 shares of unregistered Common Stock. A copy of the Agreement was attached to the Company’s Quarterly Report on Form 10-Q for the period ended December 31, 2015 as Exhibit 10.1.</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shares of Common Stock issued pursuant to the Agreements, and the Series B Preferred Units were offered and sold in transactions exempt from registration under the Securities Act in reliance on Section 4(2) and/or 3(a)(9) thereof and Rule 506 of Regulation D thereunder. Each recipient of securities represented that it was an “accredited investor” as defined in Regulation D, and that it is not subject to the “Bad Actor” disqualifications described in Rule 506(d).</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Following the transactions disclosed above, as of February 19, 2016, the Company has the following Common Stock and Common Stock equivalents outstanding: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and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Equivalent Shares</w:t>
            </w:r>
          </w:p>
        </w:tc>
        <w:tc>
          <w:tcPr>
            <w:tcW w:w="0" w:type="dxa"/>
            <w:vAlign w:val="bottom"/>
          </w:tcPr>
          <w:p>
            <w:pPr>
              <w:spacing w:after="0"/>
              <w:rPr>
                <w:sz w:val="1"/>
                <w:szCs w:val="1"/>
                <w:color w:val="auto"/>
              </w:rPr>
            </w:pPr>
          </w:p>
        </w:tc>
      </w:tr>
      <w:tr>
        <w:trPr>
          <w:trHeight w:val="237"/>
        </w:trPr>
        <w:tc>
          <w:tcPr>
            <w:tcW w:w="9720" w:type="dxa"/>
            <w:vAlign w:val="bottom"/>
            <w:gridSpan w:val="2"/>
          </w:tcPr>
          <w:p>
            <w:pPr>
              <w:spacing w:after="0"/>
              <w:rPr>
                <w:sz w:val="20"/>
                <w:szCs w:val="20"/>
                <w:color w:val="auto"/>
              </w:rPr>
            </w:pPr>
            <w:r>
              <w:rPr>
                <w:rFonts w:ascii="Arial" w:cs="Arial" w:eastAsia="Arial" w:hAnsi="Arial"/>
                <w:sz w:val="18"/>
                <w:szCs w:val="18"/>
                <w:color w:val="auto"/>
              </w:rPr>
              <w:t>Security Class</w:t>
            </w: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2,402,646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Series A Convertible Preferred Stock; 500,000 shares issued and outstanding, convertible 1:1.5</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660"/>
              <w:spacing w:after="0"/>
              <w:rPr>
                <w:sz w:val="20"/>
                <w:szCs w:val="20"/>
                <w:color w:val="auto"/>
              </w:rPr>
            </w:pPr>
            <w:r>
              <w:rPr>
                <w:rFonts w:ascii="Arial" w:cs="Arial" w:eastAsia="Arial" w:hAnsi="Arial"/>
                <w:sz w:val="18"/>
                <w:szCs w:val="18"/>
                <w:color w:val="auto"/>
              </w:rPr>
              <w:t>Series B 10% Convertible Preferred Stock; 3,622,220 shares issued and outstanding, convertible 1:1</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3,622,220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Series C Convertible Preferred Stock; 2,318,012 shares issued and outstanding, convertible 1:1</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2,318,012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Common and Common Equivalent Shares Outstanding</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9,092,878</w:t>
            </w:r>
          </w:p>
        </w:tc>
        <w:tc>
          <w:tcPr>
            <w:tcW w:w="0" w:type="dxa"/>
            <w:vAlign w:val="bottom"/>
          </w:tcPr>
          <w:p>
            <w:pPr>
              <w:spacing w:after="0"/>
              <w:rPr>
                <w:sz w:val="1"/>
                <w:szCs w:val="1"/>
                <w:color w:val="auto"/>
              </w:rPr>
            </w:pPr>
          </w:p>
        </w:tc>
      </w:tr>
      <w:tr>
        <w:trPr>
          <w:trHeight w:val="1118"/>
        </w:trPr>
        <w:tc>
          <w:tcPr>
            <w:tcW w:w="20" w:type="dxa"/>
            <w:vAlign w:val="bottom"/>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VistaGen Therapeutics, Inc.</w:t>
      </w:r>
    </w:p>
    <w:p>
      <w:pPr>
        <w:spacing w:after="0" w:line="229"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February 25, 2016</w:t>
      </w:r>
      <w:r>
        <w:rPr>
          <w:sz w:val="20"/>
          <w:szCs w:val="20"/>
          <w:color w:val="auto"/>
        </w:rPr>
        <w:tab/>
      </w:r>
      <w:r>
        <w:rPr>
          <w:rFonts w:ascii="Arial" w:cs="Arial" w:eastAsia="Arial" w:hAnsi="Arial"/>
          <w:sz w:val="16"/>
          <w:szCs w:val="16"/>
          <w:color w:val="auto"/>
        </w:rPr>
        <w:t>By: /s/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2020-01-19T15:55:38Z</dcterms:created>
  <dcterms:modified xsi:type="dcterms:W3CDTF">2020-01-19T15:55:38Z</dcterms:modified>
</cp:coreProperties>
</file>