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92840H400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1,953,045.00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1,953,045.00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1,953,045.00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1,953,045.00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1,953,045.00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1,953,045.00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1,953,045.00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1,953,045.00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1,953,045.00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jc w:val="left"/>
              <w:rPr/>
            </w:pPr>
            <w:r>
              <w:rPr/>
              <w:t xml:space="preserve">CUSIP No.: </w:t>
            </w:r>
          </w:p>
          <w:p>
            <w:pPr>
              <w:pStyle w:val="TableContents"/>
              <w:bidi w:val="0"/>
              <w:spacing w:before="0" w:after="0"/>
              <w:jc w:val="left"/>
              <w:rPr/>
            </w:pPr>
            <w:r>
              <w:rPr/>
              <w:t>92840H400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December 31, 2025, Nantahala may be deemed to be the beneficial owner of 1,953,045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December 31, 2025, each of the Reporting Persons may be deemed to be the beneficial owner of the following percentage of the total number of Shares outstanding: (1) Nantahala Capital Management, LLC ("Nantahala") : 4.71% (2) Wilmot B. Harkey: 4.71% (3) Daniel Mack: 4.71%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1,953,045 Shares. (2) Wilmot B. Harkey: 1,953,045 Shares. (3) Daniel Mack: 1,953,045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1,953,045 Shares. (2) Wilmot B. Harkey: 1,953,045 Shares. (3) Daniel Mack: 1,953,045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1300</Words>
  <Characters>6782</Characters>
  <CharactersWithSpaces>8031</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