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July 21, 2021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0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NEVADA</w:t>
            </w:r>
          </w:p>
        </w:tc>
        <w:tc>
          <w:tcPr>
            <w:tcW w:w="2420" w:type="dxa"/>
            <w:vAlign w:val="bottom"/>
            <w:gridSpan w:val="4"/>
          </w:tcPr>
          <w:p>
            <w:pPr>
              <w:jc w:val="center"/>
              <w:ind w:left="1572"/>
              <w:spacing w:after="0"/>
              <w:rPr>
                <w:sz w:val="20"/>
                <w:szCs w:val="20"/>
                <w:color w:val="auto"/>
              </w:rPr>
            </w:pPr>
            <w:r>
              <w:rPr>
                <w:rFonts w:ascii="Arial" w:cs="Arial" w:eastAsia="Arial" w:hAnsi="Arial"/>
                <w:sz w:val="18"/>
                <w:szCs w:val="18"/>
                <w:b w:val="1"/>
                <w:bCs w:val="1"/>
                <w:color w:val="auto"/>
                <w:w w:val="88"/>
              </w:rPr>
              <w:t>000-54014</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20-5093315</w:t>
            </w:r>
          </w:p>
        </w:tc>
        <w:tc>
          <w:tcPr>
            <w:tcW w:w="9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4"/>
        </w:trPr>
        <w:tc>
          <w:tcPr>
            <w:tcW w:w="3300" w:type="dxa"/>
            <w:vAlign w:val="bottom"/>
            <w:gridSpan w:val="3"/>
          </w:tcPr>
          <w:p>
            <w:pPr>
              <w:jc w:val="center"/>
              <w:ind w:right="16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580" w:type="dxa"/>
            <w:vAlign w:val="bottom"/>
          </w:tcPr>
          <w:p>
            <w:pPr>
              <w:spacing w:after="0"/>
              <w:rPr>
                <w:sz w:val="20"/>
                <w:szCs w:val="20"/>
                <w:color w:val="auto"/>
              </w:rPr>
            </w:pPr>
          </w:p>
        </w:tc>
        <w:tc>
          <w:tcPr>
            <w:tcW w:w="3580" w:type="dxa"/>
            <w:vAlign w:val="bottom"/>
            <w:gridSpan w:val="6"/>
          </w:tcPr>
          <w:p>
            <w:pPr>
              <w:jc w:val="center"/>
              <w:ind w:right="660"/>
              <w:spacing w:after="0"/>
              <w:rPr>
                <w:sz w:val="20"/>
                <w:szCs w:val="20"/>
                <w:color w:val="auto"/>
              </w:rPr>
            </w:pPr>
            <w:r>
              <w:rPr>
                <w:rFonts w:ascii="Arial" w:cs="Arial" w:eastAsia="Arial" w:hAnsi="Arial"/>
                <w:sz w:val="18"/>
                <w:szCs w:val="18"/>
                <w:i w:val="1"/>
                <w:iCs w:val="1"/>
                <w:color w:val="auto"/>
                <w:w w:val="89"/>
              </w:rPr>
              <w:t>(Commission File Number)</w:t>
            </w:r>
          </w:p>
        </w:tc>
        <w:tc>
          <w:tcPr>
            <w:tcW w:w="2980" w:type="dxa"/>
            <w:vAlign w:val="bottom"/>
            <w:gridSpan w:val="3"/>
          </w:tcPr>
          <w:p>
            <w:pPr>
              <w:jc w:val="center"/>
              <w:ind w:left="19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8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w w:val="88"/>
              </w:rPr>
              <w:t>343 Allerton Ave.</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80" w:type="dxa"/>
            <w:vAlign w:val="bottom"/>
            <w:gridSpan w:val="6"/>
          </w:tcPr>
          <w:p>
            <w:pPr>
              <w:jc w:val="center"/>
              <w:ind w:right="700"/>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3"/>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80" w:type="dxa"/>
            <w:vAlign w:val="bottom"/>
            <w:gridSpan w:val="5"/>
          </w:tcPr>
          <w:p>
            <w:pPr>
              <w:jc w:val="center"/>
              <w:ind w:left="1392"/>
              <w:spacing w:after="0"/>
              <w:rPr>
                <w:sz w:val="20"/>
                <w:szCs w:val="20"/>
                <w:color w:val="auto"/>
              </w:rPr>
            </w:pPr>
            <w:r>
              <w:rPr>
                <w:rFonts w:ascii="Arial" w:cs="Arial" w:eastAsia="Arial" w:hAnsi="Arial"/>
                <w:sz w:val="18"/>
                <w:szCs w:val="18"/>
                <w:b w:val="1"/>
                <w:bCs w:val="1"/>
                <w:color w:val="auto"/>
                <w:w w:val="89"/>
              </w:rPr>
              <w:t>(650) 577-3600</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160" w:type="dxa"/>
            <w:vAlign w:val="bottom"/>
            <w:gridSpan w:val="7"/>
          </w:tcPr>
          <w:p>
            <w:pPr>
              <w:jc w:val="center"/>
              <w:ind w:right="12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Common Stock, par value $0.001 per share</w:t>
            </w:r>
          </w:p>
        </w:tc>
        <w:tc>
          <w:tcPr>
            <w:tcW w:w="2740" w:type="dxa"/>
            <w:vAlign w:val="bottom"/>
            <w:gridSpan w:val="2"/>
          </w:tcPr>
          <w:p>
            <w:pPr>
              <w:jc w:val="center"/>
              <w:ind w:right="14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 w:name="page2"/>
    <w:bookmarkEnd w:id="1"/>
    <w:p>
      <w:pPr>
        <w:jc w:val="both"/>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Dr. Brian J. Underdown and Appointment of Ms. Maggie FitzPatrick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21, 2021, Dr. Brian J. Underdown notified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of his retirement from the Board and all Board committees, effective immediately. Dr. Underdown’s decision to retire was not a result of any disagreement with the Company’s management or the Board.</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Dr. Underdown’s resignation and retirement, the Board appointed Margaret M. FitzPatrick to serve on the Board. Ms. FitzPatrick was deemed to be an “independent director,” as such term is defined in Listing Rule 5605 of the Nasdaq Stock Market. A copy of the press release announcing Ms. FitzPatrick’s appointment is attached to this Current Report on Form 8-K as Exhibit 99.1.</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Ms. FitzPatrick, age 55, is a globally recognized corporate affairs executive who has been honored with several prestigious awards, including the Washington Business Journal’s C-Suite Executive of the Year Class (2019), PR Week’s Top 50 Most Powerful People in PR (2015) and PR Week’s Hall of Femme (2019). Recently, she served as Chief Corporate Affairs Officer of the Exelon Corporation, a Fortune 100 diversified clean energy company, from 2016 to 2020. Prior to her time at Exelon Corporation, Ms. FitzPatrick served as Global Chief Communications Officer and led public affairs at Johnson &amp; Johnson, the world's largest and most broadly-based healthcare company, from 2013 to 2016, and as Global Chief Communication Officer and President of the Foundation at CIGNA. Ms. FitzPatrick also served as Executive Vice President at APCO Worldwide, a global public affairs and strategic communications consultancy, where she counseled executives on major global reputation efforts for notable industry leaders such as eBay and United Airlines, among others. Ms. FitzPatrick currently serves on the board of the Southeast Tennis and Learning Center in Washington, D.C. In 2020, she was appointed by DC Mayor Muriel Bowser to serve as a Commissioner on the DC Commission on the Arts and Humanities.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Ms. FitzPatrick holds a B.A. in English and Policy Studies from Syracuse University, and an M.A. in Public Policy from The George Washington University. In 2018, she completed the Harvard Business School program for corporate directors.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There are no arrangements or understandings between Ms. FitzPatrick and any other person pursuant to which she was selected as a director, and 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FitzPatrick is not a participant in any related party transaction required to be reported pursuant to Item 404(a) of Regulation S-K.</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her appointment, the Company entered into an Indemnification Agreement (the “</w:t>
      </w:r>
      <w:r>
        <w:rPr>
          <w:rFonts w:ascii="Arial" w:cs="Arial" w:eastAsia="Arial" w:hAnsi="Arial"/>
          <w:sz w:val="18"/>
          <w:szCs w:val="18"/>
          <w:i w:val="1"/>
          <w:iCs w:val="1"/>
          <w:color w:val="auto"/>
        </w:rPr>
        <w:t>Indemnification Agreement</w:t>
      </w:r>
      <w:r>
        <w:rPr>
          <w:rFonts w:ascii="Arial" w:cs="Arial" w:eastAsia="Arial" w:hAnsi="Arial"/>
          <w:sz w:val="18"/>
          <w:szCs w:val="18"/>
          <w:color w:val="auto"/>
        </w:rPr>
        <w:t>”) with Ms. FitzPatrick. The Indemnification Agreement requires the Company to indemnify Ms. FitzPatrick to the fullest extent permitted under Nevada law against liability that may arise by reason of her service to the Company and to advance certain expenses incurred as a result of any proceeding against her as to which she could be indemnified.</w:t>
      </w:r>
    </w:p>
    <w:p>
      <w:pPr>
        <w:spacing w:after="0" w:line="197"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 to Board Committees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21, 2021, Mary L. Rotunno was appointed to serve as Chair of the Board’s Corporate Governance and Nominating Committee and as a member of the Board’s Audit Committee. In addition, Ms. FitzPatrick was appointed to serve as a member of the Corporate Governance and Nominating Committee and Dr. Jerry B. Gin was appointed to serve as Chair of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July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 JD</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3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Indemnification Agreement, dated July 21, 2021, by and between VistaGen Therapeutics, Inc. and Margaret M. FitzPatrick</w:t>
            </w:r>
          </w:p>
        </w:tc>
      </w:tr>
      <w:tr>
        <w:trPr>
          <w:trHeight w:val="175"/>
        </w:trPr>
        <w:tc>
          <w:tcPr>
            <w:tcW w:w="1480" w:type="dxa"/>
            <w:vAlign w:val="bottom"/>
            <w:gridSpan w:val="2"/>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40" w:type="dxa"/>
            <w:vAlign w:val="bottom"/>
          </w:tcPr>
          <w:p>
            <w:pPr>
              <w:spacing w:after="0"/>
              <w:rPr>
                <w:sz w:val="15"/>
                <w:szCs w:val="15"/>
                <w:color w:val="auto"/>
              </w:rPr>
            </w:pPr>
          </w:p>
        </w:tc>
        <w:tc>
          <w:tcPr>
            <w:tcW w:w="9320" w:type="dxa"/>
            <w:vAlign w:val="bottom"/>
          </w:tcPr>
          <w:p>
            <w:pPr>
              <w:spacing w:after="0" w:line="176" w:lineRule="exact"/>
              <w:rPr>
                <w:sz w:val="20"/>
                <w:szCs w:val="20"/>
                <w:color w:val="auto"/>
              </w:rPr>
            </w:pPr>
            <w:r>
              <w:rPr>
                <w:rFonts w:ascii="Arial" w:cs="Arial" w:eastAsia="Arial" w:hAnsi="Arial"/>
                <w:sz w:val="18"/>
                <w:szCs w:val="18"/>
                <w:color w:val="auto"/>
              </w:rPr>
              <w:t>Press Release issued by VistaGen Therapeutics, Inc., dated July 22, 2021</w:t>
            </w:r>
          </w:p>
        </w:tc>
      </w:tr>
      <w:tr>
        <w:trPr>
          <w:trHeight w:val="1108"/>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AGREEMENT is entered into, effective as of July 21, 2021 between VistaGen Therapeutics, Inc., a Nevada corporation (the "Company"), and Margaret Mary FitzPatrick (the “Indemnitee”).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Indemnitee is a director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which may be asserted against directors and officers of corporations; and</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in recognition of lndemnitee's need for substantial protection against personal liability in order to enhance Indemnitee's continued and effective service to the Company, and in order to induce Indemnitee to provide services to the Company as a director,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86" w:lineRule="exact"/>
        <w:rPr>
          <w:sz w:val="20"/>
          <w:szCs w:val="20"/>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71"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183" w:lineRule="exact"/>
        <w:rPr>
          <w:rFonts w:ascii="Arial" w:cs="Arial" w:eastAsia="Arial" w:hAnsi="Arial"/>
          <w:sz w:val="16"/>
          <w:szCs w:val="16"/>
          <w:color w:val="auto"/>
        </w:rPr>
      </w:pPr>
    </w:p>
    <w:p>
      <w:pPr>
        <w:jc w:val="both"/>
        <w:ind w:firstLine="1304"/>
        <w:spacing w:after="0" w:line="298" w:lineRule="auto"/>
        <w:tabs>
          <w:tab w:leader="none" w:pos="1535"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firstLine="1304"/>
        <w:spacing w:after="0" w:line="290" w:lineRule="auto"/>
        <w:tabs>
          <w:tab w:leader="none" w:pos="1544"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71" w:lineRule="exact"/>
        <w:rPr>
          <w:rFonts w:ascii="Arial" w:cs="Arial" w:eastAsia="Arial" w:hAnsi="Arial"/>
          <w:sz w:val="16"/>
          <w:szCs w:val="16"/>
          <w:color w:val="auto"/>
        </w:rPr>
      </w:pPr>
    </w:p>
    <w:p>
      <w:pPr>
        <w:ind w:left="1540" w:hanging="236"/>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1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193" w:lineRule="exact"/>
        <w:rPr>
          <w:rFonts w:ascii="Arial" w:cs="Arial" w:eastAsia="Arial" w:hAnsi="Arial"/>
          <w:sz w:val="18"/>
          <w:szCs w:val="18"/>
          <w:color w:val="auto"/>
        </w:rPr>
      </w:pPr>
    </w:p>
    <w:p>
      <w:pPr>
        <w:ind w:left="1560" w:hanging="25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any securities of the Company that vote generally in the election of directors.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1535"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General Agreement</w:t>
      </w:r>
      <w:r>
        <w:rPr>
          <w:rFonts w:ascii="Arial" w:cs="Arial" w:eastAsia="Arial" w:hAnsi="Arial"/>
          <w:sz w:val="16"/>
          <w:szCs w:val="16"/>
          <w:color w:val="auto"/>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71" w:lineRule="exact"/>
        <w:rPr>
          <w:rFonts w:ascii="Arial" w:cs="Arial" w:eastAsia="Arial" w:hAnsi="Arial"/>
          <w:sz w:val="16"/>
          <w:szCs w:val="16"/>
          <w:color w:val="auto"/>
        </w:rPr>
      </w:pPr>
    </w:p>
    <w:p>
      <w:pPr>
        <w:jc w:val="both"/>
        <w:ind w:firstLine="1304"/>
        <w:spacing w:after="0" w:line="294" w:lineRule="auto"/>
        <w:tabs>
          <w:tab w:leader="none" w:pos="1544"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Initiation of Proceeding</w:t>
      </w:r>
      <w:r>
        <w:rPr>
          <w:rFonts w:ascii="Arial" w:cs="Arial" w:eastAsia="Arial" w:hAnsi="Arial"/>
          <w:sz w:val="16"/>
          <w:szCs w:val="16"/>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169" w:lineRule="exact"/>
        <w:rPr>
          <w:rFonts w:ascii="Arial" w:cs="Arial" w:eastAsia="Arial" w:hAnsi="Arial"/>
          <w:sz w:val="16"/>
          <w:szCs w:val="16"/>
          <w:color w:val="auto"/>
        </w:rPr>
      </w:pPr>
    </w:p>
    <w:p>
      <w:pPr>
        <w:jc w:val="both"/>
        <w:ind w:firstLine="1304"/>
        <w:spacing w:after="0" w:line="288" w:lineRule="auto"/>
        <w:tabs>
          <w:tab w:leader="none" w:pos="154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Expense Advances</w:t>
      </w:r>
      <w:r>
        <w:rPr>
          <w:rFonts w:ascii="Arial" w:cs="Arial" w:eastAsia="Arial" w:hAnsi="Arial"/>
          <w:sz w:val="16"/>
          <w:szCs w:val="16"/>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ai1d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jc w:val="both"/>
        <w:ind w:firstLine="1304"/>
        <w:spacing w:after="0" w:line="259" w:lineRule="auto"/>
        <w:tabs>
          <w:tab w:leader="none" w:pos="1544"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193" w:lineRule="exact"/>
        <w:rPr>
          <w:rFonts w:ascii="Arial" w:cs="Arial" w:eastAsia="Arial" w:hAnsi="Arial"/>
          <w:sz w:val="18"/>
          <w:szCs w:val="18"/>
          <w:color w:val="auto"/>
        </w:rPr>
      </w:pPr>
    </w:p>
    <w:p>
      <w:pPr>
        <w:jc w:val="both"/>
        <w:ind w:firstLine="1304"/>
        <w:spacing w:after="0" w:line="259" w:lineRule="auto"/>
        <w:tabs>
          <w:tab w:leader="none" w:pos="1535"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193" w:lineRule="exact"/>
        <w:rPr>
          <w:rFonts w:ascii="Arial" w:cs="Arial" w:eastAsia="Arial" w:hAnsi="Arial"/>
          <w:sz w:val="18"/>
          <w:szCs w:val="18"/>
          <w:color w:val="auto"/>
        </w:rPr>
      </w:pPr>
    </w:p>
    <w:p>
      <w:pPr>
        <w:jc w:val="both"/>
        <w:ind w:firstLine="1304"/>
        <w:spacing w:after="0" w:line="256" w:lineRule="auto"/>
        <w:tabs>
          <w:tab w:leader="none" w:pos="1515"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196" w:lineRule="exact"/>
        <w:rPr>
          <w:rFonts w:ascii="Arial" w:cs="Arial" w:eastAsia="Arial" w:hAnsi="Arial"/>
          <w:sz w:val="18"/>
          <w:szCs w:val="18"/>
          <w:color w:val="auto"/>
        </w:rPr>
      </w:pPr>
    </w:p>
    <w:p>
      <w:pPr>
        <w:jc w:val="both"/>
        <w:ind w:firstLine="656"/>
        <w:spacing w:after="0" w:line="285" w:lineRule="auto"/>
        <w:tabs>
          <w:tab w:leader="none" w:pos="82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Reviewing Party</w:t>
      </w:r>
      <w:r>
        <w:rPr>
          <w:rFonts w:ascii="Arial" w:cs="Arial" w:eastAsia="Arial" w:hAnsi="Arial"/>
          <w:sz w:val="16"/>
          <w:szCs w:val="16"/>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181" w:lineRule="exact"/>
        <w:rPr>
          <w:rFonts w:ascii="Arial" w:cs="Arial" w:eastAsia="Arial" w:hAnsi="Arial"/>
          <w:sz w:val="16"/>
          <w:szCs w:val="16"/>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306" w:lineRule="auto"/>
        <w:tabs>
          <w:tab w:leader="none" w:pos="1562"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160" w:lineRule="exact"/>
        <w:rPr>
          <w:rFonts w:ascii="Arial" w:cs="Arial" w:eastAsia="Arial" w:hAnsi="Arial"/>
          <w:sz w:val="16"/>
          <w:szCs w:val="16"/>
          <w:color w:val="auto"/>
        </w:rPr>
      </w:pPr>
    </w:p>
    <w:p>
      <w:pPr>
        <w:jc w:val="both"/>
        <w:ind w:firstLine="1304"/>
        <w:spacing w:after="0" w:line="291" w:lineRule="auto"/>
        <w:tabs>
          <w:tab w:leader="none" w:pos="1544"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 w:name="page8"/>
    <w:bookmarkEnd w:id="7"/>
    <w:p>
      <w:pPr>
        <w:jc w:val="both"/>
        <w:ind w:firstLine="1304"/>
        <w:spacing w:after="0" w:line="286" w:lineRule="auto"/>
        <w:tabs>
          <w:tab w:leader="none" w:pos="1548"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Defense to Indemnification, Burden of Proof, and Presumptions</w:t>
      </w:r>
      <w:r>
        <w:rPr>
          <w:rFonts w:ascii="Arial" w:cs="Arial" w:eastAsia="Arial" w:hAnsi="Arial"/>
          <w:sz w:val="16"/>
          <w:szCs w:val="16"/>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77" w:lineRule="exact"/>
        <w:rPr>
          <w:rFonts w:ascii="Arial" w:cs="Arial" w:eastAsia="Arial" w:hAnsi="Arial"/>
          <w:sz w:val="16"/>
          <w:szCs w:val="16"/>
          <w:color w:val="auto"/>
        </w:rPr>
      </w:pPr>
    </w:p>
    <w:p>
      <w:pPr>
        <w:ind w:right="20" w:firstLine="656"/>
        <w:spacing w:after="0" w:line="268" w:lineRule="auto"/>
        <w:tabs>
          <w:tab w:leader="none" w:pos="85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185" w:lineRule="exact"/>
        <w:rPr>
          <w:rFonts w:ascii="Arial" w:cs="Arial" w:eastAsia="Arial" w:hAnsi="Arial"/>
          <w:sz w:val="18"/>
          <w:szCs w:val="18"/>
          <w:color w:val="auto"/>
        </w:rPr>
      </w:pPr>
    </w:p>
    <w:p>
      <w:pPr>
        <w:ind w:left="1300" w:firstLine="652"/>
        <w:spacing w:after="0" w:line="331" w:lineRule="auto"/>
        <w:tabs>
          <w:tab w:leader="none" w:pos="2183" w:val="left"/>
        </w:tabs>
        <w:numPr>
          <w:ilvl w:val="2"/>
          <w:numId w:val="8"/>
        </w:numPr>
        <w:rPr>
          <w:rFonts w:ascii="Arial" w:cs="Arial" w:eastAsia="Arial" w:hAnsi="Arial"/>
          <w:sz w:val="16"/>
          <w:szCs w:val="16"/>
          <w:color w:val="auto"/>
        </w:rPr>
      </w:pPr>
      <w:r>
        <w:rPr>
          <w:rFonts w:ascii="Arial" w:cs="Arial" w:eastAsia="Arial" w:hAnsi="Arial"/>
          <w:sz w:val="16"/>
          <w:szCs w:val="16"/>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40" w:lineRule="exact"/>
        <w:rPr>
          <w:rFonts w:ascii="Arial" w:cs="Arial" w:eastAsia="Arial" w:hAnsi="Arial"/>
          <w:sz w:val="16"/>
          <w:szCs w:val="16"/>
          <w:color w:val="auto"/>
        </w:rPr>
      </w:pPr>
    </w:p>
    <w:p>
      <w:pPr>
        <w:jc w:val="both"/>
        <w:ind w:left="1300" w:firstLine="652"/>
        <w:spacing w:after="0" w:line="256" w:lineRule="auto"/>
        <w:tabs>
          <w:tab w:leader="none" w:pos="2241" w:val="left"/>
        </w:tabs>
        <w:numPr>
          <w:ilvl w:val="2"/>
          <w:numId w:val="8"/>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196" w:lineRule="exact"/>
        <w:rPr>
          <w:rFonts w:ascii="Arial" w:cs="Arial" w:eastAsia="Arial" w:hAnsi="Arial"/>
          <w:sz w:val="18"/>
          <w:szCs w:val="18"/>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193" w:lineRule="exact"/>
        <w:rPr>
          <w:rFonts w:ascii="Arial" w:cs="Arial" w:eastAsia="Arial" w:hAnsi="Arial"/>
          <w:sz w:val="18"/>
          <w:szCs w:val="18"/>
          <w:color w:val="auto"/>
        </w:rPr>
      </w:pPr>
    </w:p>
    <w:p>
      <w:pPr>
        <w:jc w:val="both"/>
        <w:ind w:firstLine="1304"/>
        <w:spacing w:after="0" w:line="306" w:lineRule="auto"/>
        <w:tabs>
          <w:tab w:leader="none" w:pos="1544" w:val="left"/>
        </w:tabs>
        <w:numPr>
          <w:ilvl w:val="1"/>
          <w:numId w:val="8"/>
        </w:numPr>
        <w:rPr>
          <w:rFonts w:ascii="Arial" w:cs="Arial" w:eastAsia="Arial" w:hAnsi="Arial"/>
          <w:sz w:val="15"/>
          <w:szCs w:val="15"/>
          <w:color w:val="auto"/>
        </w:rPr>
      </w:pPr>
      <w:r>
        <w:rPr>
          <w:rFonts w:ascii="Arial" w:cs="Arial" w:eastAsia="Arial" w:hAnsi="Arial"/>
          <w:sz w:val="15"/>
          <w:szCs w:val="15"/>
          <w:u w:val="single" w:color="auto"/>
          <w:color w:val="auto"/>
        </w:rPr>
        <w:t>Defense</w:t>
      </w:r>
      <w:r>
        <w:rPr>
          <w:rFonts w:ascii="Arial" w:cs="Arial" w:eastAsia="Arial" w:hAnsi="Arial"/>
          <w:sz w:val="15"/>
          <w:szCs w:val="15"/>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169" w:lineRule="exact"/>
        <w:rPr>
          <w:rFonts w:ascii="Arial" w:cs="Arial" w:eastAsia="Arial" w:hAnsi="Arial"/>
          <w:sz w:val="15"/>
          <w:szCs w:val="15"/>
          <w:color w:val="auto"/>
        </w:rPr>
      </w:pPr>
    </w:p>
    <w:p>
      <w:pPr>
        <w:jc w:val="both"/>
        <w:ind w:firstLine="1304"/>
        <w:spacing w:after="0" w:line="288" w:lineRule="auto"/>
        <w:tabs>
          <w:tab w:leader="none" w:pos="1535"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Settlement of Claims</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jc w:val="both"/>
        <w:ind w:firstLine="656"/>
        <w:spacing w:after="0" w:line="285" w:lineRule="auto"/>
        <w:tabs>
          <w:tab w:leader="none" w:pos="82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176" w:lineRule="exact"/>
        <w:rPr>
          <w:rFonts w:ascii="Arial" w:cs="Arial" w:eastAsia="Arial" w:hAnsi="Arial"/>
          <w:sz w:val="16"/>
          <w:szCs w:val="16"/>
          <w:color w:val="auto"/>
        </w:rPr>
      </w:pPr>
    </w:p>
    <w:p>
      <w:pPr>
        <w:jc w:val="both"/>
        <w:ind w:firstLine="656"/>
        <w:spacing w:after="0" w:line="298" w:lineRule="auto"/>
        <w:tabs>
          <w:tab w:leader="none" w:pos="82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66" w:lineRule="exact"/>
        <w:rPr>
          <w:rFonts w:ascii="Arial" w:cs="Arial" w:eastAsia="Arial" w:hAnsi="Arial"/>
          <w:sz w:val="16"/>
          <w:szCs w:val="16"/>
          <w:color w:val="auto"/>
        </w:rPr>
      </w:pPr>
    </w:p>
    <w:p>
      <w:pPr>
        <w:jc w:val="both"/>
        <w:ind w:firstLine="656"/>
        <w:spacing w:after="0" w:line="259" w:lineRule="auto"/>
        <w:tabs>
          <w:tab w:leader="none" w:pos="83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insurai1ce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93" w:lineRule="exact"/>
        <w:rPr>
          <w:rFonts w:ascii="Arial" w:cs="Arial" w:eastAsia="Arial" w:hAnsi="Arial"/>
          <w:sz w:val="18"/>
          <w:szCs w:val="18"/>
          <w:color w:val="auto"/>
        </w:rPr>
      </w:pPr>
    </w:p>
    <w:p>
      <w:pPr>
        <w:jc w:val="both"/>
        <w:ind w:firstLine="656"/>
        <w:spacing w:after="0" w:line="294" w:lineRule="auto"/>
        <w:tabs>
          <w:tab w:leader="none" w:pos="91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169" w:lineRule="exact"/>
        <w:rPr>
          <w:rFonts w:ascii="Arial" w:cs="Arial" w:eastAsia="Arial" w:hAnsi="Arial"/>
          <w:sz w:val="16"/>
          <w:szCs w:val="16"/>
          <w:color w:val="auto"/>
        </w:rPr>
      </w:pPr>
    </w:p>
    <w:p>
      <w:pPr>
        <w:jc w:val="both"/>
        <w:ind w:firstLine="656"/>
        <w:spacing w:after="0" w:line="254" w:lineRule="auto"/>
        <w:tabs>
          <w:tab w:leader="none" w:pos="91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p>
      <w:pPr>
        <w:jc w:val="both"/>
        <w:ind w:firstLine="656"/>
        <w:spacing w:after="0" w:line="259" w:lineRule="auto"/>
        <w:tabs>
          <w:tab w:leader="none" w:pos="91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93" w:lineRule="exact"/>
        <w:rPr>
          <w:rFonts w:ascii="Arial" w:cs="Arial" w:eastAsia="Arial" w:hAnsi="Arial"/>
          <w:sz w:val="18"/>
          <w:szCs w:val="18"/>
          <w:color w:val="auto"/>
        </w:rPr>
      </w:pPr>
    </w:p>
    <w:p>
      <w:pPr>
        <w:jc w:val="both"/>
        <w:ind w:firstLine="656"/>
        <w:spacing w:after="0" w:line="259"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193" w:lineRule="exact"/>
        <w:rPr>
          <w:rFonts w:ascii="Arial" w:cs="Arial" w:eastAsia="Arial" w:hAnsi="Arial"/>
          <w:sz w:val="18"/>
          <w:szCs w:val="18"/>
          <w:color w:val="auto"/>
        </w:rPr>
      </w:pPr>
    </w:p>
    <w:p>
      <w:pPr>
        <w:jc w:val="both"/>
        <w:ind w:firstLine="656"/>
        <w:spacing w:after="0" w:line="288" w:lineRule="auto"/>
        <w:tabs>
          <w:tab w:leader="none" w:pos="92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77" w:lineRule="exact"/>
        <w:rPr>
          <w:rFonts w:ascii="Arial" w:cs="Arial" w:eastAsia="Arial" w:hAnsi="Arial"/>
          <w:sz w:val="16"/>
          <w:szCs w:val="16"/>
          <w:color w:val="auto"/>
        </w:rPr>
      </w:pPr>
    </w:p>
    <w:p>
      <w:pPr>
        <w:jc w:val="both"/>
        <w:ind w:firstLine="656"/>
        <w:spacing w:after="0" w:line="254"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00" w:lineRule="exact"/>
        <w:rPr>
          <w:rFonts w:ascii="Arial" w:cs="Arial" w:eastAsia="Arial" w:hAnsi="Arial"/>
          <w:sz w:val="18"/>
          <w:szCs w:val="18"/>
          <w:color w:val="auto"/>
        </w:rPr>
      </w:pPr>
    </w:p>
    <w:p>
      <w:pPr>
        <w:ind w:right="20" w:firstLine="656"/>
        <w:spacing w:after="0" w:line="268" w:lineRule="auto"/>
        <w:tabs>
          <w:tab w:leader="none" w:pos="93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185" w:lineRule="exact"/>
        <w:rPr>
          <w:rFonts w:ascii="Arial" w:cs="Arial" w:eastAsia="Arial" w:hAnsi="Arial"/>
          <w:sz w:val="18"/>
          <w:szCs w:val="18"/>
          <w:color w:val="auto"/>
        </w:rPr>
      </w:pPr>
    </w:p>
    <w:p>
      <w:pPr>
        <w:jc w:val="both"/>
        <w:ind w:firstLine="656"/>
        <w:spacing w:after="0" w:line="259" w:lineRule="auto"/>
        <w:tabs>
          <w:tab w:leader="none" w:pos="91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Executive Officer</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Margaret M. Fitzpatrick</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2023 Allen Place, NW</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20009</w:t>
      </w:r>
    </w:p>
    <w:p>
      <w:pPr>
        <w:spacing w:after="0" w:line="21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specified above.</w:t>
      </w:r>
    </w:p>
    <w:p>
      <w:pPr>
        <w:sectPr>
          <w:pgSz w:w="11900" w:h="16838" w:orient="portrait"/>
          <w:cols w:equalWidth="0" w:num="1">
            <w:col w:w="9479"/>
          </w:cols>
          <w:pgMar w:left="980" w:top="712" w:right="1440" w:bottom="1440" w:gutter="0" w:footer="0" w:header="0"/>
        </w:sectPr>
      </w:pP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r>
        <w:rPr>
          <w:rFonts w:ascii="Arial" w:cs="Arial" w:eastAsia="Arial" w:hAnsi="Arial"/>
          <w:sz w:val="18"/>
          <w:szCs w:val="18"/>
          <w:color w:val="auto"/>
        </w:rPr>
        <w:t>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Margaret M. FitzPatrick</w:t>
      </w:r>
      <w:r>
        <w:rPr>
          <w:rFonts w:ascii="Arial" w:cs="Arial" w:eastAsia="Arial" w:hAnsi="Arial"/>
          <w:sz w:val="18"/>
          <w:szCs w:val="18"/>
          <w:color w:val="auto"/>
        </w:rPr>
        <w:t>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Margaret Mary FitzPatrick</w:t>
      </w: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12" w:right="1440"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294130"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413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Announces Appointment of Maggie FitzPatrick to its Board of Directors</w:t>
      </w:r>
    </w:p>
    <w:p>
      <w:pPr>
        <w:spacing w:after="0" w:line="158" w:lineRule="exact"/>
        <w:rPr>
          <w:sz w:val="20"/>
          <w:szCs w:val="20"/>
          <w:color w:val="auto"/>
        </w:rPr>
      </w:pPr>
    </w:p>
    <w:p>
      <w:pPr>
        <w:jc w:val="center"/>
        <w:ind w:left="340" w:right="80"/>
        <w:spacing w:after="0" w:line="268" w:lineRule="auto"/>
        <w:rPr>
          <w:sz w:val="20"/>
          <w:szCs w:val="20"/>
          <w:color w:val="auto"/>
        </w:rPr>
      </w:pPr>
      <w:r>
        <w:rPr>
          <w:rFonts w:ascii="Arial" w:cs="Arial" w:eastAsia="Arial" w:hAnsi="Arial"/>
          <w:sz w:val="18"/>
          <w:szCs w:val="18"/>
          <w:i w:val="1"/>
          <w:iCs w:val="1"/>
          <w:color w:val="auto"/>
        </w:rPr>
        <w:t>Ms. FitzPatrick, an internationally recognized corporate affairs executive, brings extensive healthcare consumer engagement, marketing and public relations expertise to the Company’s Board</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 SAN FRANCISCO, Calif. – July 22,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biopharmaceutical company committed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a new generation of medicines with the potential to go beyond the current standard of care for anxiety, depression and other central nervous system (“CNS”) disorders, today announced the appointment of Maggie FitzPatrick to its Board of Directors (“Board”), replacing Dr. Brian J. Underdown who recently retired from the Board.</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“Maggie is a highly-regarded public affairs strategist with extensive experience developing and executing multiple high impact customer-focused marketing communications initiatives for some of the world’s largest and most successful companies, including Johnson &amp; Johnson and Cigna,” said Shawn Singh, Chief Executive Officer of VistaGen. “Her expertise in positioning companies and products through public relations, marketing and digital media campaigns will be valuable both before and after commercial launch of our product candidates. We are excited to have Maggie on our Board as we continue to progress through key stages of our corporate growth with a steadfast commitment to improving mental health and well-being for individuals all around the world.”</w:t>
      </w:r>
    </w:p>
    <w:p>
      <w:pPr>
        <w:spacing w:after="0" w:line="16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Ms. FitzPatrick is a globally recognized corporate affairs executive who has been honored with several prestigious awards, including the Washington Business Journal’s C-Suite Executive of the Year Class (2019), PR Week’s Top 50 Most Powerful People in PR (2015) and PR Week’s Hall of Femme (2019). Recently, she served as a member of the Exelon Corporation executive committee. At Exelon, she led communications, customer engagement, digital and crisis reputation management and philanthropy for the Fortune 100 Company. Prior to Exelon, Maggie served as Global Chief Communications Officer and led public affairs at Johnson &amp; Johnson, the world's largest and most broadly-based healthcare company. She directed a global team of more than 425 professionals and oversaw the modernization and transformation of Johnson &amp; Johnson's global public affairs, reputation management and digital content programs. She and her team implemented a customer-focused strategy to strengthen engagement initiatives across the company’s 265 operating companies, across sixty countries. Prior to Johnson &amp; Johnson, Maggie served as Global Chief Communication Officer and President of the Foundation at Cigna, where she led a corporate re-branding effort and directed marketing communications for the company’s global expansion. Previous to that, Maggie was Executive Vice President at APCO Worldwide, a global public affairs and strategic communications consultancy. In this role she counseled executives on major global reputation efforts for notable industry leaders such as eBay and United Airlines, among others. Maggie also serves on the board of the Southeast Tennis and Learning Center in Washington, D.C. In 2020, she was appointed by DC Mayor Muriel Bowser to serve as a Commissioner on the DC Commission on the Arts and Humanities.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Ms. FitzPatrick holds a B.A. in English and Policy Studies from Syracuse University, and an M.A. in Public Policy from The George Washington University. In 2018, she completed the Harvard Business School program for corporate directors.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Jon S. Saxe, Chairman of the Board, added, “On behalf of the Company and its stockholders, I would like to extend a heartfelt thank you to Dr. Underdown for his long service to our Board and for his contributions in helping grow the company. We wish him the very best in his retirement and all of his future endeavors. I would also like to welcome Maggie to the VistaGen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VistaGen Therapeutics is a biopharmaceutical company committed to developing and commercializing innovative medicines with the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 For more information, please visit </w:t>
      </w:r>
      <w:r>
        <w:rPr>
          <w:rFonts w:ascii="Arial" w:cs="Arial" w:eastAsia="Arial" w:hAnsi="Arial"/>
          <w:sz w:val="16"/>
          <w:szCs w:val="16"/>
          <w:u w:val="single" w:color="auto"/>
          <w:color w:val="0000FF"/>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333333"/>
        </w:rPr>
        <w:t>,</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333333"/>
        </w:rPr>
        <w:t>, and</w:t>
      </w:r>
      <w:r>
        <w:rPr>
          <w:rFonts w:ascii="Arial" w:cs="Arial" w:eastAsia="Arial" w:hAnsi="Arial"/>
          <w:sz w:val="16"/>
          <w:szCs w:val="16"/>
          <w:color w:val="auto"/>
        </w:rPr>
        <w:t xml:space="preserve"> </w:t>
      </w:r>
      <w:r>
        <w:rPr>
          <w:rFonts w:ascii="Arial" w:cs="Arial" w:eastAsia="Arial" w:hAnsi="Arial"/>
          <w:sz w:val="16"/>
          <w:szCs w:val="16"/>
          <w:u w:val="single" w:color="auto"/>
          <w:color w:val="0095DA"/>
        </w:rPr>
        <w:t>Facebook</w:t>
      </w: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are fully discussed in the section entitled "Risk Factors" in our most recent Annual Report on Form 10-K for the fiscal year ended March 31, 2021,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
    </w:lvl>
    <w:lvl w:ilvl="1">
      <w:lvlJc w:val="left"/>
      <w:lvlText w:val="(%2)"/>
      <w:numFmt w:val="lowerLetter"/>
      <w:start w:val="4"/>
    </w:lvl>
  </w:abstractNum>
  <w:abstractNum w:abstractNumId="3">
    <w:nsid w:val="41B71EFB"/>
    <w:multiLevelType w:val="hybridMultilevel"/>
    <w:lvl w:ilvl="0">
      <w:lvlJc w:val="left"/>
      <w:lvlText w:val="%1."/>
      <w:numFmt w:val="decimal"/>
      <w:start w:val="2"/>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4"/>
    </w:lvl>
  </w:abstractNum>
  <w:abstractNum w:abstractNumId="5">
    <w:nsid w:val="7545E146"/>
    <w:multiLevelType w:val="hybridMultilevel"/>
    <w:lvl w:ilvl="0">
      <w:lvlJc w:val="left"/>
      <w:lvlText w:val="%1."/>
      <w:numFmt w:val="decimal"/>
      <w:start w:val="3"/>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
    <w:nsid w:val="5BD062C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2021-07-22T15:09:10Z</dcterms:created>
  <dcterms:modified xsi:type="dcterms:W3CDTF">2021-07-22T15:09:10Z</dcterms:modified>
</cp:coreProperties>
</file>