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AND EXCHANGE COMMISSION</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36" w:lineRule="exact"/>
        <w:rPr>
          <w:sz w:val="24"/>
          <w:szCs w:val="24"/>
          <w:color w:val="auto"/>
        </w:rPr>
      </w:pPr>
    </w:p>
    <w:p>
      <w:pPr>
        <w:ind w:left="1300" w:hanging="1004"/>
        <w:spacing w:after="0"/>
        <w:tabs>
          <w:tab w:leader="none" w:pos="1300"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50" w:lineRule="exact"/>
        <w:rPr>
          <w:sz w:val="24"/>
          <w:szCs w:val="24"/>
          <w:color w:val="auto"/>
        </w:rPr>
      </w:pPr>
    </w:p>
    <w:tbl>
      <w:tblPr>
        <w:tblLayout w:type="fixed"/>
        <w:tblInd w:w="300" w:type="dxa"/>
        <w:tblCellMar>
          <w:top w:w="0" w:type="dxa"/>
          <w:left w:w="0" w:type="dxa"/>
          <w:bottom w:w="0" w:type="dxa"/>
          <w:right w:w="0" w:type="dxa"/>
        </w:tblCellMar>
      </w:tblPr>
      <w:tr>
        <w:trPr>
          <w:trHeight w:val="144"/>
        </w:trPr>
        <w:tc>
          <w:tcPr>
            <w:tcW w:w="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500" w:type="dxa"/>
            <w:vAlign w:val="bottom"/>
          </w:tcPr>
          <w:p>
            <w:pPr>
              <w:jc w:val="center"/>
              <w:ind w:right="1775"/>
              <w:spacing w:after="0"/>
              <w:rPr>
                <w:sz w:val="20"/>
                <w:szCs w:val="20"/>
                <w:color w:val="auto"/>
              </w:rPr>
            </w:pPr>
            <w:r>
              <w:rPr>
                <w:rFonts w:ascii="Arial" w:cs="Arial" w:eastAsia="Arial" w:hAnsi="Arial"/>
                <w:sz w:val="12"/>
                <w:szCs w:val="12"/>
                <w:b w:val="1"/>
                <w:bCs w:val="1"/>
                <w:color w:val="auto"/>
                <w:w w:val="90"/>
              </w:rPr>
              <w:t>For the quarterly period ended September 30, 2014</w:t>
            </w:r>
          </w:p>
        </w:tc>
      </w:tr>
      <w:tr>
        <w:trPr>
          <w:trHeight w:val="157"/>
        </w:trPr>
        <w:tc>
          <w:tcPr>
            <w:tcW w:w="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500" w:type="dxa"/>
            <w:vAlign w:val="bottom"/>
          </w:tcPr>
          <w:p>
            <w:pPr>
              <w:jc w:val="center"/>
              <w:ind w:right="1755"/>
              <w:spacing w:after="0"/>
              <w:rPr>
                <w:sz w:val="20"/>
                <w:szCs w:val="20"/>
                <w:color w:val="auto"/>
              </w:rPr>
            </w:pPr>
            <w:r>
              <w:rPr>
                <w:rFonts w:ascii="Arial" w:cs="Arial" w:eastAsia="Arial" w:hAnsi="Arial"/>
                <w:sz w:val="12"/>
                <w:szCs w:val="12"/>
                <w:b w:val="1"/>
                <w:bCs w:val="1"/>
                <w:color w:val="auto"/>
                <w:w w:val="99"/>
              </w:rPr>
              <w:t>or</w:t>
            </w:r>
          </w:p>
        </w:tc>
      </w:tr>
      <w:tr>
        <w:trPr>
          <w:trHeight w:val="288"/>
        </w:trPr>
        <w:tc>
          <w:tcPr>
            <w:tcW w:w="400" w:type="dxa"/>
            <w:vAlign w:val="bottom"/>
          </w:tcPr>
          <w:p>
            <w:pPr>
              <w:jc w:val="right"/>
              <w:ind w:right="200"/>
              <w:spacing w:after="0"/>
              <w:rPr>
                <w:sz w:val="20"/>
                <w:szCs w:val="20"/>
                <w:color w:val="auto"/>
              </w:rPr>
            </w:pPr>
            <w:r>
              <w:rPr>
                <w:rFonts w:ascii="Arial" w:cs="Arial" w:eastAsia="Arial" w:hAnsi="Arial"/>
                <w:sz w:val="12"/>
                <w:szCs w:val="12"/>
                <w:color w:val="auto"/>
              </w:rPr>
              <w:t>[ ]</w:t>
            </w:r>
          </w:p>
        </w:tc>
        <w:tc>
          <w:tcPr>
            <w:tcW w:w="8700" w:type="dxa"/>
            <w:vAlign w:val="bottom"/>
            <w:gridSpan w:val="5"/>
          </w:tcPr>
          <w:p>
            <w:pPr>
              <w:jc w:val="right"/>
              <w:ind w:right="1935"/>
              <w:spacing w:after="0"/>
              <w:rPr>
                <w:sz w:val="20"/>
                <w:szCs w:val="20"/>
                <w:color w:val="auto"/>
              </w:rPr>
            </w:pPr>
            <w:r>
              <w:rPr>
                <w:rFonts w:ascii="Arial" w:cs="Arial" w:eastAsia="Arial" w:hAnsi="Arial"/>
                <w:sz w:val="12"/>
                <w:szCs w:val="12"/>
                <w:b w:val="1"/>
                <w:bCs w:val="1"/>
                <w:color w:val="auto"/>
              </w:rPr>
              <w:t>TRANSITION REPORT PURSUANT TO SECTION 13 OR 15(d) OF THE SECURITIES EXCHANGE ACT OF 1934</w:t>
            </w:r>
          </w:p>
        </w:tc>
      </w:tr>
      <w:tr>
        <w:trPr>
          <w:trHeight w:val="261"/>
        </w:trPr>
        <w:tc>
          <w:tcPr>
            <w:tcW w:w="400" w:type="dxa"/>
            <w:vAlign w:val="bottom"/>
          </w:tcPr>
          <w:p>
            <w:pPr>
              <w:spacing w:after="0"/>
              <w:rPr>
                <w:sz w:val="22"/>
                <w:szCs w:val="22"/>
                <w:color w:val="auto"/>
              </w:rPr>
            </w:pPr>
          </w:p>
        </w:tc>
        <w:tc>
          <w:tcPr>
            <w:tcW w:w="1840" w:type="dxa"/>
            <w:vAlign w:val="bottom"/>
          </w:tcPr>
          <w:p>
            <w:pPr>
              <w:ind w:left="260"/>
              <w:spacing w:after="0"/>
              <w:rPr>
                <w:sz w:val="20"/>
                <w:szCs w:val="20"/>
                <w:color w:val="auto"/>
              </w:rPr>
            </w:pPr>
            <w:r>
              <w:rPr>
                <w:rFonts w:ascii="Arial" w:cs="Arial" w:eastAsia="Arial" w:hAnsi="Arial"/>
                <w:sz w:val="12"/>
                <w:szCs w:val="12"/>
                <w:b w:val="1"/>
                <w:bCs w:val="1"/>
                <w:color w:val="auto"/>
                <w:w w:val="92"/>
              </w:rPr>
              <w:t>For the transition period from</w:t>
            </w:r>
          </w:p>
        </w:tc>
        <w:tc>
          <w:tcPr>
            <w:tcW w:w="600" w:type="dxa"/>
            <w:vAlign w:val="bottom"/>
          </w:tcPr>
          <w:p>
            <w:pPr>
              <w:spacing w:after="0"/>
              <w:rPr>
                <w:sz w:val="22"/>
                <w:szCs w:val="2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to</w:t>
            </w:r>
          </w:p>
        </w:tc>
        <w:tc>
          <w:tcPr>
            <w:tcW w:w="5500" w:type="dxa"/>
            <w:vAlign w:val="bottom"/>
          </w:tcPr>
          <w:p>
            <w:pPr>
              <w:jc w:val="right"/>
              <w:ind w:right="5375"/>
              <w:spacing w:after="0"/>
              <w:rPr>
                <w:sz w:val="20"/>
                <w:szCs w:val="20"/>
                <w:color w:val="auto"/>
              </w:rPr>
            </w:pPr>
            <w:r>
              <w:rPr>
                <w:rFonts w:ascii="Arial" w:cs="Arial" w:eastAsia="Arial" w:hAnsi="Arial"/>
                <w:sz w:val="12"/>
                <w:szCs w:val="12"/>
                <w:b w:val="1"/>
                <w:bCs w:val="1"/>
                <w:color w:val="auto"/>
              </w:rPr>
              <w:t>.</w:t>
            </w:r>
          </w:p>
        </w:tc>
      </w:tr>
      <w:tr>
        <w:trPr>
          <w:trHeight w:val="295"/>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500" w:type="dxa"/>
            <w:vAlign w:val="bottom"/>
          </w:tcPr>
          <w:p>
            <w:pPr>
              <w:jc w:val="center"/>
              <w:ind w:right="1775"/>
              <w:spacing w:after="0"/>
              <w:rPr>
                <w:sz w:val="20"/>
                <w:szCs w:val="20"/>
                <w:color w:val="auto"/>
              </w:rPr>
            </w:pPr>
            <w:r>
              <w:rPr>
                <w:rFonts w:ascii="Arial" w:cs="Arial" w:eastAsia="Arial" w:hAnsi="Arial"/>
                <w:sz w:val="12"/>
                <w:szCs w:val="12"/>
                <w:b w:val="1"/>
                <w:bCs w:val="1"/>
                <w:color w:val="auto"/>
                <w:w w:val="90"/>
              </w:rPr>
              <w:t>Commission File Number: 000-54014</w:t>
            </w:r>
          </w:p>
        </w:tc>
      </w:tr>
      <w:tr>
        <w:trPr>
          <w:trHeight w:val="378"/>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00" w:type="dxa"/>
            <w:vAlign w:val="bottom"/>
          </w:tcPr>
          <w:p>
            <w:pPr>
              <w:jc w:val="center"/>
              <w:ind w:right="1775"/>
              <w:spacing w:after="0"/>
              <w:rPr>
                <w:sz w:val="20"/>
                <w:szCs w:val="20"/>
                <w:color w:val="auto"/>
              </w:rPr>
            </w:pPr>
            <w:r>
              <w:rPr>
                <w:rFonts w:ascii="Arial" w:cs="Arial" w:eastAsia="Arial" w:hAnsi="Arial"/>
                <w:sz w:val="22"/>
                <w:szCs w:val="22"/>
                <w:b w:val="1"/>
                <w:bCs w:val="1"/>
                <w:color w:val="auto"/>
                <w:w w:val="89"/>
              </w:rPr>
              <w:t>VistaGen Therapeutics, Inc.</w:t>
            </w:r>
          </w:p>
        </w:tc>
      </w:tr>
      <w:tr>
        <w:trPr>
          <w:trHeight w:val="153"/>
        </w:trPr>
        <w:tc>
          <w:tcPr>
            <w:tcW w:w="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500" w:type="dxa"/>
            <w:vAlign w:val="bottom"/>
          </w:tcPr>
          <w:p>
            <w:pPr>
              <w:jc w:val="center"/>
              <w:ind w:right="1775"/>
              <w:spacing w:after="0"/>
              <w:rPr>
                <w:sz w:val="20"/>
                <w:szCs w:val="20"/>
                <w:color w:val="auto"/>
              </w:rPr>
            </w:pPr>
            <w:r>
              <w:rPr>
                <w:rFonts w:ascii="Arial" w:cs="Arial" w:eastAsia="Arial" w:hAnsi="Arial"/>
                <w:sz w:val="12"/>
                <w:szCs w:val="12"/>
                <w:i w:val="1"/>
                <w:iCs w:val="1"/>
                <w:color w:val="auto"/>
                <w:w w:val="91"/>
              </w:rPr>
              <w:t>(Exact name of registrant as specified in its charter)</w:t>
            </w:r>
          </w:p>
        </w:tc>
      </w:tr>
      <w:tr>
        <w:trPr>
          <w:trHeight w:val="279"/>
        </w:trPr>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gridSpan w:val="3"/>
          </w:tcPr>
          <w:p>
            <w:pPr>
              <w:jc w:val="center"/>
              <w:ind w:right="920"/>
              <w:spacing w:after="0"/>
              <w:rPr>
                <w:sz w:val="20"/>
                <w:szCs w:val="20"/>
                <w:color w:val="auto"/>
              </w:rPr>
            </w:pPr>
            <w:r>
              <w:rPr>
                <w:rFonts w:ascii="Arial" w:cs="Arial" w:eastAsia="Arial" w:hAnsi="Arial"/>
                <w:sz w:val="12"/>
                <w:szCs w:val="12"/>
                <w:b w:val="1"/>
                <w:bCs w:val="1"/>
                <w:color w:val="auto"/>
                <w:w w:val="93"/>
              </w:rPr>
              <w:t>Nevada</w:t>
            </w:r>
          </w:p>
        </w:tc>
        <w:tc>
          <w:tcPr>
            <w:tcW w:w="5500" w:type="dxa"/>
            <w:vAlign w:val="bottom"/>
          </w:tcPr>
          <w:p>
            <w:pPr>
              <w:jc w:val="center"/>
              <w:ind w:left="4535"/>
              <w:spacing w:after="0"/>
              <w:rPr>
                <w:sz w:val="20"/>
                <w:szCs w:val="20"/>
                <w:color w:val="auto"/>
              </w:rPr>
            </w:pPr>
            <w:r>
              <w:rPr>
                <w:rFonts w:ascii="Arial" w:cs="Arial" w:eastAsia="Arial" w:hAnsi="Arial"/>
                <w:sz w:val="12"/>
                <w:szCs w:val="12"/>
                <w:b w:val="1"/>
                <w:bCs w:val="1"/>
                <w:color w:val="auto"/>
                <w:w w:val="90"/>
              </w:rPr>
              <w:t>20-5093315</w:t>
            </w:r>
          </w:p>
        </w:tc>
      </w:tr>
      <w:tr>
        <w:trPr>
          <w:trHeight w:val="144"/>
        </w:trPr>
        <w:tc>
          <w:tcPr>
            <w:tcW w:w="400" w:type="dxa"/>
            <w:vAlign w:val="bottom"/>
          </w:tcPr>
          <w:p>
            <w:pPr>
              <w:spacing w:after="0"/>
              <w:rPr>
                <w:sz w:val="12"/>
                <w:szCs w:val="12"/>
                <w:color w:val="auto"/>
              </w:rPr>
            </w:pPr>
          </w:p>
        </w:tc>
        <w:tc>
          <w:tcPr>
            <w:tcW w:w="3200" w:type="dxa"/>
            <w:vAlign w:val="bottom"/>
            <w:gridSpan w:val="4"/>
          </w:tcPr>
          <w:p>
            <w:pPr>
              <w:jc w:val="center"/>
              <w:ind w:left="860"/>
              <w:spacing w:after="0"/>
              <w:rPr>
                <w:sz w:val="20"/>
                <w:szCs w:val="20"/>
                <w:color w:val="auto"/>
              </w:rPr>
            </w:pPr>
            <w:r>
              <w:rPr>
                <w:rFonts w:ascii="Arial" w:cs="Arial" w:eastAsia="Arial" w:hAnsi="Arial"/>
                <w:sz w:val="12"/>
                <w:szCs w:val="12"/>
                <w:i w:val="1"/>
                <w:iCs w:val="1"/>
                <w:color w:val="auto"/>
                <w:w w:val="93"/>
              </w:rPr>
              <w:t>(State or other jurisdiction of</w:t>
            </w:r>
          </w:p>
        </w:tc>
        <w:tc>
          <w:tcPr>
            <w:tcW w:w="5500" w:type="dxa"/>
            <w:vAlign w:val="bottom"/>
          </w:tcPr>
          <w:p>
            <w:pPr>
              <w:jc w:val="center"/>
              <w:ind w:left="4555"/>
              <w:spacing w:after="0"/>
              <w:rPr>
                <w:sz w:val="20"/>
                <w:szCs w:val="20"/>
                <w:color w:val="auto"/>
              </w:rPr>
            </w:pPr>
            <w:r>
              <w:rPr>
                <w:rFonts w:ascii="Arial" w:cs="Arial" w:eastAsia="Arial" w:hAnsi="Arial"/>
                <w:sz w:val="12"/>
                <w:szCs w:val="12"/>
                <w:i w:val="1"/>
                <w:iCs w:val="1"/>
                <w:color w:val="auto"/>
                <w:w w:val="90"/>
              </w:rPr>
              <w:t>(I.R.S. Employer</w:t>
            </w:r>
          </w:p>
        </w:tc>
      </w:tr>
      <w:tr>
        <w:trPr>
          <w:trHeight w:val="153"/>
        </w:trPr>
        <w:tc>
          <w:tcPr>
            <w:tcW w:w="400" w:type="dxa"/>
            <w:vAlign w:val="bottom"/>
          </w:tcPr>
          <w:p>
            <w:pPr>
              <w:spacing w:after="0"/>
              <w:rPr>
                <w:sz w:val="13"/>
                <w:szCs w:val="13"/>
                <w:color w:val="auto"/>
              </w:rPr>
            </w:pPr>
          </w:p>
        </w:tc>
        <w:tc>
          <w:tcPr>
            <w:tcW w:w="3200" w:type="dxa"/>
            <w:vAlign w:val="bottom"/>
            <w:gridSpan w:val="4"/>
          </w:tcPr>
          <w:p>
            <w:pPr>
              <w:jc w:val="center"/>
              <w:ind w:left="860"/>
              <w:spacing w:after="0"/>
              <w:rPr>
                <w:sz w:val="20"/>
                <w:szCs w:val="20"/>
                <w:color w:val="auto"/>
              </w:rPr>
            </w:pPr>
            <w:r>
              <w:rPr>
                <w:rFonts w:ascii="Arial" w:cs="Arial" w:eastAsia="Arial" w:hAnsi="Arial"/>
                <w:sz w:val="12"/>
                <w:szCs w:val="12"/>
                <w:i w:val="1"/>
                <w:iCs w:val="1"/>
                <w:color w:val="auto"/>
                <w:w w:val="94"/>
              </w:rPr>
              <w:t>incorporation or organization)</w:t>
            </w:r>
          </w:p>
        </w:tc>
        <w:tc>
          <w:tcPr>
            <w:tcW w:w="5500" w:type="dxa"/>
            <w:vAlign w:val="bottom"/>
          </w:tcPr>
          <w:p>
            <w:pPr>
              <w:jc w:val="center"/>
              <w:ind w:left="4555"/>
              <w:spacing w:after="0"/>
              <w:rPr>
                <w:sz w:val="20"/>
                <w:szCs w:val="20"/>
                <w:color w:val="auto"/>
              </w:rPr>
            </w:pPr>
            <w:r>
              <w:rPr>
                <w:rFonts w:ascii="Arial" w:cs="Arial" w:eastAsia="Arial" w:hAnsi="Arial"/>
                <w:sz w:val="12"/>
                <w:szCs w:val="12"/>
                <w:i w:val="1"/>
                <w:iCs w:val="1"/>
                <w:color w:val="auto"/>
                <w:w w:val="94"/>
              </w:rPr>
              <w:t>Identification No.)</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343 Allerton Avenue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South San Francisco, CA 94080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(650) 577-3600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i w:val="1"/>
          <w:iCs w:val="1"/>
          <w:color w:val="auto"/>
        </w:rPr>
        <w:t>(Registrant’s telephone number, including area code)</w:t>
      </w:r>
    </w:p>
    <w:p>
      <w:pPr>
        <w:spacing w:after="0" w:line="141"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1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80"/>
          </w:cols>
          <w:pgMar w:left="220" w:top="253" w:right="199" w:bottom="1440" w:gutter="0" w:footer="0" w:header="0"/>
        </w:sectPr>
      </w:pPr>
    </w:p>
    <w:p>
      <w:pPr>
        <w:spacing w:after="0" w:line="115"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 ]</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6" w:lineRule="exact"/>
        <w:rPr>
          <w:sz w:val="24"/>
          <w:szCs w:val="24"/>
          <w:color w:val="auto"/>
        </w:rPr>
      </w:pPr>
    </w:p>
    <w:p>
      <w:pPr>
        <w:sectPr>
          <w:pgSz w:w="11900" w:h="16838" w:orient="portrait"/>
          <w:cols w:equalWidth="0" w:num="4">
            <w:col w:w="2580" w:space="720"/>
            <w:col w:w="2960" w:space="720"/>
            <w:col w:w="2720" w:space="720"/>
            <w:col w:w="1060"/>
          </w:cols>
          <w:pgMar w:left="220" w:top="253" w:right="199" w:bottom="1440" w:gutter="0" w:footer="0" w:header="0"/>
          <w:type w:val="continuous"/>
        </w:sect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141"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  ]  No [X]</w:t>
      </w:r>
    </w:p>
    <w:p>
      <w:pPr>
        <w:sectPr>
          <w:pgSz w:w="11900" w:h="16838" w:orient="portrait"/>
          <w:cols w:equalWidth="0" w:num="1">
            <w:col w:w="11480"/>
          </w:cols>
          <w:pgMar w:left="220" w:top="253" w:right="19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Arial" w:cs="Arial" w:eastAsia="Arial" w:hAnsi="Arial"/>
          <w:sz w:val="10"/>
          <w:szCs w:val="10"/>
          <w:color w:val="auto"/>
        </w:rPr>
        <w:t>As of November 17, 2014, 1,293,928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32385</wp:posOffset>
            </wp:positionV>
            <wp:extent cx="7299325" cy="32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209550</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53" w:right="1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Quarterly Report on 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Quarter Ended September 30, 2014</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320" w:type="dxa"/>
            <w:vAlign w:val="bottom"/>
          </w:tcPr>
          <w:p>
            <w:pPr>
              <w:spacing w:after="0"/>
              <w:rPr>
                <w:sz w:val="13"/>
                <w:szCs w:val="13"/>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320" w:type="dxa"/>
            <w:vAlign w:val="bottom"/>
            <w:shd w:val="clear" w:color="auto" w:fill="CCEEFF"/>
          </w:tcPr>
          <w:p>
            <w:pPr>
              <w:ind w:left="3960"/>
              <w:spacing w:after="0"/>
              <w:rPr>
                <w:sz w:val="20"/>
                <w:szCs w:val="20"/>
                <w:color w:val="auto"/>
              </w:rPr>
            </w:pPr>
            <w:r>
              <w:rPr>
                <w:rFonts w:ascii="Arial" w:cs="Arial" w:eastAsia="Arial" w:hAnsi="Arial"/>
                <w:sz w:val="12"/>
                <w:szCs w:val="12"/>
                <w:b w:val="1"/>
                <w:bCs w:val="1"/>
                <w:color w:val="auto"/>
              </w:rPr>
              <w:t>PART I. FINANCIAL INFORMATION</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66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Item 1. Condensed Consolidated Financial Statements (Unaudited)</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60" w:type="dxa"/>
            <w:vAlign w:val="bottom"/>
            <w:gridSpan w:val="2"/>
          </w:tcPr>
          <w:p>
            <w:pPr>
              <w:spacing w:after="0"/>
              <w:rPr>
                <w:sz w:val="20"/>
                <w:szCs w:val="20"/>
                <w:color w:val="auto"/>
              </w:rPr>
            </w:pPr>
            <w:r>
              <w:rPr>
                <w:rFonts w:ascii="Arial" w:cs="Arial" w:eastAsia="Arial" w:hAnsi="Arial"/>
                <w:sz w:val="12"/>
                <w:szCs w:val="12"/>
                <w:color w:val="auto"/>
              </w:rPr>
              <w:t>Condensed Consolidated Balance Sheets at September 30, 2014 and March 31, 2014</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Condensed Consolidated Statements of Operations and Comprehensive Loss for the three and six months ended September 30, 2014 and 2013</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60" w:type="dxa"/>
            <w:vAlign w:val="bottom"/>
            <w:gridSpan w:val="2"/>
          </w:tcPr>
          <w:p>
            <w:pPr>
              <w:spacing w:after="0"/>
              <w:rPr>
                <w:sz w:val="20"/>
                <w:szCs w:val="20"/>
                <w:color w:val="auto"/>
              </w:rPr>
            </w:pPr>
            <w:r>
              <w:rPr>
                <w:rFonts w:ascii="Arial" w:cs="Arial" w:eastAsia="Arial" w:hAnsi="Arial"/>
                <w:sz w:val="12"/>
                <w:szCs w:val="12"/>
                <w:color w:val="auto"/>
              </w:rPr>
              <w:t>Condensed Consolidated Statements of Cash Flows for the six months ended September 30, 2014 and 2013</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to the Condensed Consolidated Financial Statements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60" w:type="dxa"/>
            <w:vAlign w:val="bottom"/>
            <w:gridSpan w:val="2"/>
          </w:tcPr>
          <w:p>
            <w:pPr>
              <w:spacing w:after="0"/>
              <w:rPr>
                <w:sz w:val="20"/>
                <w:szCs w:val="20"/>
                <w:color w:val="auto"/>
              </w:rPr>
            </w:pPr>
            <w:r>
              <w:rPr>
                <w:rFonts w:ascii="Arial" w:cs="Arial" w:eastAsia="Arial" w:hAnsi="Arial"/>
                <w:sz w:val="12"/>
                <w:szCs w:val="12"/>
                <w:color w:val="auto"/>
              </w:rPr>
              <w:t>Item 2. 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Item 4. Controls and Procedures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320" w:type="dxa"/>
            <w:vAlign w:val="bottom"/>
            <w:shd w:val="clear" w:color="auto" w:fill="CCEEFF"/>
          </w:tcPr>
          <w:p>
            <w:pPr>
              <w:ind w:left="4060"/>
              <w:spacing w:after="0"/>
              <w:rPr>
                <w:sz w:val="20"/>
                <w:szCs w:val="20"/>
                <w:color w:val="auto"/>
              </w:rPr>
            </w:pPr>
            <w:r>
              <w:rPr>
                <w:rFonts w:ascii="Arial" w:cs="Arial" w:eastAsia="Arial" w:hAnsi="Arial"/>
                <w:sz w:val="12"/>
                <w:szCs w:val="12"/>
                <w:b w:val="1"/>
                <w:bCs w:val="1"/>
                <w:color w:val="auto"/>
              </w:rPr>
              <w:t>PART II. OTHER INFORMATION</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0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w w:val="87"/>
              </w:rPr>
              <w:t>Item 1.</w:t>
            </w:r>
          </w:p>
        </w:tc>
        <w:tc>
          <w:tcPr>
            <w:tcW w:w="10320" w:type="dxa"/>
            <w:vAlign w:val="bottom"/>
            <w:shd w:val="clear" w:color="auto" w:fill="CCEEFF"/>
          </w:tcPr>
          <w:p>
            <w:pPr>
              <w:ind w:left="40"/>
              <w:spacing w:after="0"/>
              <w:rPr>
                <w:sz w:val="20"/>
                <w:szCs w:val="20"/>
                <w:color w:val="auto"/>
              </w:rPr>
            </w:pPr>
            <w:r>
              <w:rPr>
                <w:rFonts w:ascii="Arial" w:cs="Arial" w:eastAsia="Arial" w:hAnsi="Arial"/>
                <w:sz w:val="12"/>
                <w:szCs w:val="12"/>
                <w:color w:val="auto"/>
              </w:rPr>
              <w:t>Legal Proceedings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60" w:type="dxa"/>
            <w:vAlign w:val="bottom"/>
            <w:gridSpan w:val="2"/>
          </w:tcPr>
          <w:p>
            <w:pPr>
              <w:spacing w:after="0"/>
              <w:rPr>
                <w:sz w:val="20"/>
                <w:szCs w:val="20"/>
                <w:color w:val="auto"/>
              </w:rPr>
            </w:pPr>
            <w:r>
              <w:rPr>
                <w:rFonts w:ascii="Arial" w:cs="Arial" w:eastAsia="Arial" w:hAnsi="Arial"/>
                <w:sz w:val="12"/>
                <w:szCs w:val="12"/>
                <w:color w:val="auto"/>
              </w:rPr>
              <w:t>Item 1A. Risk Factors</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w w:val="87"/>
              </w:rPr>
              <w:t>Item 2.</w:t>
            </w:r>
          </w:p>
        </w:tc>
        <w:tc>
          <w:tcPr>
            <w:tcW w:w="10320" w:type="dxa"/>
            <w:vAlign w:val="bottom"/>
            <w:shd w:val="clear" w:color="auto" w:fill="CCEEFF"/>
          </w:tcPr>
          <w:p>
            <w:pPr>
              <w:ind w:left="40"/>
              <w:spacing w:after="0"/>
              <w:rPr>
                <w:sz w:val="20"/>
                <w:szCs w:val="20"/>
                <w:color w:val="auto"/>
              </w:rPr>
            </w:pPr>
            <w:r>
              <w:rPr>
                <w:rFonts w:ascii="Arial" w:cs="Arial" w:eastAsia="Arial" w:hAnsi="Arial"/>
                <w:sz w:val="12"/>
                <w:szCs w:val="12"/>
                <w:color w:val="auto"/>
              </w:rPr>
              <w:t>Unregistered Sales of Equity Securities and Use of Proceeds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color w:val="auto"/>
                <w:w w:val="87"/>
              </w:rPr>
              <w:t>Item 3.</w:t>
            </w:r>
          </w:p>
        </w:tc>
        <w:tc>
          <w:tcPr>
            <w:tcW w:w="10320" w:type="dxa"/>
            <w:vAlign w:val="bottom"/>
          </w:tcPr>
          <w:p>
            <w:pPr>
              <w:ind w:left="40"/>
              <w:spacing w:after="0"/>
              <w:rPr>
                <w:sz w:val="20"/>
                <w:szCs w:val="20"/>
                <w:color w:val="auto"/>
              </w:rPr>
            </w:pPr>
            <w:r>
              <w:rPr>
                <w:rFonts w:ascii="Arial" w:cs="Arial" w:eastAsia="Arial" w:hAnsi="Arial"/>
                <w:sz w:val="12"/>
                <w:szCs w:val="12"/>
                <w:color w:val="auto"/>
              </w:rPr>
              <w:t>Defaults Upon Senior Secured Securities</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w w:val="87"/>
              </w:rPr>
              <w:t>Item 6.</w:t>
            </w:r>
          </w:p>
        </w:tc>
        <w:tc>
          <w:tcPr>
            <w:tcW w:w="10320" w:type="dxa"/>
            <w:vAlign w:val="bottom"/>
            <w:shd w:val="clear" w:color="auto" w:fill="CCEEFF"/>
          </w:tcPr>
          <w:p>
            <w:pPr>
              <w:ind w:left="40"/>
              <w:spacing w:after="0"/>
              <w:rPr>
                <w:sz w:val="20"/>
                <w:szCs w:val="20"/>
                <w:color w:val="auto"/>
              </w:rPr>
            </w:pPr>
            <w:r>
              <w:rPr>
                <w:rFonts w:ascii="Arial" w:cs="Arial" w:eastAsia="Arial" w:hAnsi="Arial"/>
                <w:sz w:val="12"/>
                <w:szCs w:val="12"/>
                <w:color w:val="auto"/>
              </w:rPr>
              <w:t>Exhibits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31</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92340" cy="91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 w:name="page3"/>
    <w:bookmarkEnd w:id="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rPr>
          <w:sz w:val="20"/>
          <w:szCs w:val="20"/>
          <w:color w:val="auto"/>
        </w:rPr>
      </w:pPr>
      <w:r>
        <w:rPr>
          <w:rFonts w:ascii="Arial" w:cs="Arial" w:eastAsia="Arial" w:hAnsi="Arial"/>
          <w:sz w:val="12"/>
          <w:szCs w:val="12"/>
          <w:b w:val="1"/>
          <w:bCs w:val="1"/>
          <w:color w:val="auto"/>
        </w:rPr>
        <w:t>PART I. FINANCIAL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Condensed Consolidated Financial Statements (Unaudited)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0"/>
              </w:rPr>
              <w:t>September 30,</w:t>
            </w:r>
          </w:p>
        </w:tc>
        <w:tc>
          <w:tcPr>
            <w:tcW w:w="28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57"/>
        </w:trPr>
        <w:tc>
          <w:tcPr>
            <w:tcW w:w="8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80"/>
              <w:spacing w:after="0"/>
              <w:rPr>
                <w:sz w:val="20"/>
                <w:szCs w:val="20"/>
                <w:color w:val="auto"/>
              </w:rPr>
            </w:pPr>
            <w:r>
              <w:rPr>
                <w:rFonts w:ascii="Arial" w:cs="Arial" w:eastAsia="Arial" w:hAnsi="Arial"/>
                <w:sz w:val="12"/>
                <w:szCs w:val="12"/>
                <w:b w:val="1"/>
                <w:bCs w:val="1"/>
                <w:color w:val="auto"/>
                <w:w w:val="89"/>
              </w:rPr>
              <w:t>2014</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60" w:type="dxa"/>
            <w:vAlign w:val="bottom"/>
            <w:vMerge w:val="restart"/>
          </w:tcPr>
          <w:p>
            <w:pPr>
              <w:ind w:left="3800"/>
              <w:spacing w:after="0"/>
              <w:rPr>
                <w:sz w:val="20"/>
                <w:szCs w:val="20"/>
                <w:color w:val="auto"/>
              </w:rPr>
            </w:pPr>
            <w:r>
              <w:rPr>
                <w:rFonts w:ascii="Arial" w:cs="Arial" w:eastAsia="Arial" w:hAnsi="Arial"/>
                <w:sz w:val="12"/>
                <w:szCs w:val="12"/>
                <w:b w:val="1"/>
                <w:bCs w:val="1"/>
                <w:color w:val="auto"/>
              </w:rPr>
              <w:t>ASSETS</w:t>
            </w:r>
          </w:p>
        </w:tc>
        <w:tc>
          <w:tcPr>
            <w:tcW w:w="22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2"/>
                <w:szCs w:val="12"/>
                <w:b w:val="1"/>
                <w:bCs w:val="1"/>
                <w:color w:val="auto"/>
                <w:w w:val="92"/>
              </w:rPr>
              <w:t>(Unaudited)</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20"/>
              <w:spacing w:after="0"/>
              <w:rPr>
                <w:sz w:val="20"/>
                <w:szCs w:val="20"/>
                <w:color w:val="auto"/>
              </w:rPr>
            </w:pPr>
            <w:r>
              <w:rPr>
                <w:rFonts w:ascii="Arial" w:cs="Arial" w:eastAsia="Arial" w:hAnsi="Arial"/>
                <w:sz w:val="12"/>
                <w:szCs w:val="12"/>
                <w:b w:val="1"/>
                <w:bCs w:val="1"/>
                <w:color w:val="auto"/>
                <w:w w:val="89"/>
              </w:rPr>
              <w:t>(Note 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1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189,900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40,500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189,900</w:t>
            </w: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40,500</w:t>
            </w: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Property and equipment, net</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150,100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176,300</w:t>
            </w: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20"/>
        </w:trPr>
        <w:tc>
          <w:tcPr>
            <w:tcW w:w="8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386,900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263,700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220" w:type="dxa"/>
            <w:vAlign w:val="bottom"/>
            <w:tcBorders>
              <w:lef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2720"/>
              <w:spacing w:after="0"/>
              <w:rPr>
                <w:sz w:val="20"/>
                <w:szCs w:val="20"/>
                <w:color w:val="auto"/>
              </w:rPr>
            </w:pPr>
            <w:r>
              <w:rPr>
                <w:rFonts w:ascii="Arial" w:cs="Arial" w:eastAsia="Arial" w:hAnsi="Arial"/>
                <w:sz w:val="12"/>
                <w:szCs w:val="12"/>
                <w:b w:val="1"/>
                <w:bCs w:val="1"/>
                <w:color w:val="auto"/>
              </w:rPr>
              <w:t>LIABILITIES AND STOCKHOLDERS’ DEFICIT</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Accounts payable</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2,247,600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2,443,900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expenses</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857,400</w:t>
            </w: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625,600</w:t>
            </w: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Advance from officer</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3,600</w:t>
            </w: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portion of notes payable and accrued interest</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1,901,700</w:t>
            </w: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Current portion of notes payable to related parties and accrued interest</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322,900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290,400</w:t>
            </w:r>
          </w:p>
        </w:tc>
        <w:tc>
          <w:tcPr>
            <w:tcW w:w="0" w:type="dxa"/>
            <w:vAlign w:val="bottom"/>
          </w:tcPr>
          <w:p>
            <w:pPr>
              <w:spacing w:after="0"/>
              <w:rPr>
                <w:sz w:val="1"/>
                <w:szCs w:val="1"/>
                <w:color w:val="auto"/>
              </w:rPr>
            </w:pPr>
          </w:p>
        </w:tc>
      </w:tr>
      <w:tr>
        <w:trPr>
          <w:trHeight w:val="135"/>
        </w:trPr>
        <w:tc>
          <w:tcPr>
            <w:tcW w:w="816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Convertible promissory notes and accrued interest, net of discount of $1,251,000 and $697,400 at</w:t>
            </w: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September 30, 2014 and March 31, 2014, respectively</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1,563,000</w:t>
            </w:r>
          </w:p>
        </w:tc>
        <w:tc>
          <w:tcPr>
            <w:tcW w:w="22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396,000</w:t>
            </w: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Capital lease obligations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6,893,500</w:t>
            </w:r>
          </w:p>
        </w:tc>
        <w:tc>
          <w:tcPr>
            <w:tcW w:w="220" w:type="dxa"/>
            <w:vAlign w:val="bottom"/>
            <w:tcBorders>
              <w:left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5,205,700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16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Senior secured convertible promissory notes, net of discount of $0 at September 30, 2014 and $2,085,900</w:t>
            </w: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at March 31, 2014 and accrued interest</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4,224,200</w:t>
            </w:r>
          </w:p>
        </w:tc>
        <w:tc>
          <w:tcPr>
            <w:tcW w:w="22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60" w:type="dxa"/>
            <w:vAlign w:val="bottom"/>
          </w:tcPr>
          <w:p>
            <w:pPr>
              <w:ind w:left="20"/>
              <w:spacing w:after="0" w:line="136" w:lineRule="exact"/>
              <w:rPr>
                <w:sz w:val="20"/>
                <w:szCs w:val="20"/>
                <w:color w:val="auto"/>
              </w:rPr>
            </w:pPr>
            <w:r>
              <w:rPr>
                <w:rFonts w:ascii="Arial" w:cs="Arial" w:eastAsia="Arial" w:hAnsi="Arial"/>
                <w:sz w:val="12"/>
                <w:szCs w:val="12"/>
                <w:color w:val="auto"/>
              </w:rPr>
              <w:t>Notes payable, net of discount of $672,700 at September 30, 2014 and $848,100 at March 31, 2014 and</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2"/>
                <w:szCs w:val="12"/>
                <w:color w:val="auto"/>
              </w:rPr>
              <w:t>accrued interest</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2,041,400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1,797,600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6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Notes payable to related parties, net of discount of $79,600 at September 30, 2014 and $103,200 at</w:t>
            </w: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March 31, 2014 and accrued interest</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1,103,600</w:t>
            </w:r>
          </w:p>
        </w:tc>
        <w:tc>
          <w:tcPr>
            <w:tcW w:w="22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Warrant liability</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3,399,400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rent liability</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92,400</w:t>
            </w: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97,400</w:t>
            </w: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Capital lease obligations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14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non-current liabilities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10,862,600</w:t>
            </w:r>
          </w:p>
        </w:tc>
        <w:tc>
          <w:tcPr>
            <w:tcW w:w="220" w:type="dxa"/>
            <w:vAlign w:val="bottom"/>
            <w:tcBorders>
              <w:left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7,857,900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Total liabilities</w:t>
            </w:r>
          </w:p>
        </w:tc>
        <w:tc>
          <w:tcPr>
            <w:tcW w:w="2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17,756,100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13,063,600</w:t>
            </w:r>
          </w:p>
        </w:tc>
        <w:tc>
          <w:tcPr>
            <w:tcW w:w="0" w:type="dxa"/>
            <w:vAlign w:val="bottom"/>
          </w:tcPr>
          <w:p>
            <w:pPr>
              <w:spacing w:after="0"/>
              <w:rPr>
                <w:sz w:val="1"/>
                <w:szCs w:val="1"/>
                <w:color w:val="auto"/>
              </w:rPr>
            </w:pPr>
          </w:p>
        </w:tc>
      </w:tr>
      <w:tr>
        <w:trPr>
          <w:trHeight w:val="142"/>
        </w:trPr>
        <w:tc>
          <w:tcPr>
            <w:tcW w:w="81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Commitments and contingencies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Stockholders’ deficit:</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Preferred stock, $0.001 par value; 10,000,000 shares, including 500,000 Series A shares, authorized at</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16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rPr>
              <w:t>September 30, 2014 and March 31, 2014; 500,000 Series A shares issued and outstanding at September</w:t>
            </w: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30, 2014 and March 31, 2014</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Borders>
              <w:lef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60" w:type="dxa"/>
            <w:vAlign w:val="bottom"/>
          </w:tcPr>
          <w:p>
            <w:pPr>
              <w:ind w:left="20"/>
              <w:spacing w:after="0" w:line="136" w:lineRule="exact"/>
              <w:rPr>
                <w:sz w:val="20"/>
                <w:szCs w:val="20"/>
                <w:color w:val="auto"/>
              </w:rPr>
            </w:pPr>
            <w:r>
              <w:rPr>
                <w:rFonts w:ascii="Arial" w:cs="Arial" w:eastAsia="Arial" w:hAnsi="Arial"/>
                <w:sz w:val="12"/>
                <w:szCs w:val="12"/>
                <w:color w:val="auto"/>
              </w:rPr>
              <w:t>Common stock, $0.001 par value; 10,000,000 shares authorized at September 30, 2014 and March 31, 2014;</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Arial" w:cs="Arial" w:eastAsia="Arial" w:hAnsi="Arial"/>
                <w:sz w:val="12"/>
                <w:szCs w:val="12"/>
                <w:color w:val="auto"/>
              </w:rPr>
              <w:t>1,421,343 and 1,310,093 shares issued at September 30, 2014 and March 31, 2014, respectively</w:t>
            </w: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1,400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1,300</w:t>
            </w: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Additional paid-in capital</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64,001,000</w:t>
            </w:r>
          </w:p>
        </w:tc>
        <w:tc>
          <w:tcPr>
            <w:tcW w:w="220" w:type="dxa"/>
            <w:vAlign w:val="bottom"/>
            <w:tcBorders>
              <w:lef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62,001,400</w:t>
            </w: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Treasury stock, at cost, 135,665 shares of common stock held at September 30, 2014 and March 31, 2014</w:t>
            </w:r>
          </w:p>
        </w:tc>
        <w:tc>
          <w:tcPr>
            <w:tcW w:w="2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(3,968,100)</w:t>
            </w:r>
          </w:p>
        </w:tc>
        <w:tc>
          <w:tcPr>
            <w:tcW w:w="28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Note receivable from sale of common stock</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(192,900)</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(198,100)</w:t>
            </w:r>
          </w:p>
        </w:tc>
        <w:tc>
          <w:tcPr>
            <w:tcW w:w="0" w:type="dxa"/>
            <w:vAlign w:val="bottom"/>
          </w:tcPr>
          <w:p>
            <w:pPr>
              <w:spacing w:after="0"/>
              <w:rPr>
                <w:sz w:val="1"/>
                <w:szCs w:val="1"/>
                <w:color w:val="auto"/>
              </w:rPr>
            </w:pPr>
          </w:p>
        </w:tc>
      </w:tr>
      <w:tr>
        <w:trPr>
          <w:trHeight w:val="144"/>
        </w:trPr>
        <w:tc>
          <w:tcPr>
            <w:tcW w:w="8160" w:type="dxa"/>
            <w:vAlign w:val="bottom"/>
          </w:tcPr>
          <w:p>
            <w:pPr>
              <w:ind w:left="20"/>
              <w:spacing w:after="0"/>
              <w:rPr>
                <w:sz w:val="20"/>
                <w:szCs w:val="20"/>
                <w:color w:val="auto"/>
              </w:rPr>
            </w:pPr>
            <w:r>
              <w:rPr>
                <w:rFonts w:ascii="Arial" w:cs="Arial" w:eastAsia="Arial" w:hAnsi="Arial"/>
                <w:sz w:val="12"/>
                <w:szCs w:val="12"/>
                <w:color w:val="auto"/>
              </w:rPr>
              <w:t>Accumulated deficit</w:t>
            </w:r>
          </w:p>
        </w:tc>
        <w:tc>
          <w:tcPr>
            <w:tcW w:w="220" w:type="dxa"/>
            <w:vAlign w:val="bottom"/>
          </w:tcPr>
          <w:p>
            <w:pPr>
              <w:spacing w:after="0"/>
              <w:rPr>
                <w:sz w:val="12"/>
                <w:szCs w:val="12"/>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2"/>
                <w:szCs w:val="12"/>
                <w:color w:val="auto"/>
              </w:rPr>
              <w:t>(77,211,100)</w:t>
            </w:r>
          </w:p>
        </w:tc>
        <w:tc>
          <w:tcPr>
            <w:tcW w:w="28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stockholders’ deficit</w:t>
            </w:r>
          </w:p>
        </w:tc>
        <w:tc>
          <w:tcPr>
            <w:tcW w:w="2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(17,369,200)</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(12,799,900)</w:t>
            </w:r>
          </w:p>
        </w:tc>
        <w:tc>
          <w:tcPr>
            <w:tcW w:w="0" w:type="dxa"/>
            <w:vAlign w:val="bottom"/>
          </w:tcPr>
          <w:p>
            <w:pPr>
              <w:spacing w:after="0"/>
              <w:rPr>
                <w:sz w:val="1"/>
                <w:szCs w:val="1"/>
                <w:color w:val="auto"/>
              </w:rPr>
            </w:pPr>
          </w:p>
        </w:tc>
      </w:tr>
      <w:tr>
        <w:trPr>
          <w:trHeight w:val="20"/>
        </w:trPr>
        <w:tc>
          <w:tcPr>
            <w:tcW w:w="8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60" w:type="dxa"/>
            <w:vAlign w:val="bottom"/>
          </w:tcPr>
          <w:p>
            <w:pPr>
              <w:ind w:left="20"/>
              <w:spacing w:after="0"/>
              <w:rPr>
                <w:sz w:val="20"/>
                <w:szCs w:val="20"/>
                <w:color w:val="auto"/>
              </w:rPr>
            </w:pPr>
            <w:r>
              <w:rPr>
                <w:rFonts w:ascii="Arial" w:cs="Arial" w:eastAsia="Arial" w:hAnsi="Arial"/>
                <w:sz w:val="12"/>
                <w:szCs w:val="12"/>
                <w:color w:val="auto"/>
              </w:rPr>
              <w:t>Total liabilities and stockholders’ deficit</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386,900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263,700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15"/>
        </w:trPr>
        <w:tc>
          <w:tcPr>
            <w:tcW w:w="2740" w:type="dxa"/>
            <w:vAlign w:val="bottom"/>
            <w:gridSpan w:val="3"/>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3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4640" w:type="dxa"/>
            <w:vAlign w:val="bottom"/>
            <w:gridSpan w:val="4"/>
          </w:tcPr>
          <w:p>
            <w:pPr>
              <w:jc w:val="center"/>
              <w:ind w:left="1280"/>
              <w:spacing w:after="0"/>
              <w:rPr>
                <w:sz w:val="20"/>
                <w:szCs w:val="20"/>
                <w:color w:val="auto"/>
              </w:rPr>
            </w:pPr>
            <w:r>
              <w:rPr>
                <w:rFonts w:ascii="Arial" w:cs="Arial" w:eastAsia="Arial" w:hAnsi="Arial"/>
                <w:sz w:val="12"/>
                <w:szCs w:val="12"/>
                <w:b w:val="1"/>
                <w:bCs w:val="1"/>
                <w:color w:val="auto"/>
              </w:rPr>
              <w:t>VISTAGEN THERAPEUTICS, INC.</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120" w:type="dxa"/>
            <w:vAlign w:val="bottom"/>
            <w:gridSpan w:val="8"/>
          </w:tcPr>
          <w:p>
            <w:pPr>
              <w:jc w:val="center"/>
              <w:ind w:right="120"/>
              <w:spacing w:after="0"/>
              <w:rPr>
                <w:sz w:val="20"/>
                <w:szCs w:val="20"/>
                <w:color w:val="auto"/>
              </w:rPr>
            </w:pPr>
            <w:r>
              <w:rPr>
                <w:rFonts w:ascii="Arial" w:cs="Arial" w:eastAsia="Arial" w:hAnsi="Arial"/>
                <w:sz w:val="12"/>
                <w:szCs w:val="12"/>
                <w:b w:val="1"/>
                <w:bCs w:val="1"/>
                <w:color w:val="auto"/>
                <w:w w:val="98"/>
              </w:rPr>
              <w:t>CONDENSED CONSOLIDATED STATEMENTS OF OPERATIONS AND COMPREHENSIVE LOSS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600" w:type="dxa"/>
            <w:vAlign w:val="bottom"/>
            <w:gridSpan w:val="2"/>
          </w:tcPr>
          <w:p>
            <w:pPr>
              <w:jc w:val="center"/>
              <w:ind w:left="2320"/>
              <w:spacing w:after="0"/>
              <w:rPr>
                <w:sz w:val="20"/>
                <w:szCs w:val="20"/>
                <w:color w:val="auto"/>
              </w:rPr>
            </w:pPr>
            <w:r>
              <w:rPr>
                <w:rFonts w:ascii="Arial" w:cs="Arial" w:eastAsia="Arial" w:hAnsi="Arial"/>
                <w:sz w:val="12"/>
                <w:szCs w:val="12"/>
                <w:b w:val="1"/>
                <w:bCs w:val="1"/>
                <w:color w:val="auto"/>
                <w:w w:val="92"/>
              </w:rPr>
              <w:t>(Unaudited)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640" w:type="dxa"/>
            <w:vAlign w:val="bottom"/>
            <w:gridSpan w:val="4"/>
          </w:tcPr>
          <w:p>
            <w:pPr>
              <w:jc w:val="center"/>
              <w:ind w:left="128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2"/>
                <w:szCs w:val="12"/>
                <w:b w:val="1"/>
                <w:bCs w:val="1"/>
                <w:color w:val="auto"/>
              </w:rPr>
              <w:t>Six Months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b w:val="1"/>
                <w:bCs w:val="1"/>
                <w:color w:val="auto"/>
              </w:rPr>
              <w:t>September 30,</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Total revenues</w:t>
            </w:r>
          </w:p>
        </w:tc>
        <w:tc>
          <w:tcPr>
            <w:tcW w:w="36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Operating expenses:</w:t>
            </w:r>
          </w:p>
        </w:tc>
        <w:tc>
          <w:tcPr>
            <w:tcW w:w="33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Research and development</w:t>
            </w:r>
          </w:p>
        </w:tc>
        <w:tc>
          <w:tcPr>
            <w:tcW w:w="3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557,600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669,300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1,364,800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tcPr>
          <w:p>
            <w:pPr>
              <w:ind w:left="140"/>
              <w:spacing w:after="0"/>
              <w:rPr>
                <w:sz w:val="20"/>
                <w:szCs w:val="20"/>
                <w:color w:val="auto"/>
              </w:rPr>
            </w:pPr>
            <w:r>
              <w:rPr>
                <w:rFonts w:ascii="Arial" w:cs="Arial" w:eastAsia="Arial" w:hAnsi="Arial"/>
                <w:sz w:val="12"/>
                <w:szCs w:val="12"/>
                <w:color w:val="auto"/>
              </w:rPr>
              <w:t>Acquired in-process research and development</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General and administrative</w:t>
            </w:r>
          </w:p>
        </w:tc>
        <w:tc>
          <w:tcPr>
            <w:tcW w:w="3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556,100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545,900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tcPr>
          <w:p>
            <w:pPr>
              <w:ind w:left="260"/>
              <w:spacing w:after="0"/>
              <w:rPr>
                <w:sz w:val="20"/>
                <w:szCs w:val="20"/>
                <w:color w:val="auto"/>
              </w:rPr>
            </w:pPr>
            <w:r>
              <w:rPr>
                <w:rFonts w:ascii="Arial" w:cs="Arial" w:eastAsia="Arial" w:hAnsi="Arial"/>
                <w:sz w:val="12"/>
                <w:szCs w:val="12"/>
                <w:color w:val="auto"/>
              </w:rPr>
              <w:t>Total operating expenses</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1,113,700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1,215,200</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2,384,500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2,515,300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3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(1,113,700)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(1,215,200)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(2,384,500)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(2,515,300)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Interest expense, net</w:t>
            </w:r>
          </w:p>
        </w:tc>
        <w:tc>
          <w:tcPr>
            <w:tcW w:w="3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(605,600)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(323,200)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(1,390,500)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(639,600)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tcPr>
          <w:p>
            <w:pPr>
              <w:ind w:left="140"/>
              <w:spacing w:after="0"/>
              <w:rPr>
                <w:sz w:val="20"/>
                <w:szCs w:val="20"/>
                <w:color w:val="auto"/>
              </w:rPr>
            </w:pPr>
            <w:r>
              <w:rPr>
                <w:rFonts w:ascii="Arial" w:cs="Arial" w:eastAsia="Arial" w:hAnsi="Arial"/>
                <w:sz w:val="12"/>
                <w:szCs w:val="12"/>
                <w:color w:val="auto"/>
              </w:rPr>
              <w:t>Change in warrant liability</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1,301,800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78,600</w:t>
            </w:r>
          </w:p>
        </w:tc>
        <w:tc>
          <w:tcPr>
            <w:tcW w:w="2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(425,400)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1,883,500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Loss on early extinguishment of debt</w:t>
            </w:r>
          </w:p>
        </w:tc>
        <w:tc>
          <w:tcPr>
            <w:tcW w:w="3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(1,603,400)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(2,371,400)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tcPr>
          <w:p>
            <w:pPr>
              <w:ind w:left="140"/>
              <w:spacing w:after="0"/>
              <w:rPr>
                <w:sz w:val="20"/>
                <w:szCs w:val="20"/>
                <w:color w:val="auto"/>
              </w:rPr>
            </w:pPr>
            <w:r>
              <w:rPr>
                <w:rFonts w:ascii="Arial" w:cs="Arial" w:eastAsia="Arial" w:hAnsi="Arial"/>
                <w:sz w:val="12"/>
                <w:szCs w:val="12"/>
                <w:color w:val="auto"/>
              </w:rPr>
              <w:t>Other income</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3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(2,020,900)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(1,459,800)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(6,571,800)</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(1,271,400)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2"/>
                <w:szCs w:val="12"/>
                <w:color w:val="auto"/>
              </w:rPr>
              <w:t>Income taxes</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(2,400)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(2,700)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36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(2,020,900)</w:t>
            </w:r>
          </w:p>
        </w:tc>
        <w:tc>
          <w:tcPr>
            <w:tcW w:w="5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(1,459,800)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(6,574,200)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(1,274,100)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80" w:type="dxa"/>
            <w:vAlign w:val="bottom"/>
            <w:shd w:val="clear" w:color="auto" w:fill="CCEEFF"/>
          </w:tcPr>
          <w:p>
            <w:pPr>
              <w:spacing w:after="0"/>
              <w:rPr>
                <w:sz w:val="10"/>
                <w:szCs w:val="10"/>
                <w:color w:val="auto"/>
              </w:rPr>
            </w:pPr>
          </w:p>
        </w:tc>
        <w:tc>
          <w:tcPr>
            <w:tcW w:w="3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gridSpan w:val="2"/>
          </w:tcPr>
          <w:p>
            <w:pPr>
              <w:spacing w:after="0"/>
              <w:rPr>
                <w:sz w:val="20"/>
                <w:szCs w:val="20"/>
                <w:color w:val="auto"/>
              </w:rPr>
            </w:pPr>
            <w:r>
              <w:rPr>
                <w:rFonts w:ascii="Arial" w:cs="Arial" w:eastAsia="Arial" w:hAnsi="Arial"/>
                <w:sz w:val="12"/>
                <w:szCs w:val="12"/>
                <w:color w:val="auto"/>
              </w:rPr>
              <w:t>Basic net loss per common share</w:t>
            </w:r>
          </w:p>
        </w:tc>
        <w:tc>
          <w:tcPr>
            <w:tcW w:w="36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(1.58)</w:t>
            </w:r>
          </w:p>
        </w:tc>
        <w:tc>
          <w:tcPr>
            <w:tcW w:w="5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2"/>
                <w:szCs w:val="12"/>
                <w:color w:val="auto"/>
              </w:rPr>
              <w:t>(1.35)</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(5.24)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7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Diluted net loss per common share</w:t>
            </w:r>
          </w:p>
        </w:tc>
        <w:tc>
          <w:tcPr>
            <w:tcW w:w="3600" w:type="dxa"/>
            <w:vAlign w:val="bottom"/>
            <w:gridSpan w:val="2"/>
            <w:shd w:val="clear" w:color="auto" w:fill="CCEEFF"/>
          </w:tcPr>
          <w:p>
            <w:pPr>
              <w:jc w:val="right"/>
              <w:ind w:right="150"/>
              <w:spacing w:after="0" w:line="120"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00"/>
              <w:spacing w:after="0" w:line="120" w:lineRule="exact"/>
              <w:rPr>
                <w:sz w:val="20"/>
                <w:szCs w:val="20"/>
                <w:color w:val="auto"/>
              </w:rPr>
            </w:pPr>
            <w:r>
              <w:rPr>
                <w:rFonts w:ascii="Arial" w:cs="Arial" w:eastAsia="Arial" w:hAnsi="Arial"/>
                <w:sz w:val="12"/>
                <w:szCs w:val="12"/>
                <w:color w:val="auto"/>
              </w:rPr>
              <w:t>(1.90)</w:t>
            </w:r>
          </w:p>
        </w:tc>
        <w:tc>
          <w:tcPr>
            <w:tcW w:w="540" w:type="dxa"/>
            <w:vAlign w:val="bottom"/>
            <w:gridSpan w:val="2"/>
            <w:shd w:val="clear" w:color="auto" w:fill="CCEEFF"/>
          </w:tcPr>
          <w:p>
            <w:pPr>
              <w:jc w:val="right"/>
              <w:ind w:right="380"/>
              <w:spacing w:after="0" w:line="120"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color w:val="auto"/>
              </w:rPr>
              <w:t>(1.37)</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2"/>
                <w:szCs w:val="12"/>
                <w:color w:val="auto"/>
              </w:rPr>
              <w:t>(5.24)</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33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3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gridSpan w:val="2"/>
          </w:tcPr>
          <w:p>
            <w:pPr>
              <w:ind w:left="120"/>
              <w:spacing w:after="0"/>
              <w:rPr>
                <w:sz w:val="20"/>
                <w:szCs w:val="20"/>
                <w:color w:val="auto"/>
              </w:rPr>
            </w:pPr>
            <w:r>
              <w:rPr>
                <w:rFonts w:ascii="Arial" w:cs="Arial" w:eastAsia="Arial" w:hAnsi="Arial"/>
                <w:sz w:val="12"/>
                <w:szCs w:val="12"/>
                <w:color w:val="auto"/>
              </w:rPr>
              <w:t>Basic net loss per common share</w:t>
            </w: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1,279,251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1,081,529</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1,254,506</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1,061,266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720" w:type="dxa"/>
            <w:vAlign w:val="bottom"/>
            <w:gridSpan w:val="2"/>
            <w:shd w:val="clear" w:color="auto" w:fill="CCEEFF"/>
          </w:tcPr>
          <w:p>
            <w:pPr>
              <w:ind w:left="120"/>
              <w:spacing w:after="0" w:line="120" w:lineRule="exact"/>
              <w:rPr>
                <w:sz w:val="20"/>
                <w:szCs w:val="20"/>
                <w:color w:val="auto"/>
              </w:rPr>
            </w:pPr>
            <w:r>
              <w:rPr>
                <w:rFonts w:ascii="Arial" w:cs="Arial" w:eastAsia="Arial" w:hAnsi="Arial"/>
                <w:sz w:val="12"/>
                <w:szCs w:val="12"/>
                <w:color w:val="auto"/>
              </w:rPr>
              <w:t>Diluted net loss per common share</w:t>
            </w:r>
          </w:p>
        </w:tc>
        <w:tc>
          <w:tcPr>
            <w:tcW w:w="3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1,299,099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1,128,152</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1,254,506</w:t>
            </w: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1,112,675</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2080" w:type="dxa"/>
            <w:vAlign w:val="bottom"/>
            <w:tcBorders>
              <w:top w:val="single" w:sz="8" w:color="CCEEFF"/>
            </w:tcBorders>
          </w:tcPr>
          <w:p>
            <w:pPr>
              <w:spacing w:after="0"/>
              <w:rPr>
                <w:sz w:val="10"/>
                <w:szCs w:val="10"/>
                <w:color w:val="auto"/>
              </w:rPr>
            </w:pPr>
          </w:p>
        </w:tc>
        <w:tc>
          <w:tcPr>
            <w:tcW w:w="33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33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(2,020,900)</w:t>
            </w:r>
          </w:p>
        </w:tc>
        <w:tc>
          <w:tcPr>
            <w:tcW w:w="5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(1,459,800)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(6,574,200)</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(1,274,100)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180" w:type="dxa"/>
            <w:vAlign w:val="bottom"/>
            <w:gridSpan w:val="6"/>
          </w:tcPr>
          <w:p>
            <w:pPr>
              <w:jc w:val="right"/>
              <w:ind w:right="380"/>
              <w:spacing w:after="0"/>
              <w:rPr>
                <w:sz w:val="20"/>
                <w:szCs w:val="20"/>
                <w:color w:val="auto"/>
              </w:rPr>
            </w:pPr>
            <w:r>
              <w:rPr>
                <w:rFonts w:ascii="Arial" w:cs="Arial" w:eastAsia="Arial" w:hAnsi="Arial"/>
                <w:sz w:val="12"/>
                <w:szCs w:val="12"/>
                <w:color w:val="auto"/>
              </w:rPr>
              <w:t>See accompanying notes to Condensed Consolidated Financial Statements.</w:t>
            </w: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340" w:type="dxa"/>
            <w:vAlign w:val="bottom"/>
          </w:tcPr>
          <w:p>
            <w:pPr>
              <w:jc w:val="center"/>
              <w:ind w:left="2580"/>
              <w:spacing w:after="0"/>
              <w:rPr>
                <w:sz w:val="20"/>
                <w:szCs w:val="20"/>
                <w:color w:val="auto"/>
              </w:rPr>
            </w:pPr>
            <w:r>
              <w:rPr>
                <w:rFonts w:ascii="Arial" w:cs="Arial" w:eastAsia="Arial" w:hAnsi="Arial"/>
                <w:sz w:val="12"/>
                <w:szCs w:val="12"/>
                <w:color w:val="auto"/>
                <w:w w:val="95"/>
              </w:rPr>
              <w:t>-2-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80" w:type="dxa"/>
            <w:vAlign w:val="bottom"/>
            <w:tcBorders>
              <w:bottom w:val="single" w:sz="8" w:color="808080"/>
            </w:tcBorders>
          </w:tcPr>
          <w:p>
            <w:pPr>
              <w:spacing w:after="0"/>
              <w:rPr>
                <w:sz w:val="6"/>
                <w:szCs w:val="6"/>
                <w:color w:val="auto"/>
              </w:rPr>
            </w:pPr>
          </w:p>
        </w:tc>
        <w:tc>
          <w:tcPr>
            <w:tcW w:w="33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15"/>
        </w:trPr>
        <w:tc>
          <w:tcPr>
            <w:tcW w:w="3820" w:type="dxa"/>
            <w:vAlign w:val="bottom"/>
            <w:gridSpan w:val="2"/>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4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2"/>
        </w:trPr>
        <w:tc>
          <w:tcPr>
            <w:tcW w:w="66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5260" w:type="dxa"/>
            <w:vAlign w:val="bottom"/>
            <w:gridSpan w:val="2"/>
          </w:tcPr>
          <w:p>
            <w:pPr>
              <w:jc w:val="center"/>
              <w:ind w:right="1380"/>
              <w:spacing w:after="0"/>
              <w:rPr>
                <w:sz w:val="20"/>
                <w:szCs w:val="20"/>
                <w:color w:val="auto"/>
              </w:rPr>
            </w:pPr>
            <w:r>
              <w:rPr>
                <w:rFonts w:ascii="Arial" w:cs="Arial" w:eastAsia="Arial" w:hAnsi="Arial"/>
                <w:sz w:val="12"/>
                <w:szCs w:val="12"/>
                <w:b w:val="1"/>
                <w:bCs w:val="1"/>
                <w:color w:val="auto"/>
              </w:rPr>
              <w:t>VISTAGEN THERAPEUTICS, INC.</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6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260" w:type="dxa"/>
            <w:vAlign w:val="bottom"/>
            <w:gridSpan w:val="2"/>
          </w:tcPr>
          <w:p>
            <w:pPr>
              <w:jc w:val="center"/>
              <w:ind w:right="1360"/>
              <w:spacing w:after="0"/>
              <w:rPr>
                <w:sz w:val="20"/>
                <w:szCs w:val="20"/>
                <w:color w:val="auto"/>
              </w:rPr>
            </w:pPr>
            <w:r>
              <w:rPr>
                <w:rFonts w:ascii="Arial" w:cs="Arial" w:eastAsia="Arial" w:hAnsi="Arial"/>
                <w:sz w:val="12"/>
                <w:szCs w:val="12"/>
                <w:b w:val="1"/>
                <w:bCs w:val="1"/>
                <w:color w:val="auto"/>
                <w:w w:val="98"/>
              </w:rPr>
              <w:t>CONDENSED CONSOLIDATED STATEMENTS OF CASH FLOWS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260" w:type="dxa"/>
            <w:vAlign w:val="bottom"/>
            <w:gridSpan w:val="2"/>
          </w:tcPr>
          <w:p>
            <w:pPr>
              <w:jc w:val="center"/>
              <w:ind w:right="1380"/>
              <w:spacing w:after="0"/>
              <w:rPr>
                <w:sz w:val="20"/>
                <w:szCs w:val="20"/>
                <w:color w:val="auto"/>
              </w:rPr>
            </w:pPr>
            <w:r>
              <w:rPr>
                <w:rFonts w:ascii="Arial" w:cs="Arial" w:eastAsia="Arial" w:hAnsi="Arial"/>
                <w:sz w:val="12"/>
                <w:szCs w:val="12"/>
                <w:b w:val="1"/>
                <w:bCs w:val="1"/>
                <w:color w:val="auto"/>
                <w:w w:val="92"/>
              </w:rPr>
              <w:t>(Unaudited)</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6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260" w:type="dxa"/>
            <w:vAlign w:val="bottom"/>
            <w:gridSpan w:val="2"/>
          </w:tcPr>
          <w:p>
            <w:pPr>
              <w:jc w:val="center"/>
              <w:ind w:right="1360"/>
              <w:spacing w:after="0"/>
              <w:rPr>
                <w:sz w:val="20"/>
                <w:szCs w:val="20"/>
                <w:color w:val="auto"/>
              </w:rPr>
            </w:pPr>
            <w:r>
              <w:rPr>
                <w:rFonts w:ascii="Arial" w:cs="Arial" w:eastAsia="Arial" w:hAnsi="Arial"/>
                <w:sz w:val="12"/>
                <w:szCs w:val="12"/>
                <w:b w:val="1"/>
                <w:bCs w:val="1"/>
                <w:color w:val="auto"/>
                <w:w w:val="91"/>
              </w:rPr>
              <w:t>(Amounts in Dollars)</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b w:val="1"/>
                <w:bCs w:val="1"/>
                <w:color w:val="auto"/>
              </w:rPr>
              <w:t>Six Months Ended September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2013</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820" w:type="dxa"/>
            <w:vAlign w:val="bottom"/>
            <w:gridSpan w:val="2"/>
          </w:tcPr>
          <w:p>
            <w:pPr>
              <w:ind w:left="20"/>
              <w:spacing w:after="0"/>
              <w:rPr>
                <w:sz w:val="20"/>
                <w:szCs w:val="20"/>
                <w:color w:val="auto"/>
              </w:rPr>
            </w:pPr>
            <w:r>
              <w:rPr>
                <w:rFonts w:ascii="Arial" w:cs="Arial" w:eastAsia="Arial" w:hAnsi="Arial"/>
                <w:sz w:val="12"/>
                <w:szCs w:val="12"/>
                <w:color w:val="auto"/>
              </w:rPr>
              <w:t>Cash flows from operating activities: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Net loss</w:t>
            </w:r>
          </w:p>
        </w:tc>
        <w:tc>
          <w:tcPr>
            <w:tcW w:w="526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(6,574,200)</w:t>
            </w:r>
          </w:p>
        </w:tc>
        <w:tc>
          <w:tcPr>
            <w:tcW w:w="920" w:type="dxa"/>
            <w:vAlign w:val="bottom"/>
            <w:shd w:val="clear" w:color="auto" w:fill="CCEEFF"/>
          </w:tcPr>
          <w:p>
            <w:pPr>
              <w:jc w:val="right"/>
              <w:ind w:right="807"/>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4"/>
              </w:rPr>
              <w:t>(1,274,100)</w:t>
            </w:r>
          </w:p>
        </w:tc>
      </w:tr>
      <w:tr>
        <w:trPr>
          <w:trHeight w:val="144"/>
        </w:trPr>
        <w:tc>
          <w:tcPr>
            <w:tcW w:w="3820" w:type="dxa"/>
            <w:vAlign w:val="bottom"/>
            <w:gridSpan w:val="2"/>
          </w:tcPr>
          <w:p>
            <w:pPr>
              <w:ind w:left="40"/>
              <w:spacing w:after="0"/>
              <w:rPr>
                <w:sz w:val="20"/>
                <w:szCs w:val="20"/>
                <w:color w:val="auto"/>
              </w:rPr>
            </w:pPr>
            <w:r>
              <w:rPr>
                <w:rFonts w:ascii="Arial" w:cs="Arial" w:eastAsia="Arial" w:hAnsi="Arial"/>
                <w:sz w:val="12"/>
                <w:szCs w:val="12"/>
                <w:color w:val="auto"/>
                <w:w w:val="97"/>
              </w:rPr>
              <w:t>Adjustments to reconcile net loss to net cash used in operating activities: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26,200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25,800</w:t>
            </w:r>
          </w:p>
        </w:tc>
      </w:tr>
      <w:tr>
        <w:trPr>
          <w:trHeight w:val="144"/>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Amortization of discounts on convertible and promissory notes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799,000</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202,000</w:t>
            </w:r>
          </w:p>
        </w:tc>
      </w:tr>
      <w:tr>
        <w:trPr>
          <w:trHeight w:val="144"/>
        </w:trPr>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Change in warrant liability</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425,400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4"/>
              </w:rPr>
              <w:t>(1,883,500)</w:t>
            </w:r>
          </w:p>
        </w:tc>
      </w:tr>
      <w:tr>
        <w:trPr>
          <w:trHeight w:val="144"/>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408,400</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424,300</w:t>
            </w:r>
          </w:p>
        </w:tc>
      </w:tr>
      <w:tr>
        <w:trPr>
          <w:trHeight w:val="144"/>
        </w:trPr>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Expense related to modification of warrants</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(32,900)</w:t>
            </w:r>
          </w:p>
        </w:tc>
      </w:tr>
      <w:tr>
        <w:trPr>
          <w:trHeight w:val="144"/>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Non-cash rent and relocation expense</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(5,000)</w:t>
            </w:r>
          </w:p>
        </w:tc>
        <w:tc>
          <w:tcPr>
            <w:tcW w:w="9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40,800</w:t>
            </w:r>
          </w:p>
        </w:tc>
      </w:tr>
      <w:tr>
        <w:trPr>
          <w:trHeight w:val="144"/>
        </w:trPr>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Interest income on note receivable for stock purchase</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(500)</w:t>
            </w:r>
          </w:p>
        </w:tc>
      </w:tr>
      <w:tr>
        <w:trPr>
          <w:trHeight w:val="144"/>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Fair value of common stock granted for services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134,000</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Fair value of warrants granted for services and interest</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29,900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46,600</w:t>
            </w:r>
          </w:p>
        </w:tc>
      </w:tr>
      <w:tr>
        <w:trPr>
          <w:trHeight w:val="144"/>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Gain on currency fluctuation</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(200)</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(9,300)</w:t>
            </w:r>
          </w:p>
        </w:tc>
      </w:tr>
      <w:tr>
        <w:trPr>
          <w:trHeight w:val="144"/>
        </w:trPr>
        <w:tc>
          <w:tcPr>
            <w:tcW w:w="38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Loss on extinguishment of debt</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2,371,400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3820" w:type="dxa"/>
            <w:vAlign w:val="bottom"/>
            <w:gridSpan w:val="2"/>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(52,100)</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3,300</w:t>
            </w:r>
          </w:p>
        </w:tc>
      </w:tr>
      <w:tr>
        <w:trPr>
          <w:trHeight w:val="144"/>
        </w:trPr>
        <w:tc>
          <w:tcPr>
            <w:tcW w:w="3820" w:type="dxa"/>
            <w:vAlign w:val="bottom"/>
            <w:gridSpan w:val="2"/>
          </w:tcPr>
          <w:p>
            <w:pPr>
              <w:ind w:left="120"/>
              <w:spacing w:after="0"/>
              <w:rPr>
                <w:sz w:val="20"/>
                <w:szCs w:val="20"/>
                <w:color w:val="auto"/>
              </w:rPr>
            </w:pPr>
            <w:r>
              <w:rPr>
                <w:rFonts w:ascii="Arial" w:cs="Arial" w:eastAsia="Arial" w:hAnsi="Arial"/>
                <w:sz w:val="12"/>
                <w:szCs w:val="12"/>
                <w:color w:val="auto"/>
              </w:rPr>
              <w:t>Security deposits and other assets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(17,900)</w:t>
            </w:r>
          </w:p>
        </w:tc>
      </w:tr>
      <w:tr>
        <w:trPr>
          <w:trHeight w:val="144"/>
        </w:trPr>
        <w:tc>
          <w:tcPr>
            <w:tcW w:w="3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Accounts payable and accrued expenses, including accrued interest</w:t>
            </w:r>
          </w:p>
        </w:tc>
        <w:tc>
          <w:tcPr>
            <w:tcW w:w="43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902,200</w:t>
            </w: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1,159,000</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3820" w:type="dxa"/>
            <w:vAlign w:val="bottom"/>
            <w:gridSpan w:val="2"/>
          </w:tcPr>
          <w:p>
            <w:pPr>
              <w:ind w:left="140"/>
              <w:spacing w:after="0"/>
              <w:rPr>
                <w:sz w:val="20"/>
                <w:szCs w:val="20"/>
                <w:color w:val="auto"/>
              </w:rPr>
            </w:pPr>
            <w:r>
              <w:rPr>
                <w:rFonts w:ascii="Arial" w:cs="Arial" w:eastAsia="Arial" w:hAnsi="Arial"/>
                <w:sz w:val="12"/>
                <w:szCs w:val="12"/>
                <w:color w:val="auto"/>
              </w:rPr>
              <w:t>Net cash used in operating activities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w w:val="97"/>
              </w:rPr>
              <w:t>(1,533,400)</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4"/>
              </w:rPr>
              <w:t>(1,316,400)</w:t>
            </w:r>
          </w:p>
        </w:tc>
      </w:tr>
      <w:tr>
        <w:trPr>
          <w:trHeight w:val="142"/>
        </w:trPr>
        <w:tc>
          <w:tcPr>
            <w:tcW w:w="6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820" w:type="dxa"/>
            <w:vAlign w:val="bottom"/>
            <w:gridSpan w:val="2"/>
          </w:tcPr>
          <w:p>
            <w:pPr>
              <w:ind w:left="20"/>
              <w:spacing w:after="0"/>
              <w:rPr>
                <w:sz w:val="20"/>
                <w:szCs w:val="20"/>
                <w:color w:val="auto"/>
              </w:rPr>
            </w:pPr>
            <w:r>
              <w:rPr>
                <w:rFonts w:ascii="Arial" w:cs="Arial" w:eastAsia="Arial" w:hAnsi="Arial"/>
                <w:sz w:val="12"/>
                <w:szCs w:val="12"/>
                <w:color w:val="auto"/>
              </w:rPr>
              <w:t>Cash flows from investing activities: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Purchases of equipment, net</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(33,700)</w:t>
            </w:r>
          </w:p>
        </w:tc>
      </w:tr>
      <w:tr>
        <w:trPr>
          <w:trHeight w:val="20"/>
        </w:trPr>
        <w:tc>
          <w:tcPr>
            <w:tcW w:w="66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820" w:type="dxa"/>
            <w:vAlign w:val="bottom"/>
            <w:gridSpan w:val="2"/>
          </w:tcPr>
          <w:p>
            <w:pPr>
              <w:ind w:left="140"/>
              <w:spacing w:after="0"/>
              <w:rPr>
                <w:sz w:val="20"/>
                <w:szCs w:val="20"/>
                <w:color w:val="auto"/>
              </w:rPr>
            </w:pPr>
            <w:r>
              <w:rPr>
                <w:rFonts w:ascii="Arial" w:cs="Arial" w:eastAsia="Arial" w:hAnsi="Arial"/>
                <w:sz w:val="12"/>
                <w:szCs w:val="12"/>
                <w:color w:val="auto"/>
              </w:rPr>
              <w:t>Net cash used in investing activities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(33,700)</w:t>
            </w:r>
          </w:p>
        </w:tc>
      </w:tr>
      <w:tr>
        <w:trPr>
          <w:trHeight w:val="142"/>
        </w:trPr>
        <w:tc>
          <w:tcPr>
            <w:tcW w:w="6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820" w:type="dxa"/>
            <w:vAlign w:val="bottom"/>
            <w:gridSpan w:val="2"/>
          </w:tcPr>
          <w:p>
            <w:pPr>
              <w:ind w:left="20"/>
              <w:spacing w:after="0"/>
              <w:rPr>
                <w:sz w:val="20"/>
                <w:szCs w:val="20"/>
                <w:color w:val="auto"/>
              </w:rPr>
            </w:pPr>
            <w:r>
              <w:rPr>
                <w:rFonts w:ascii="Arial" w:cs="Arial" w:eastAsia="Arial" w:hAnsi="Arial"/>
                <w:sz w:val="12"/>
                <w:szCs w:val="12"/>
                <w:color w:val="auto"/>
              </w:rPr>
              <w:t>Cash flows from financing activities: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8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93"/>
              </w:rPr>
              <w:t>Net proceeds from issuance of common stock and warrants, including Units</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1,730,200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267,300</w:t>
            </w:r>
          </w:p>
        </w:tc>
      </w:tr>
      <w:tr>
        <w:trPr>
          <w:trHeight w:val="144"/>
        </w:trPr>
        <w:tc>
          <w:tcPr>
            <w:tcW w:w="3820" w:type="dxa"/>
            <w:vAlign w:val="bottom"/>
            <w:gridSpan w:val="2"/>
          </w:tcPr>
          <w:p>
            <w:pPr>
              <w:ind w:left="60"/>
              <w:spacing w:after="0"/>
              <w:rPr>
                <w:sz w:val="20"/>
                <w:szCs w:val="20"/>
                <w:color w:val="auto"/>
              </w:rPr>
            </w:pPr>
            <w:r>
              <w:rPr>
                <w:rFonts w:ascii="Arial" w:cs="Arial" w:eastAsia="Arial" w:hAnsi="Arial"/>
                <w:sz w:val="12"/>
                <w:szCs w:val="12"/>
                <w:color w:val="auto"/>
              </w:rPr>
              <w:t>Proceeds from exercise of modified warrants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264,200</w:t>
            </w:r>
          </w:p>
        </w:tc>
      </w:tr>
      <w:tr>
        <w:trPr>
          <w:trHeight w:val="144"/>
        </w:trPr>
        <w:tc>
          <w:tcPr>
            <w:tcW w:w="38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Proceeds from sale of note and warrant to Platinum</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r>
      <w:tr>
        <w:trPr>
          <w:trHeight w:val="144"/>
        </w:trPr>
        <w:tc>
          <w:tcPr>
            <w:tcW w:w="3820" w:type="dxa"/>
            <w:vAlign w:val="bottom"/>
            <w:gridSpan w:val="2"/>
          </w:tcPr>
          <w:p>
            <w:pPr>
              <w:ind w:left="40"/>
              <w:spacing w:after="0"/>
              <w:rPr>
                <w:sz w:val="20"/>
                <w:szCs w:val="20"/>
                <w:color w:val="auto"/>
              </w:rPr>
            </w:pPr>
            <w:r>
              <w:rPr>
                <w:rFonts w:ascii="Arial" w:cs="Arial" w:eastAsia="Arial" w:hAnsi="Arial"/>
                <w:sz w:val="12"/>
                <w:szCs w:val="12"/>
                <w:color w:val="auto"/>
              </w:rPr>
              <w:t>Advance from officer</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30,000</w:t>
            </w:r>
          </w:p>
        </w:tc>
      </w:tr>
      <w:tr>
        <w:trPr>
          <w:trHeight w:val="144"/>
        </w:trPr>
        <w:tc>
          <w:tcPr>
            <w:tcW w:w="38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Repayment of capital lease obligations</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(3,500)</w:t>
            </w: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(2,700)</w:t>
            </w:r>
          </w:p>
        </w:tc>
      </w:tr>
      <w:tr>
        <w:trPr>
          <w:trHeight w:val="144"/>
        </w:trPr>
        <w:tc>
          <w:tcPr>
            <w:tcW w:w="3820" w:type="dxa"/>
            <w:vAlign w:val="bottom"/>
            <w:gridSpan w:val="2"/>
          </w:tcPr>
          <w:p>
            <w:pPr>
              <w:ind w:left="60"/>
              <w:spacing w:after="0"/>
              <w:rPr>
                <w:sz w:val="20"/>
                <w:szCs w:val="20"/>
                <w:color w:val="auto"/>
              </w:rPr>
            </w:pPr>
            <w:r>
              <w:rPr>
                <w:rFonts w:ascii="Arial" w:cs="Arial" w:eastAsia="Arial" w:hAnsi="Arial"/>
                <w:sz w:val="12"/>
                <w:szCs w:val="12"/>
                <w:color w:val="auto"/>
              </w:rPr>
              <w:t>Repayment of notes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(193,300)</w:t>
            </w:r>
          </w:p>
        </w:tc>
        <w:tc>
          <w:tcPr>
            <w:tcW w:w="9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(90,300)</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38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Net cash provided by financing activities</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1,533,400</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718,500</w:t>
            </w:r>
          </w:p>
        </w:tc>
      </w:tr>
      <w:tr>
        <w:trPr>
          <w:trHeight w:val="20"/>
        </w:trPr>
        <w:tc>
          <w:tcPr>
            <w:tcW w:w="66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820" w:type="dxa"/>
            <w:vAlign w:val="bottom"/>
            <w:gridSpan w:val="2"/>
          </w:tcPr>
          <w:p>
            <w:pPr>
              <w:ind w:left="20"/>
              <w:spacing w:after="0"/>
              <w:rPr>
                <w:sz w:val="20"/>
                <w:szCs w:val="20"/>
                <w:color w:val="auto"/>
              </w:rPr>
            </w:pPr>
            <w:r>
              <w:rPr>
                <w:rFonts w:ascii="Arial" w:cs="Arial" w:eastAsia="Arial" w:hAnsi="Arial"/>
                <w:sz w:val="12"/>
                <w:szCs w:val="12"/>
                <w:color w:val="auto"/>
              </w:rPr>
              <w:t>Net decrease in cash and cash equivalents</w:t>
            </w: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(631,600)</w:t>
            </w:r>
          </w:p>
        </w:tc>
      </w:tr>
      <w:tr>
        <w:trPr>
          <w:trHeight w:val="14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4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638,100</w:t>
            </w:r>
          </w:p>
        </w:tc>
      </w:tr>
      <w:tr>
        <w:trPr>
          <w:trHeight w:val="20"/>
        </w:trPr>
        <w:tc>
          <w:tcPr>
            <w:tcW w:w="66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3820" w:type="dxa"/>
            <w:vAlign w:val="bottom"/>
            <w:gridSpan w:val="2"/>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526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920" w:type="dxa"/>
            <w:vAlign w:val="bottom"/>
          </w:tcPr>
          <w:p>
            <w:pPr>
              <w:jc w:val="right"/>
              <w:ind w:right="807"/>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6,500</w:t>
            </w: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5" w:name="page6"/>
    <w:bookmarkEnd w:id="5"/>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Description of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VistaGen Therapeutics, Inc. (formerly Excaliber Enterprises, Ltd.), a Nevada corporation, is a clinical-stage biopharmaceutical company developing novel medicine to treat depression, cancer and diseases and disorders involving the central nervous system. Our principal executive offices are located at 343 Allerton Avenue, South San Francisco, California 94080, and our telephone number is (650) 577-3600. Our website address is </w:t>
      </w:r>
      <w:r>
        <w:rPr>
          <w:rFonts w:ascii="Arial" w:cs="Arial" w:eastAsia="Arial" w:hAnsi="Arial"/>
          <w:sz w:val="11"/>
          <w:szCs w:val="11"/>
          <w:i w:val="1"/>
          <w:iCs w:val="1"/>
          <w:color w:val="auto"/>
        </w:rPr>
        <w:t>www.vistagen.com</w:t>
      </w:r>
      <w:r>
        <w:rPr>
          <w:rFonts w:ascii="Arial" w:cs="Arial" w:eastAsia="Arial" w:hAnsi="Arial"/>
          <w:sz w:val="11"/>
          <w:szCs w:val="11"/>
          <w:color w:val="auto"/>
        </w:rPr>
        <w:t>. Unless the context otherwise requires, the words “</w:t>
      </w:r>
      <w:r>
        <w:rPr>
          <w:rFonts w:ascii="Arial" w:cs="Arial" w:eastAsia="Arial" w:hAnsi="Arial"/>
          <w:sz w:val="11"/>
          <w:szCs w:val="11"/>
          <w:i w:val="1"/>
          <w:iCs w:val="1"/>
          <w:color w:val="auto"/>
        </w:rPr>
        <w:t>VistaGen Therapeutics, Inc.</w:t>
      </w:r>
      <w:r>
        <w:rPr>
          <w:rFonts w:ascii="Arial" w:cs="Arial" w:eastAsia="Arial" w:hAnsi="Arial"/>
          <w:sz w:val="11"/>
          <w:szCs w:val="11"/>
          <w:color w:val="auto"/>
        </w:rPr>
        <w:t>” “</w:t>
      </w:r>
      <w:r>
        <w:rPr>
          <w:rFonts w:ascii="Arial" w:cs="Arial" w:eastAsia="Arial" w:hAnsi="Arial"/>
          <w:sz w:val="11"/>
          <w:szCs w:val="11"/>
          <w:i w:val="1"/>
          <w:iCs w:val="1"/>
          <w:color w:val="auto"/>
        </w:rPr>
        <w:t>VistaGen</w:t>
      </w:r>
      <w:r>
        <w:rPr>
          <w:rFonts w:ascii="Arial" w:cs="Arial" w:eastAsia="Arial" w:hAnsi="Arial"/>
          <w:sz w:val="11"/>
          <w:szCs w:val="11"/>
          <w:color w:val="auto"/>
        </w:rPr>
        <w:t>,” “</w:t>
      </w:r>
      <w:r>
        <w:rPr>
          <w:rFonts w:ascii="Arial" w:cs="Arial" w:eastAsia="Arial" w:hAnsi="Arial"/>
          <w:sz w:val="11"/>
          <w:szCs w:val="11"/>
          <w:i w:val="1"/>
          <w:iCs w:val="1"/>
          <w:color w:val="auto"/>
        </w:rPr>
        <w:t>we</w:t>
      </w:r>
      <w:r>
        <w:rPr>
          <w:rFonts w:ascii="Arial" w:cs="Arial" w:eastAsia="Arial" w:hAnsi="Arial"/>
          <w:sz w:val="11"/>
          <w:szCs w:val="11"/>
          <w:color w:val="auto"/>
        </w:rPr>
        <w:t>,” “</w:t>
      </w:r>
      <w:r>
        <w:rPr>
          <w:rFonts w:ascii="Arial" w:cs="Arial" w:eastAsia="Arial" w:hAnsi="Arial"/>
          <w:sz w:val="11"/>
          <w:szCs w:val="11"/>
          <w:i w:val="1"/>
          <w:iCs w:val="1"/>
          <w:color w:val="auto"/>
        </w:rPr>
        <w:t>the Company</w:t>
      </w:r>
      <w:r>
        <w:rPr>
          <w:rFonts w:ascii="Arial" w:cs="Arial" w:eastAsia="Arial" w:hAnsi="Arial"/>
          <w:sz w:val="11"/>
          <w:szCs w:val="11"/>
          <w:color w:val="auto"/>
        </w:rPr>
        <w:t>,” “</w:t>
      </w:r>
      <w:r>
        <w:rPr>
          <w:rFonts w:ascii="Arial" w:cs="Arial" w:eastAsia="Arial" w:hAnsi="Arial"/>
          <w:sz w:val="11"/>
          <w:szCs w:val="11"/>
          <w:i w:val="1"/>
          <w:iCs w:val="1"/>
          <w:color w:val="auto"/>
        </w:rPr>
        <w:t>us</w:t>
      </w:r>
      <w:r>
        <w:rPr>
          <w:rFonts w:ascii="Arial" w:cs="Arial" w:eastAsia="Arial" w:hAnsi="Arial"/>
          <w:sz w:val="11"/>
          <w:szCs w:val="11"/>
          <w:color w:val="auto"/>
        </w:rPr>
        <w:t>” and “</w:t>
      </w:r>
      <w:r>
        <w:rPr>
          <w:rFonts w:ascii="Arial" w:cs="Arial" w:eastAsia="Arial" w:hAnsi="Arial"/>
          <w:sz w:val="11"/>
          <w:szCs w:val="11"/>
          <w:i w:val="1"/>
          <w:iCs w:val="1"/>
          <w:color w:val="auto"/>
        </w:rPr>
        <w:t>our</w:t>
      </w:r>
      <w:r>
        <w:rPr>
          <w:rFonts w:ascii="Arial" w:cs="Arial" w:eastAsia="Arial" w:hAnsi="Arial"/>
          <w:sz w:val="11"/>
          <w:szCs w:val="11"/>
          <w:color w:val="auto"/>
        </w:rPr>
        <w:t>” refer to VistaGen Therapeutics, Inc., a Nevada corporation.</w:t>
      </w:r>
    </w:p>
    <w:p>
      <w:pPr>
        <w:spacing w:after="0" w:line="10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VistaGen Therapeutics, Inc., a California corporation incorporated on May 26, 1998 (</w:t>
      </w:r>
      <w:r>
        <w:rPr>
          <w:rFonts w:ascii="Arial" w:cs="Arial" w:eastAsia="Arial" w:hAnsi="Arial"/>
          <w:sz w:val="11"/>
          <w:szCs w:val="11"/>
          <w:i w:val="1"/>
          <w:iCs w:val="1"/>
          <w:color w:val="auto"/>
        </w:rPr>
        <w:t>VistaGen California</w:t>
      </w:r>
      <w:r>
        <w:rPr>
          <w:rFonts w:ascii="Arial" w:cs="Arial" w:eastAsia="Arial" w:hAnsi="Arial"/>
          <w:sz w:val="11"/>
          <w:szCs w:val="11"/>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1"/>
          <w:szCs w:val="11"/>
          <w:i w:val="1"/>
          <w:iCs w:val="1"/>
          <w:color w:val="auto"/>
        </w:rPr>
        <w:t>Merger</w:t>
      </w:r>
      <w:r>
        <w:rPr>
          <w:rFonts w:ascii="Arial" w:cs="Arial" w:eastAsia="Arial" w:hAnsi="Arial"/>
          <w:sz w:val="11"/>
          <w:szCs w:val="11"/>
          <w:color w:val="auto"/>
        </w:rPr>
        <w:t>), and assumed all of VistaGen California’s pre-Merger obligations. Our Condensed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Our initial product candidate is AV-101, an orally-available, non-sedating prodrug (precursor chemical compound) that is rapidly converted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to its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a well-characterized, potent and selective blocker of the required glycine-B (</w:t>
      </w:r>
      <w:r>
        <w:rPr>
          <w:rFonts w:ascii="Arial" w:cs="Arial" w:eastAsia="Arial" w:hAnsi="Arial"/>
          <w:sz w:val="11"/>
          <w:szCs w:val="11"/>
          <w:i w:val="1"/>
          <w:iCs w:val="1"/>
          <w:color w:val="auto"/>
        </w:rPr>
        <w:t>GlyB</w:t>
      </w:r>
      <w:r>
        <w:rPr>
          <w:rFonts w:ascii="Arial" w:cs="Arial" w:eastAsia="Arial" w:hAnsi="Arial"/>
          <w:sz w:val="11"/>
          <w:szCs w:val="11"/>
          <w:color w:val="auto"/>
        </w:rPr>
        <w:t>) site of the N-methyl-D-aspartate receptors (</w:t>
      </w:r>
      <w:r>
        <w:rPr>
          <w:rFonts w:ascii="Arial" w:cs="Arial" w:eastAsia="Arial" w:hAnsi="Arial"/>
          <w:sz w:val="11"/>
          <w:szCs w:val="11"/>
          <w:i w:val="1"/>
          <w:iCs w:val="1"/>
          <w:color w:val="auto"/>
        </w:rPr>
        <w:t>NMDAR</w:t>
      </w:r>
      <w:r>
        <w:rPr>
          <w:rFonts w:ascii="Arial" w:cs="Arial" w:eastAsia="Arial" w:hAnsi="Arial"/>
          <w:sz w:val="11"/>
          <w:szCs w:val="11"/>
          <w:color w:val="auto"/>
        </w:rPr>
        <w:t>). However, 7-Cl-KYNA does not cross the blood-brain barrier, making it a poor drug candidate. AV-101, the prodrug of 7-C1-KYNA, readily gains access to the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 after oral administration and is converted to 7-Cl-KYNA by astrocytes that are preferentially activated at sites of neuronal injury or excitotoxic insult. AV-101 is a novel potential treatment for multiple diseases and disorders involving the CNS, including Major Depressive Disorder, epilepsy, neuropathic pain and neurodegenerative diseases such as Parkinson’s disease.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 for Depression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Depression is a global public health concern. The World Health Organization estimates that “depression is the leading cause of disability worldwide, and is a major contributor to the global burden of disease,” affecting 350 million people globally, including nearly 7% of adults in the United States.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Although antidepressant drugs are available, millions of depression patients are poorly served by current antidepressant therapies, many of which require several weeks before therapeutic benefits are achieved. In addition to the high percentage of depressed patients who are not effectively treated by current antidepressant drugs, the several week lag period in onset of action of traditional antidepressants is recognized as a major limitation, resulting in substantial morbidity and high risk of suicidal behavior, especially during the first two weeks after starting treatment. Therefore, safe, novel depression medicine with rapid onset of antidepressant effects could have a major impact on public health in the U.S. and worldwide.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randomized, placebo-controlled, double-blind clinical trials conducted by Dr. Carlos Zarate and others at the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ketamine, a classic </w:t>
      </w:r>
      <w:r>
        <w:rPr>
          <w:rFonts w:ascii="Arial" w:cs="Arial" w:eastAsia="Arial" w:hAnsi="Arial"/>
          <w:sz w:val="12"/>
          <w:szCs w:val="12"/>
          <w:i w:val="1"/>
          <w:iCs w:val="1"/>
          <w:color w:val="auto"/>
        </w:rPr>
        <w:t>NMDAR</w:t>
      </w:r>
      <w:r>
        <w:rPr>
          <w:rFonts w:ascii="Arial" w:cs="Arial" w:eastAsia="Arial" w:hAnsi="Arial"/>
          <w:sz w:val="12"/>
          <w:szCs w:val="12"/>
          <w:color w:val="auto"/>
        </w:rPr>
        <w:t xml:space="preserve"> channel blocker, produced robust and rapid antidepressant effects in treatment-resistant patients suffering with Major Depressive Disorder. However, the clinical utility of ketamine, which is administered intravenously, and other NMDAR channel blockers has been severely limited by their potential for abuse and dissociative side effects, including hallucinations and schizophrenia-like effects.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By regulating the NMDAR rather than blocking it, AV-101 has the potential to achieve the rapid-onset antidepressant effects of ketamine and many other classic NMDAR channel blockers, without causing their serious side effects.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November 6, 2014, we signed a Letter of Intent to enter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NIMH to collaborate on a NIMH-sponsored Phase 2 clinical study of AV-101 in Major Depressive Disorder. Dr. Carlos Zarate, Chief, Section on the Neurobiology and Treatment of Mood Disorders and Chief of the Experimental Therapeutics and Pathophysiology Branch at the NIMH, will be the Principal Investigator for our AV-101 Phase 2 depression study under the proposed CRADA. We anticipate both commencing and completing the study in 2015.</w:t>
      </w:r>
    </w:p>
    <w:p>
      <w:pPr>
        <w:spacing w:after="0" w:line="12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NIH previously awarded us $8.8 million for our AV-101 preclinical and Phase 1 clinical development programs. In two randomized, double-bind, placebo-controlled Phase 1 safety studies, AV-101 was well tolerated and not associated with any severe adverse events. There were no signs of sedation, hallucinations or schizophrenia-like side effects often associated with ketamine and many of the NMDAR channel blockers.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 w:name="page7"/>
    <w:bookmarkEnd w:id="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Stem Cell Technology-based Drug Rescue</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With mature, adult human heart cells and liver cells produced using our proprietary pluripotent stem cell technology, we have developed two customized human cellular bioassay systems,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predicting heart toxicity and liver toxicity of new drug candidates long before they are ever tested in animal or human studies. We are leveraging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drug rescue focused on producing new, safer variants of drug candidates previously optimized and tested for efficacy by pharmaceutical companies but terminated before FDA approval due to heart or liver toxicity concerns. Our initial drug rescue programs are focused on novel therapies for cancer.</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Basis of Presentation and Going Concern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The accompanying unaudited Condensed Consolidated Financial Statements have been prepared in accordance with accounting principles generally accepted in the United States (</w:t>
      </w:r>
      <w:r>
        <w:rPr>
          <w:rFonts w:ascii="Arial" w:cs="Arial" w:eastAsia="Arial" w:hAnsi="Arial"/>
          <w:sz w:val="11"/>
          <w:szCs w:val="11"/>
          <w:i w:val="1"/>
          <w:iCs w:val="1"/>
          <w:color w:val="auto"/>
        </w:rPr>
        <w:t>U.S. GAAP</w:t>
      </w:r>
      <w:r>
        <w:rPr>
          <w:rFonts w:ascii="Arial" w:cs="Arial" w:eastAsia="Arial" w:hAnsi="Arial"/>
          <w:sz w:val="11"/>
          <w:szCs w:val="11"/>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2014 has been derived from our audited consolidated financial statements at that date but does not include all disclosures required by U.S. GAAP. The operating results for the three and six months ended September 30, 2014 are not necessarily indicative of the operating results to be expected for our fiscal year ending March 31, 2015 or for any other interim period or any other future period.</w:t>
      </w:r>
    </w:p>
    <w:p>
      <w:pPr>
        <w:spacing w:after="0" w:line="11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accompanying unaudited Condensed Consolidated Financial Statements and notes to Condensed Consolidated Financial Statements should be read in conjunction with our audited Consolidated Financial Statements for the fiscal year ended March 31, 2014 contained in our Annual Report on Form 10-K, as filed with the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xml:space="preserve">) on June 25, 2014. Effective August 14, 2014, we consummated a 1-for-20 reverse split of our authorized, and issued and outstanding shares of common stock (the </w:t>
      </w:r>
      <w:r>
        <w:rPr>
          <w:rFonts w:ascii="Arial" w:cs="Arial" w:eastAsia="Arial" w:hAnsi="Arial"/>
          <w:sz w:val="11"/>
          <w:szCs w:val="11"/>
          <w:i w:val="1"/>
          <w:iCs w:val="1"/>
          <w:color w:val="auto"/>
        </w:rPr>
        <w:t>Stock Consolidation</w:t>
      </w:r>
      <w:r>
        <w:rPr>
          <w:rFonts w:ascii="Arial" w:cs="Arial" w:eastAsia="Arial" w:hAnsi="Arial"/>
          <w:sz w:val="11"/>
          <w:szCs w:val="11"/>
          <w:color w:val="auto"/>
        </w:rPr>
        <w:t xml:space="preserve">). Each reference to shares of common stock or the price per share of common stock in these financial statements is post-Stock Consolidation, and reflects the 1-for-20 adjustment as a result of the Stock Consolidation. See Note 8, </w:t>
      </w:r>
      <w:r>
        <w:rPr>
          <w:rFonts w:ascii="Arial" w:cs="Arial" w:eastAsia="Arial" w:hAnsi="Arial"/>
          <w:sz w:val="11"/>
          <w:szCs w:val="11"/>
          <w:i w:val="1"/>
          <w:iCs w:val="1"/>
          <w:color w:val="auto"/>
        </w:rPr>
        <w:t>Capital Stock</w:t>
      </w:r>
      <w:r>
        <w:rPr>
          <w:rFonts w:ascii="Arial" w:cs="Arial" w:eastAsia="Arial" w:hAnsi="Arial"/>
          <w:sz w:val="11"/>
          <w:szCs w:val="11"/>
          <w:color w:val="auto"/>
        </w:rPr>
        <w:t>, for more information regarding the Stock Consolidation.</w:t>
      </w:r>
    </w:p>
    <w:p>
      <w:pPr>
        <w:spacing w:after="0" w:line="10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accompanying Condensed Consolidated Financial Statements have been prepared assuming we will continue as a going concern. As an entity having not yet achieved sustainable revenues, we have experienced recurring losses and negative cash flows from operations resulting in a deficit of $77.2 million accumulated from inception through September 30, 2014. We expect losses and negative cash flows from operations to continue for the foreseeable future as we engage in further potential development of AV-101 and launch and execute our drug rescue programs and pursue potential drug discovery, drug development and regenerative medicine opportunities.</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Since our inception in May 1998 through September 30, 2014, we have financed our operations and technology acquisitions primarily through the issuance and sale of equity and debt securities, including convertible promissory notes and short-term promissory notes, for cash proceeds of approximately $27.7 million, as well as from an aggregate of approximately $16.4 million of government research grant awards, strategic collaboration payments and other revenues. Additionally, we have issued equity securities with an approximate value at issuance of $13.0 million in non-cash settlements of certain liabilities, including liabilities for professional services rendered to us or as compensation for such services. At September 30, 2014, we did not have sufficient cash and cash equivalents to enable us to fund our planned operations, including expected cash expenditures of approximately $7.5 million over the next twelve months.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To meet our cash needs and fund our working capital requirements after September 30, 2014, from October 1, 2014 through November 17, 2014, we entered into securities purchase agreements with certain accredited investors and institutions to sell units of our securities, for aggregate proceeds of $165,000 consisting of: (i) 10% subordinate convertible promissory notes in the aggregate face amount of $165,000 maturing on March 31, 2015; (ii) an aggregate of 8,250 restricted shares of our common stock; and (iii) warrants exercisable through December 31, 2016 to purchase an aggregate of 8,250 restricted shares of our common stock at an exercise price of $10.00 per share. See Note 10, </w:t>
      </w:r>
      <w:r>
        <w:rPr>
          <w:rFonts w:ascii="Arial" w:cs="Arial" w:eastAsia="Arial" w:hAnsi="Arial"/>
          <w:sz w:val="12"/>
          <w:szCs w:val="12"/>
          <w:i w:val="1"/>
          <w:iCs w:val="1"/>
          <w:color w:val="auto"/>
        </w:rPr>
        <w:t>Subsequent Events</w:t>
      </w:r>
      <w:r>
        <w:rPr>
          <w:rFonts w:ascii="Arial" w:cs="Arial" w:eastAsia="Arial" w:hAnsi="Arial"/>
          <w:sz w:val="12"/>
          <w:szCs w:val="12"/>
          <w:color w:val="auto"/>
        </w:rPr>
        <w:t>, for additional information.</w:t>
      </w:r>
    </w:p>
    <w:p>
      <w:pPr>
        <w:spacing w:after="0" w:line="14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In April 2013, we entered into a Securities Purchase Agreement (as amended, </w:t>
      </w:r>
      <w:r>
        <w:rPr>
          <w:rFonts w:ascii="Arial" w:cs="Arial" w:eastAsia="Arial" w:hAnsi="Arial"/>
          <w:sz w:val="11"/>
          <w:szCs w:val="11"/>
          <w:i w:val="1"/>
          <w:iCs w:val="1"/>
          <w:color w:val="auto"/>
        </w:rPr>
        <w:t>Securities Purchase Agreement</w:t>
      </w:r>
      <w:r>
        <w:rPr>
          <w:rFonts w:ascii="Arial" w:cs="Arial" w:eastAsia="Arial" w:hAnsi="Arial"/>
          <w:sz w:val="11"/>
          <w:szCs w:val="11"/>
          <w:color w:val="auto"/>
        </w:rPr>
        <w:t>) with Autilion AG, a company organized and existing under the laws of Switzerland (</w:t>
      </w:r>
      <w:r>
        <w:rPr>
          <w:rFonts w:ascii="Arial" w:cs="Arial" w:eastAsia="Arial" w:hAnsi="Arial"/>
          <w:sz w:val="11"/>
          <w:szCs w:val="11"/>
          <w:i w:val="1"/>
          <w:iCs w:val="1"/>
          <w:color w:val="auto"/>
        </w:rPr>
        <w:t>Autilion</w:t>
      </w:r>
      <w:r>
        <w:rPr>
          <w:rFonts w:ascii="Arial" w:cs="Arial" w:eastAsia="Arial" w:hAnsi="Arial"/>
          <w:sz w:val="11"/>
          <w:szCs w:val="11"/>
          <w:color w:val="auto"/>
        </w:rPr>
        <w:t>), under which Autilion remains contractually obligated to purchase an aggregate of 3.6 million restricted shares of our common stock at a purchase price of $10.00 per share for aggregate cash proceeds to us of $36.0 million (</w:t>
      </w:r>
      <w:r>
        <w:rPr>
          <w:rFonts w:ascii="Arial" w:cs="Arial" w:eastAsia="Arial" w:hAnsi="Arial"/>
          <w:sz w:val="11"/>
          <w:szCs w:val="11"/>
          <w:i w:val="1"/>
          <w:iCs w:val="1"/>
          <w:color w:val="auto"/>
        </w:rPr>
        <w:t>Autilion Financing</w:t>
      </w:r>
      <w:r>
        <w:rPr>
          <w:rFonts w:ascii="Arial" w:cs="Arial" w:eastAsia="Arial" w:hAnsi="Arial"/>
          <w:sz w:val="11"/>
          <w:szCs w:val="11"/>
          <w:color w:val="auto"/>
        </w:rPr>
        <w:t xml:space="preserve">). Autilion is currently in default under the Securities Purchase Agreement. No assurances can be provided that Autilion will complete any material portion of its obligations under the Securities Purchase Agreement. We have filed a Registration Statement on Form S-1 with the SEC (File No. 333-195901) (the </w:t>
      </w:r>
      <w:r>
        <w:rPr>
          <w:rFonts w:ascii="Arial" w:cs="Arial" w:eastAsia="Arial" w:hAnsi="Arial"/>
          <w:sz w:val="11"/>
          <w:szCs w:val="11"/>
          <w:i w:val="1"/>
          <w:iCs w:val="1"/>
          <w:color w:val="auto"/>
        </w:rPr>
        <w:t>Registration Statement</w:t>
      </w:r>
      <w:r>
        <w:rPr>
          <w:rFonts w:ascii="Arial" w:cs="Arial" w:eastAsia="Arial" w:hAnsi="Arial"/>
          <w:sz w:val="11"/>
          <w:szCs w:val="11"/>
          <w:color w:val="auto"/>
        </w:rPr>
        <w:t>) to register up to 1.5 million shares of our common stock, and warrants to purchase up to 1.5 million shares of our common stock, in a public offering (</w:t>
      </w:r>
      <w:r>
        <w:rPr>
          <w:rFonts w:ascii="Arial" w:cs="Arial" w:eastAsia="Arial" w:hAnsi="Arial"/>
          <w:sz w:val="11"/>
          <w:szCs w:val="11"/>
          <w:i w:val="1"/>
          <w:iCs w:val="1"/>
          <w:color w:val="auto"/>
        </w:rPr>
        <w:t>Public Offering)</w:t>
      </w:r>
      <w:r>
        <w:rPr>
          <w:rFonts w:ascii="Arial" w:cs="Arial" w:eastAsia="Arial" w:hAnsi="Arial"/>
          <w:sz w:val="11"/>
          <w:szCs w:val="11"/>
          <w:color w:val="auto"/>
        </w:rPr>
        <w:t>. The Registration Statement has been declared effective by the SEC, however we have not yet sold any of our securities pursuant to the Registration Statement. No assurances can be provided that we will complete the Public Offering in the near term, on acceptable terms, or at all. In the event that Autilion does not complete a material portion of the Autilion Financing under the Securities Purchase Agreement in the near term, or we are unable to complete a material portion of the Public Offering in the near term, we estimate that we will need to obtain approximately $7.5 million from alternative financing sources to execute our business plan during the next 12 months.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To the extent necessary, we may also seek to meet our future cash needs and fund our working capital requirements through a combination of additional private placements of our securities, which may include both debt and equity securities, research and development collaborations, license fees, and government grant awards. Additionally, we believe that our participation in potential strategic collaborations, including potential licensing transactions, may provide additional cash in support of our future working capital requirements. Notwithstanding the foregoing, substantial additional financing may not be available to us on a timely basis, on acceptable terms, or at all. If we are unable to complete a material portion of our Public Offering, or the Autilion Financing, or otherwise obtain substantial financing from alternative sources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 accompanying Condensed Consolidated Financial Statements do not include any adjustments that might result from the outcome of this uncertainty.</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warrants, warrant modifications, and previous put option and note term extension liabilities.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Although we do not currently have any such arrangements, we have historically generated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540" w:hanging="310"/>
        <w:spacing w:after="0" w:line="281" w:lineRule="auto"/>
        <w:tabs>
          <w:tab w:leader="none" w:pos="540" w:val="left"/>
        </w:tabs>
        <w:numPr>
          <w:ilvl w:val="1"/>
          <w:numId w:val="2"/>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520" w:hanging="299"/>
        <w:spacing w:after="0" w:line="263" w:lineRule="auto"/>
        <w:tabs>
          <w:tab w:leader="none" w:pos="520" w:val="left"/>
        </w:tabs>
        <w:numPr>
          <w:ilvl w:val="1"/>
          <w:numId w:val="2"/>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500" w:hanging="288"/>
        <w:spacing w:after="0" w:line="276" w:lineRule="auto"/>
        <w:tabs>
          <w:tab w:leader="none" w:pos="500" w:val="left"/>
        </w:tabs>
        <w:numPr>
          <w:ilvl w:val="0"/>
          <w:numId w:val="2"/>
        </w:numPr>
        <w:rPr>
          <w:rFonts w:ascii="Arial" w:cs="Arial" w:eastAsia="Arial" w:hAnsi="Arial"/>
          <w:sz w:val="12"/>
          <w:szCs w:val="12"/>
          <w:color w:val="auto"/>
        </w:rPr>
      </w:pPr>
      <w:r>
        <w:rPr>
          <w:rFonts w:ascii="Arial" w:cs="Arial" w:eastAsia="Arial" w:hAnsi="Arial"/>
          <w:sz w:val="12"/>
          <w:szCs w:val="12"/>
          <w:color w:val="auto"/>
        </w:rPr>
        <w:t>Government grants, which have supported our research efforts on specific projects, generally provide for reimbursement of approved costs as defined in the terms of grant awards. Grant revenue is recognized when associated project costs are incurred.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 w:name="page9"/>
    <w:bookmarkEnd w:id="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small molecule prodrug candidate for depression, neuropathic pain, and potentially other neurological conditions, sponsored stem cell research and development costs, and costs related to the application and prosecution of patents related to the Company’s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and AV-101. All such costs are charged to expense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recognize compensation cost for all stock-based awards to employees based on the grant date fair value of the award. Non-cash, stock-based compensation expense is recognized over the period during which the employee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1" w:lineRule="exact"/>
        <w:rPr>
          <w:sz w:val="20"/>
          <w:szCs w:val="20"/>
          <w:color w:val="auto"/>
        </w:rPr>
      </w:pPr>
    </w:p>
    <w:p>
      <w:pPr>
        <w:spacing w:after="0"/>
        <w:rPr>
          <w:sz w:val="20"/>
          <w:szCs w:val="20"/>
          <w:color w:val="auto"/>
        </w:rPr>
      </w:pPr>
      <w:r>
        <w:rPr>
          <w:rFonts w:ascii="Arial" w:cs="Arial" w:eastAsia="Arial" w:hAnsi="Arial"/>
          <w:sz w:val="10"/>
          <w:szCs w:val="10"/>
          <w:color w:val="auto"/>
        </w:rPr>
        <w:t>The table below summarizes stock-based compensation expense included in the accompanying Condensed Consolidated Statements of Operations and Comprehensive Loss for the three and six months ended September 30, 2014 and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20" w:type="dxa"/>
            <w:vAlign w:val="bottom"/>
            <w:gridSpan w:val="3"/>
          </w:tcPr>
          <w:p>
            <w:pPr>
              <w:jc w:val="center"/>
              <w:ind w:left="520"/>
              <w:spacing w:after="0"/>
              <w:rPr>
                <w:sz w:val="20"/>
                <w:szCs w:val="20"/>
                <w:color w:val="auto"/>
              </w:rPr>
            </w:pPr>
            <w:r>
              <w:rPr>
                <w:rFonts w:ascii="Arial" w:cs="Arial" w:eastAsia="Arial" w:hAnsi="Arial"/>
                <w:sz w:val="12"/>
                <w:szCs w:val="12"/>
                <w:b w:val="1"/>
                <w:bCs w:val="1"/>
                <w:color w:val="auto"/>
                <w:w w:val="90"/>
              </w:rPr>
              <w:t>Three Months Ended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3"/>
          </w:tcPr>
          <w:p>
            <w:pPr>
              <w:jc w:val="center"/>
              <w:ind w:left="560"/>
              <w:spacing w:after="0"/>
              <w:rPr>
                <w:sz w:val="20"/>
                <w:szCs w:val="20"/>
                <w:color w:val="auto"/>
              </w:rPr>
            </w:pPr>
            <w:r>
              <w:rPr>
                <w:rFonts w:ascii="Arial" w:cs="Arial" w:eastAsia="Arial" w:hAnsi="Arial"/>
                <w:sz w:val="12"/>
                <w:szCs w:val="12"/>
                <w:b w:val="1"/>
                <w:bCs w:val="1"/>
                <w:color w:val="auto"/>
                <w:w w:val="92"/>
              </w:rPr>
              <w:t>Six Months Ended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57"/>
        </w:trPr>
        <w:tc>
          <w:tcPr>
            <w:tcW w:w="384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2"/>
                <w:szCs w:val="12"/>
                <w:b w:val="1"/>
                <w:bCs w:val="1"/>
                <w:color w:val="auto"/>
                <w:w w:val="87"/>
              </w:rPr>
              <w:t>September 30,</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2"/>
                <w:szCs w:val="12"/>
                <w:b w:val="1"/>
                <w:bCs w:val="1"/>
                <w:color w:val="auto"/>
                <w:w w:val="90"/>
              </w:rPr>
              <w:t>September 30,</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42"/>
        </w:trPr>
        <w:tc>
          <w:tcPr>
            <w:tcW w:w="38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2014</w:t>
            </w:r>
          </w:p>
        </w:tc>
        <w:tc>
          <w:tcPr>
            <w:tcW w:w="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2013</w:t>
            </w:r>
          </w:p>
        </w:tc>
        <w:tc>
          <w:tcPr>
            <w:tcW w:w="7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2014</w:t>
            </w:r>
          </w:p>
        </w:tc>
        <w:tc>
          <w:tcPr>
            <w:tcW w:w="7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2013</w:t>
            </w:r>
          </w:p>
        </w:tc>
        <w:tc>
          <w:tcPr>
            <w:tcW w:w="360" w:type="dxa"/>
            <w:vAlign w:val="bottom"/>
          </w:tcPr>
          <w:p>
            <w:pPr>
              <w:spacing w:after="0"/>
              <w:rPr>
                <w:sz w:val="12"/>
                <w:szCs w:val="12"/>
                <w:color w:val="auto"/>
              </w:rPr>
            </w:pPr>
          </w:p>
        </w:tc>
      </w:tr>
      <w:tr>
        <w:trPr>
          <w:trHeight w:val="142"/>
        </w:trPr>
        <w:tc>
          <w:tcPr>
            <w:tcW w:w="384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38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64,600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59,100</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126,100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113,400</w:t>
            </w:r>
          </w:p>
        </w:tc>
      </w:tr>
      <w:tr>
        <w:trPr>
          <w:trHeight w:val="144"/>
        </w:trPr>
        <w:tc>
          <w:tcPr>
            <w:tcW w:w="384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 and 2013</w:t>
            </w:r>
          </w:p>
        </w:tc>
        <w:tc>
          <w:tcPr>
            <w:tcW w:w="44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36,300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33,500</w:t>
            </w:r>
          </w:p>
        </w:tc>
        <w:tc>
          <w:tcPr>
            <w:tcW w:w="44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72,600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66,900</w:t>
            </w:r>
          </w:p>
        </w:tc>
      </w:tr>
      <w:tr>
        <w:trPr>
          <w:trHeight w:val="142"/>
        </w:trPr>
        <w:tc>
          <w:tcPr>
            <w:tcW w:w="38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100,900</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92,600</w:t>
            </w:r>
          </w:p>
        </w:tc>
        <w:tc>
          <w:tcPr>
            <w:tcW w:w="44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198,700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180,300</w:t>
            </w:r>
          </w:p>
        </w:tc>
      </w:tr>
      <w:tr>
        <w:trPr>
          <w:trHeight w:val="142"/>
        </w:trPr>
        <w:tc>
          <w:tcPr>
            <w:tcW w:w="38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3840" w:type="dxa"/>
            <w:vAlign w:val="bottom"/>
          </w:tcPr>
          <w:p>
            <w:pPr>
              <w:ind w:left="20"/>
              <w:spacing w:after="0"/>
              <w:rPr>
                <w:sz w:val="20"/>
                <w:szCs w:val="20"/>
                <w:color w:val="auto"/>
              </w:rPr>
            </w:pPr>
            <w:r>
              <w:rPr>
                <w:rFonts w:ascii="Arial" w:cs="Arial" w:eastAsia="Arial" w:hAnsi="Arial"/>
                <w:sz w:val="12"/>
                <w:szCs w:val="12"/>
                <w:color w:val="auto"/>
              </w:rPr>
              <w:t>General and administrative expense:</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38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w:t>
            </w:r>
          </w:p>
        </w:tc>
        <w:tc>
          <w:tcPr>
            <w:tcW w:w="4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33,300</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66,800</w:t>
            </w:r>
          </w:p>
        </w:tc>
        <w:tc>
          <w:tcPr>
            <w:tcW w:w="4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68,100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110,300</w:t>
            </w:r>
          </w:p>
        </w:tc>
      </w:tr>
      <w:tr>
        <w:trPr>
          <w:trHeight w:val="144"/>
        </w:trPr>
        <w:tc>
          <w:tcPr>
            <w:tcW w:w="3840" w:type="dxa"/>
            <w:vAlign w:val="bottom"/>
          </w:tcPr>
          <w:p>
            <w:pPr>
              <w:ind w:left="240"/>
              <w:spacing w:after="0"/>
              <w:rPr>
                <w:sz w:val="20"/>
                <w:szCs w:val="20"/>
                <w:color w:val="auto"/>
              </w:rPr>
            </w:pPr>
            <w:r>
              <w:rPr>
                <w:rFonts w:ascii="Arial" w:cs="Arial" w:eastAsia="Arial" w:hAnsi="Arial"/>
                <w:sz w:val="12"/>
                <w:szCs w:val="12"/>
                <w:color w:val="auto"/>
              </w:rPr>
              <w:t>Warrants granted to officers and directors in March 2014 and 2013</w:t>
            </w:r>
          </w:p>
        </w:tc>
        <w:tc>
          <w:tcPr>
            <w:tcW w:w="44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70,800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66,800</w:t>
            </w:r>
          </w:p>
        </w:tc>
        <w:tc>
          <w:tcPr>
            <w:tcW w:w="44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141,600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133,700</w:t>
            </w:r>
          </w:p>
        </w:tc>
      </w:tr>
      <w:tr>
        <w:trPr>
          <w:trHeight w:val="142"/>
        </w:trPr>
        <w:tc>
          <w:tcPr>
            <w:tcW w:w="38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3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104,100</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133,600</w:t>
            </w:r>
          </w:p>
        </w:tc>
        <w:tc>
          <w:tcPr>
            <w:tcW w:w="440" w:type="dxa"/>
            <w:vAlign w:val="bottom"/>
          </w:tcPr>
          <w:p>
            <w:pPr>
              <w:spacing w:after="0"/>
              <w:rPr>
                <w:sz w:val="12"/>
                <w:szCs w:val="12"/>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209,700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244,000</w:t>
            </w:r>
          </w:p>
        </w:tc>
      </w:tr>
      <w:tr>
        <w:trPr>
          <w:trHeight w:val="142"/>
        </w:trPr>
        <w:tc>
          <w:tcPr>
            <w:tcW w:w="38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384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205,000</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226,200</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2"/>
                <w:szCs w:val="12"/>
                <w:color w:val="auto"/>
              </w:rPr>
              <w:t>408,400</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2"/>
                <w:szCs w:val="12"/>
                <w:color w:val="auto"/>
              </w:rPr>
              <w:t>424,300</w:t>
            </w:r>
          </w:p>
        </w:tc>
      </w:tr>
      <w:tr>
        <w:trPr>
          <w:trHeight w:val="20"/>
        </w:trPr>
        <w:tc>
          <w:tcPr>
            <w:tcW w:w="38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did not grant options to employees or consultants during the six months ended September 30, 2014. During the six months ended September 30, 2013, we granted options to purchase an aggregate of 4,000 shares of our common stock at exercise prices from $16.00 per share to $16.40 per share (the quoted market price on the grant dates after giving effect to the Stock Consolidation) to two new employees and a consultant. At September 30, 2014, there were options outstanding to purchase 209,388 shares of our common stock at a post-Stock Consolidation weighted average exercise price of $10.07 per share.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 Liability</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have issued certain warrants to Platinum Long Term Growth VII, LLC, our largest investor (</w:t>
      </w:r>
      <w:r>
        <w:rPr>
          <w:rFonts w:ascii="Arial" w:cs="Arial" w:eastAsia="Arial" w:hAnsi="Arial"/>
          <w:sz w:val="12"/>
          <w:szCs w:val="12"/>
          <w:i w:val="1"/>
          <w:iCs w:val="1"/>
          <w:color w:val="auto"/>
        </w:rPr>
        <w:t>Platinum</w:t>
      </w:r>
      <w:r>
        <w:rPr>
          <w:rFonts w:ascii="Arial" w:cs="Arial" w:eastAsia="Arial" w:hAnsi="Arial"/>
          <w:sz w:val="12"/>
          <w:szCs w:val="12"/>
          <w:color w:val="auto"/>
        </w:rPr>
        <w:t xml:space="preserve">), and, subject to Platinum’s exercise of its rights to exchange shares of our Series A Preferred Stock that it holds, we are also obligated to issue an additional warrant to Platinum (collectively, the </w:t>
      </w:r>
      <w:r>
        <w:rPr>
          <w:rFonts w:ascii="Arial" w:cs="Arial" w:eastAsia="Arial" w:hAnsi="Arial"/>
          <w:sz w:val="12"/>
          <w:szCs w:val="12"/>
          <w:i w:val="1"/>
          <w:iCs w:val="1"/>
          <w:color w:val="auto"/>
        </w:rPr>
        <w:t>Platinum Warrants</w:t>
      </w:r>
      <w:r>
        <w:rPr>
          <w:rFonts w:ascii="Arial" w:cs="Arial" w:eastAsia="Arial" w:hAnsi="Arial"/>
          <w:sz w:val="12"/>
          <w:szCs w:val="12"/>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and Note 9</w:t>
      </w:r>
      <w:r>
        <w:rPr>
          <w:rFonts w:ascii="Arial" w:cs="Arial" w:eastAsia="Arial" w:hAnsi="Arial"/>
          <w:sz w:val="12"/>
          <w:szCs w:val="12"/>
          <w:i w:val="1"/>
          <w:iCs w:val="1"/>
          <w:color w:val="auto"/>
        </w:rPr>
        <w:t>, Capital Stock</w:t>
      </w:r>
      <w:r>
        <w:rPr>
          <w:rFonts w:ascii="Arial" w:cs="Arial" w:eastAsia="Arial" w:hAnsi="Arial"/>
          <w:sz w:val="12"/>
          <w:szCs w:val="12"/>
          <w:color w:val="auto"/>
        </w:rPr>
        <w:t>. We compute the fair value of the warrant liability at each reporting period and record the change in the fair value as non-cash expense or non-cash</w:t>
      </w:r>
      <w:r>
        <w:rPr>
          <w:rFonts w:ascii="Arial" w:cs="Arial" w:eastAsia="Arial" w:hAnsi="Arial"/>
          <w:sz w:val="12"/>
          <w:szCs w:val="12"/>
          <w:i w:val="1"/>
          <w:iCs w:val="1"/>
          <w:color w:val="auto"/>
        </w:rPr>
        <w:t xml:space="preserve"> </w:t>
      </w:r>
      <w:r>
        <w:rPr>
          <w:rFonts w:ascii="Arial" w:cs="Arial" w:eastAsia="Arial" w:hAnsi="Arial"/>
          <w:sz w:val="12"/>
          <w:szCs w:val="12"/>
          <w:color w:val="auto"/>
        </w:rPr>
        <w:t>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expense when our stock price increases and a decrease in the warrant liability and non-cash income when our stock price decreases.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 w:name="page10"/>
    <w:bookmarkEnd w:id="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Income (Loss)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have no components of other comprehensive income (loss) other than net income (loss), and accordingly our comprehensive income (loss) is equivalent to our net income (loss) for the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per Common Share</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outstanding warrants, only if dilutive, and increase the denominator to include the number of potentially dilutive common shares assumed to be outstanding during the period using the treasury stock method. As a result of our net loss for the periods presented, potentially dilutive securities were excluded from the computation, as their effect would be antidilutive. Potentially dilutive securities were assumed to be converted into common shares and outstanding during the periods for purposes of calculating diluted earnings per share as indicated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gridSpan w:val="2"/>
          </w:tcPr>
          <w:p>
            <w:pPr>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2"/>
                <w:szCs w:val="12"/>
                <w:color w:val="auto"/>
              </w:rPr>
              <w:t>Quarters Ended</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2"/>
                <w:szCs w:val="12"/>
                <w:color w:val="auto"/>
              </w:rPr>
              <w:t>Six Months Ended</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2"/>
                <w:szCs w:val="12"/>
                <w:color w:val="auto"/>
              </w:rPr>
              <w:t>September 30,</w:t>
            </w: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September 30,</w:t>
            </w: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Numerator:</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tcPr>
          <w:p>
            <w:pPr>
              <w:ind w:left="12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72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(2,020,900)</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(1,459,800)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(6,574,200)</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(1,274,100)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w w:val="92"/>
              </w:rPr>
              <w:t>less: change in fair value of warrant liability attributable to Exchange, Investment and Bridge Warrants issued to</w:t>
            </w: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Platinum</w:t>
            </w: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(441,700)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(84,200)</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(733,500)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ind w:left="12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4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(2,462,600)</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(1,544,000)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(6,574,200)</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2"/>
                <w:szCs w:val="12"/>
                <w:color w:val="auto"/>
              </w:rPr>
              <w:t>(2,007,600)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5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00" w:type="dxa"/>
            <w:vAlign w:val="bottom"/>
          </w:tcPr>
          <w:p>
            <w:pPr>
              <w:spacing w:after="0"/>
              <w:rPr>
                <w:sz w:val="20"/>
                <w:szCs w:val="20"/>
                <w:color w:val="auto"/>
              </w:rPr>
            </w:pPr>
            <w:r>
              <w:rPr>
                <w:rFonts w:ascii="Arial" w:cs="Arial" w:eastAsia="Arial" w:hAnsi="Arial"/>
                <w:sz w:val="12"/>
                <w:szCs w:val="12"/>
                <w:color w:val="auto"/>
              </w:rPr>
              <w:t>Denominator:</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Weighted average basic common shares outstanding</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1,279,251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1,081,529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1,254,506</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1,061,266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tcPr>
          <w:p>
            <w:pPr>
              <w:ind w:left="260"/>
              <w:spacing w:after="0"/>
              <w:rPr>
                <w:sz w:val="20"/>
                <w:szCs w:val="20"/>
                <w:color w:val="auto"/>
              </w:rPr>
            </w:pPr>
            <w:r>
              <w:rPr>
                <w:rFonts w:ascii="Arial" w:cs="Arial" w:eastAsia="Arial" w:hAnsi="Arial"/>
                <w:sz w:val="12"/>
                <w:szCs w:val="12"/>
                <w:color w:val="auto"/>
              </w:rPr>
              <w:t>Assumed conversion of dilutive securities: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Warrants to purchase common stock</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19,848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46,622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2"/>
                <w:szCs w:val="12"/>
                <w:color w:val="auto"/>
              </w:rPr>
              <w:t>Potentially dilutive common shares assumed converted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19,848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color w:val="auto"/>
              </w:rPr>
              <w:t>46,622</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51,409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Denominator for diluted earnings per share - adjusted weighted average shares</w:t>
            </w: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1,299,099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1,128,152</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1,254,506</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1,112,675</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60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(1.58)</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(5.24)</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5600" w:type="dxa"/>
            <w:vAlign w:val="bottom"/>
          </w:tcPr>
          <w:p>
            <w:pPr>
              <w:spacing w:after="0" w:line="120" w:lineRule="exact"/>
              <w:rPr>
                <w:sz w:val="20"/>
                <w:szCs w:val="20"/>
                <w:color w:val="auto"/>
              </w:rPr>
            </w:pPr>
            <w:r>
              <w:rPr>
                <w:rFonts w:ascii="Arial" w:cs="Arial" w:eastAsia="Arial" w:hAnsi="Arial"/>
                <w:sz w:val="12"/>
                <w:szCs w:val="12"/>
                <w:color w:val="auto"/>
              </w:rPr>
              <w:t>Diluted net loss attributable to common stockholders per common share</w:t>
            </w:r>
          </w:p>
        </w:tc>
        <w:tc>
          <w:tcPr>
            <w:tcW w:w="460" w:type="dxa"/>
            <w:vAlign w:val="bottom"/>
          </w:tcPr>
          <w:p>
            <w:pPr>
              <w:spacing w:after="0"/>
              <w:rPr>
                <w:sz w:val="10"/>
                <w:szCs w:val="1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20" w:lineRule="exact"/>
              <w:rPr>
                <w:sz w:val="20"/>
                <w:szCs w:val="20"/>
                <w:color w:val="auto"/>
              </w:rPr>
            </w:pPr>
            <w:r>
              <w:rPr>
                <w:rFonts w:ascii="Arial" w:cs="Arial" w:eastAsia="Arial" w:hAnsi="Arial"/>
                <w:sz w:val="12"/>
                <w:szCs w:val="12"/>
                <w:color w:val="auto"/>
              </w:rPr>
              <w:t>(1.90)</w:t>
            </w:r>
          </w:p>
        </w:tc>
        <w:tc>
          <w:tcPr>
            <w:tcW w:w="460" w:type="dxa"/>
            <w:vAlign w:val="bottom"/>
            <w:gridSpan w:val="2"/>
          </w:tcPr>
          <w:p>
            <w:pPr>
              <w:jc w:val="right"/>
              <w:ind w:right="300"/>
              <w:spacing w:after="0" w:line="120"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00"/>
              <w:spacing w:after="0" w:line="120" w:lineRule="exact"/>
              <w:rPr>
                <w:sz w:val="20"/>
                <w:szCs w:val="20"/>
                <w:color w:val="auto"/>
              </w:rPr>
            </w:pPr>
            <w:r>
              <w:rPr>
                <w:rFonts w:ascii="Arial" w:cs="Arial" w:eastAsia="Arial" w:hAnsi="Arial"/>
                <w:sz w:val="12"/>
                <w:szCs w:val="12"/>
                <w:color w:val="auto"/>
              </w:rPr>
              <w:t>(1.37)</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line="120" w:lineRule="exact"/>
              <w:rPr>
                <w:sz w:val="20"/>
                <w:szCs w:val="20"/>
                <w:color w:val="auto"/>
              </w:rPr>
            </w:pPr>
            <w:r>
              <w:rPr>
                <w:rFonts w:ascii="Arial" w:cs="Arial" w:eastAsia="Arial" w:hAnsi="Arial"/>
                <w:sz w:val="12"/>
                <w:szCs w:val="12"/>
                <w:color w:val="auto"/>
              </w:rPr>
              <w:t>(5.24)</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60" w:type="dxa"/>
            <w:vAlign w:val="bottom"/>
            <w:vMerge w:val="restart"/>
          </w:tcPr>
          <w:p>
            <w:pPr>
              <w:jc w:val="right"/>
              <w:ind w:right="220"/>
              <w:spacing w:after="0"/>
              <w:rPr>
                <w:sz w:val="20"/>
                <w:szCs w:val="20"/>
                <w:color w:val="auto"/>
              </w:rPr>
            </w:pPr>
            <w:r>
              <w:rPr>
                <w:rFonts w:ascii="Arial" w:cs="Arial" w:eastAsia="Arial" w:hAnsi="Arial"/>
                <w:sz w:val="12"/>
                <w:szCs w:val="12"/>
                <w:color w:val="auto"/>
              </w:rPr>
              <w:t>-8-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6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15"/>
        </w:trPr>
        <w:tc>
          <w:tcPr>
            <w:tcW w:w="9100" w:type="dxa"/>
            <w:vAlign w:val="bottom"/>
            <w:gridSpan w:val="5"/>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100" w:type="dxa"/>
            <w:vAlign w:val="bottom"/>
            <w:gridSpan w:val="5"/>
          </w:tcPr>
          <w:p>
            <w:pPr>
              <w:spacing w:after="0"/>
              <w:rPr>
                <w:sz w:val="20"/>
                <w:szCs w:val="20"/>
                <w:color w:val="auto"/>
              </w:rPr>
            </w:pPr>
            <w:r>
              <w:rPr>
                <w:rFonts w:ascii="Arial" w:cs="Arial" w:eastAsia="Arial" w:hAnsi="Arial"/>
                <w:sz w:val="12"/>
                <w:szCs w:val="12"/>
                <w:color w:val="auto"/>
              </w:rPr>
              <w:t>Potentially dilutive securities excluded in determining diluted net loss per common share are as follows: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w w:val="97"/>
              </w:rPr>
              <w:t>As of September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2014</w:t>
            </w:r>
          </w:p>
        </w:tc>
        <w:tc>
          <w:tcPr>
            <w:tcW w:w="5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gridSpan w:val="4"/>
            <w:shd w:val="clear" w:color="auto" w:fill="CCEEFF"/>
          </w:tcPr>
          <w:p>
            <w:pPr>
              <w:spacing w:after="0" w:line="142"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750,000</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80" w:type="dxa"/>
            <w:vAlign w:val="bottom"/>
            <w:gridSpan w:val="4"/>
          </w:tcPr>
          <w:p>
            <w:pPr>
              <w:spacing w:after="0" w:line="136" w:lineRule="exact"/>
              <w:rPr>
                <w:sz w:val="20"/>
                <w:szCs w:val="20"/>
                <w:color w:val="auto"/>
              </w:rPr>
            </w:pPr>
            <w:r>
              <w:rPr>
                <w:rFonts w:ascii="Arial" w:cs="Arial" w:eastAsia="Arial" w:hAnsi="Arial"/>
                <w:sz w:val="12"/>
                <w:szCs w:val="12"/>
                <w:color w:val="auto"/>
              </w:rPr>
              <w:t>Warrant shares issuable to Platinum upon exercise of common stock warrants by Platinum upon exchange of Series A Preferred under the terms of the October 11,</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0" w:type="dxa"/>
            <w:vAlign w:val="bottom"/>
            <w:gridSpan w:val="3"/>
          </w:tcPr>
          <w:p>
            <w:pPr>
              <w:spacing w:after="0"/>
              <w:rPr>
                <w:sz w:val="20"/>
                <w:szCs w:val="20"/>
                <w:color w:val="auto"/>
              </w:rPr>
            </w:pPr>
            <w:r>
              <w:rPr>
                <w:rFonts w:ascii="Arial" w:cs="Arial" w:eastAsia="Arial" w:hAnsi="Arial"/>
                <w:sz w:val="12"/>
                <w:szCs w:val="12"/>
                <w:color w:val="auto"/>
              </w:rPr>
              <w:t>2012 Note Exchange and Purchase Agreement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375,000</w:t>
            </w:r>
          </w:p>
        </w:tc>
        <w:tc>
          <w:tcPr>
            <w:tcW w:w="50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8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209,388</w:t>
            </w:r>
          </w:p>
        </w:tc>
        <w:tc>
          <w:tcPr>
            <w:tcW w:w="5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239,406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80" w:type="dxa"/>
            <w:vAlign w:val="bottom"/>
            <w:gridSpan w:val="4"/>
          </w:tcPr>
          <w:p>
            <w:pPr>
              <w:spacing w:after="0"/>
              <w:rPr>
                <w:sz w:val="20"/>
                <w:szCs w:val="20"/>
                <w:color w:val="auto"/>
              </w:rPr>
            </w:pPr>
            <w:r>
              <w:rPr>
                <w:rFonts w:ascii="Arial" w:cs="Arial" w:eastAsia="Arial" w:hAnsi="Arial"/>
                <w:sz w:val="12"/>
                <w:szCs w:val="12"/>
                <w:color w:val="auto"/>
              </w:rPr>
              <w:t>Outstanding warrants to purchase common stock</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962,758</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733,737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8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10% convertible Exchange Note and Investment Notes issued to Platinum in October 2012, February 2013 and March 2013, including accrued interest through</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0" w:type="dxa"/>
            <w:vAlign w:val="bottom"/>
            <w:gridSpan w:val="3"/>
            <w:shd w:val="clear" w:color="auto" w:fill="CCEEFF"/>
          </w:tcPr>
          <w:p>
            <w:pPr>
              <w:spacing w:after="0" w:line="153" w:lineRule="exact"/>
              <w:rPr>
                <w:sz w:val="20"/>
                <w:szCs w:val="20"/>
                <w:color w:val="auto"/>
              </w:rPr>
            </w:pPr>
            <w:r>
              <w:rPr>
                <w:rFonts w:ascii="Arial" w:cs="Arial" w:eastAsia="Arial" w:hAnsi="Arial"/>
                <w:sz w:val="12"/>
                <w:szCs w:val="12"/>
                <w:color w:val="auto"/>
              </w:rPr>
              <w:t xml:space="preserve">September 30, 2014 and 2013, respectively </w:t>
            </w:r>
            <w:r>
              <w:rPr>
                <w:rFonts w:ascii="Arial" w:cs="Arial" w:eastAsia="Arial" w:hAnsi="Arial"/>
                <w:sz w:val="16"/>
                <w:szCs w:val="16"/>
                <w:color w:val="auto"/>
                <w:vertAlign w:val="superscript"/>
              </w:rPr>
              <w:t>(2)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394,258</w:t>
            </w:r>
          </w:p>
        </w:tc>
        <w:tc>
          <w:tcPr>
            <w:tcW w:w="5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356,397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80" w:type="dxa"/>
            <w:vAlign w:val="bottom"/>
            <w:gridSpan w:val="4"/>
          </w:tcPr>
          <w:p>
            <w:pPr>
              <w:spacing w:after="0"/>
              <w:rPr>
                <w:sz w:val="20"/>
                <w:szCs w:val="20"/>
                <w:color w:val="auto"/>
              </w:rPr>
            </w:pPr>
            <w:r>
              <w:rPr>
                <w:rFonts w:ascii="Arial" w:cs="Arial" w:eastAsia="Arial" w:hAnsi="Arial"/>
                <w:sz w:val="12"/>
                <w:szCs w:val="12"/>
                <w:color w:val="auto"/>
              </w:rPr>
              <w:t>10% convertible note issued to Platinum on July 26, 2013, including accrued interest through March 31, 2014 through September 30, 2014 and 2013, respectively</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28,166</w:t>
            </w:r>
          </w:p>
        </w:tc>
        <w:tc>
          <w:tcPr>
            <w:tcW w:w="50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25,461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8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 accrued interest through September 30,</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0" w:type="dxa"/>
            <w:vAlign w:val="bottom"/>
            <w:gridSpan w:val="3"/>
            <w:shd w:val="clear" w:color="auto" w:fill="CCEEFF"/>
          </w:tcPr>
          <w:p>
            <w:pPr>
              <w:spacing w:after="0" w:line="153" w:lineRule="exact"/>
              <w:rPr>
                <w:sz w:val="20"/>
                <w:szCs w:val="20"/>
                <w:color w:val="auto"/>
              </w:rPr>
            </w:pPr>
            <w:r>
              <w:rPr>
                <w:rFonts w:ascii="Arial" w:cs="Arial" w:eastAsia="Arial" w:hAnsi="Arial"/>
                <w:sz w:val="12"/>
                <w:szCs w:val="12"/>
                <w:color w:val="auto"/>
              </w:rPr>
              <w:t xml:space="preserve">2014 and 2013, respectively </w:t>
            </w:r>
            <w:r>
              <w:rPr>
                <w:rFonts w:ascii="Arial" w:cs="Arial" w:eastAsia="Arial" w:hAnsi="Arial"/>
                <w:sz w:val="16"/>
                <w:szCs w:val="16"/>
                <w:color w:val="auto"/>
                <w:vertAlign w:val="superscript"/>
              </w:rPr>
              <w:t>(3)</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281,396</w:t>
            </w:r>
          </w:p>
        </w:tc>
        <w:tc>
          <w:tcPr>
            <w:tcW w:w="5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20,806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gridSpan w:val="2"/>
          </w:tcPr>
          <w:p>
            <w:pPr>
              <w:spacing w:after="0"/>
              <w:rPr>
                <w:sz w:val="12"/>
                <w:szCs w:val="12"/>
                <w:color w:val="auto"/>
              </w:rPr>
            </w:pPr>
          </w:p>
        </w:tc>
        <w:tc>
          <w:tcPr>
            <w:tcW w:w="75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3,000,966</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2,500,807</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00" w:type="dxa"/>
            <w:vAlign w:val="bottom"/>
            <w:gridSpan w:val="2"/>
          </w:tcPr>
          <w:p>
            <w:pPr>
              <w:spacing w:after="0"/>
              <w:rPr>
                <w:sz w:val="20"/>
                <w:szCs w:val="20"/>
                <w:color w:val="auto"/>
              </w:rPr>
            </w:pPr>
            <w:r>
              <w:rPr>
                <w:rFonts w:ascii="Arial" w:cs="Arial" w:eastAsia="Arial" w:hAnsi="Arial"/>
                <w:sz w:val="8"/>
                <w:szCs w:val="8"/>
                <w:color w:val="auto"/>
                <w:w w:val="81"/>
              </w:rPr>
              <w:t>(1)</w:t>
            </w:r>
          </w:p>
        </w:tc>
        <w:tc>
          <w:tcPr>
            <w:tcW w:w="9000" w:type="dxa"/>
            <w:vAlign w:val="bottom"/>
            <w:gridSpan w:val="3"/>
          </w:tcPr>
          <w:p>
            <w:pPr>
              <w:ind w:left="40"/>
              <w:spacing w:after="0"/>
              <w:rPr>
                <w:sz w:val="20"/>
                <w:szCs w:val="20"/>
                <w:color w:val="auto"/>
              </w:rPr>
            </w:pPr>
            <w:r>
              <w:rPr>
                <w:rFonts w:ascii="Arial" w:cs="Arial" w:eastAsia="Arial" w:hAnsi="Arial"/>
                <w:sz w:val="12"/>
                <w:szCs w:val="12"/>
                <w:color w:val="auto"/>
              </w:rPr>
              <w:t>Assumes exchange under the terms of the October 11, 2012 Note Exchange and Purchase Agreement with Platinum</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00" w:type="dxa"/>
            <w:vAlign w:val="bottom"/>
            <w:gridSpan w:val="2"/>
          </w:tcPr>
          <w:p>
            <w:pPr>
              <w:spacing w:after="0"/>
              <w:rPr>
                <w:sz w:val="20"/>
                <w:szCs w:val="20"/>
                <w:color w:val="auto"/>
              </w:rPr>
            </w:pPr>
            <w:r>
              <w:rPr>
                <w:rFonts w:ascii="Arial" w:cs="Arial" w:eastAsia="Arial" w:hAnsi="Arial"/>
                <w:sz w:val="8"/>
                <w:szCs w:val="8"/>
                <w:color w:val="auto"/>
                <w:w w:val="81"/>
              </w:rPr>
              <w:t>(2)</w:t>
            </w:r>
          </w:p>
        </w:tc>
        <w:tc>
          <w:tcPr>
            <w:tcW w:w="9000" w:type="dxa"/>
            <w:vAlign w:val="bottom"/>
            <w:gridSpan w:val="3"/>
          </w:tcPr>
          <w:p>
            <w:pPr>
              <w:ind w:left="40"/>
              <w:spacing w:after="0"/>
              <w:rPr>
                <w:sz w:val="20"/>
                <w:szCs w:val="20"/>
                <w:color w:val="auto"/>
              </w:rPr>
            </w:pPr>
            <w:r>
              <w:rPr>
                <w:rFonts w:ascii="Arial" w:cs="Arial" w:eastAsia="Arial" w:hAnsi="Arial"/>
                <w:sz w:val="12"/>
                <w:szCs w:val="12"/>
                <w:color w:val="auto"/>
              </w:rPr>
              <w:t>Assumes conversion under the terms of the October 11, 2012 Note Exchange and Purchase Agreement with Platinum and the terms of the individual notes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100" w:type="dxa"/>
            <w:vAlign w:val="bottom"/>
            <w:gridSpan w:val="5"/>
          </w:tcPr>
          <w:p>
            <w:pPr>
              <w:spacing w:after="0"/>
              <w:rPr>
                <w:sz w:val="20"/>
                <w:szCs w:val="20"/>
                <w:color w:val="auto"/>
              </w:rPr>
            </w:pPr>
            <w:r>
              <w:rPr>
                <w:rFonts w:ascii="Arial" w:cs="Arial" w:eastAsia="Arial" w:hAnsi="Arial"/>
                <w:sz w:val="16"/>
                <w:szCs w:val="16"/>
                <w:color w:val="auto"/>
                <w:vertAlign w:val="superscript"/>
              </w:rPr>
              <w:t>(3)</w:t>
            </w:r>
            <w:r>
              <w:rPr>
                <w:rFonts w:ascii="Arial" w:cs="Arial" w:eastAsia="Arial" w:hAnsi="Arial"/>
                <w:sz w:val="12"/>
                <w:szCs w:val="12"/>
                <w:color w:val="auto"/>
              </w:rPr>
              <w:t xml:space="preserve"> Excludes effect of conversion premium upon conversion into securities which may be issued in a Qualified Financing, as defined in the notes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quarter of our fiscal year ending March 31, 2018, using one of two retrospective application methods. We have not determined the potential effects of adopting this ASU on our consolidated financial statements.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no 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Condensed Consolidated Statements of Operations and Comprehensive Loss and Condensed Consolidated Statements of Cash Flows.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1" w:name="page12"/>
    <w:bookmarkEnd w:id="1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309" w:lineRule="auto"/>
        <w:rPr>
          <w:sz w:val="20"/>
          <w:szCs w:val="20"/>
          <w:color w:val="auto"/>
        </w:rPr>
      </w:pPr>
      <w:r>
        <w:rPr>
          <w:rFonts w:ascii="Arial" w:cs="Arial" w:eastAsia="Arial" w:hAnsi="Arial"/>
          <w:sz w:val="10"/>
          <w:szCs w:val="10"/>
          <w:color w:val="auto"/>
        </w:rPr>
        <w:t xml:space="preserve">In August 2014, the FASB issued ASU No. 2014-15, </w:t>
      </w:r>
      <w:r>
        <w:rPr>
          <w:rFonts w:ascii="Arial" w:cs="Arial" w:eastAsia="Arial" w:hAnsi="Arial"/>
          <w:sz w:val="10"/>
          <w:szCs w:val="10"/>
          <w:i w:val="1"/>
          <w:iCs w:val="1"/>
          <w:color w:val="auto"/>
        </w:rPr>
        <w:t>Presentation of Financial Statements—Going Concern (Subtopic 205-40): Disclosure of Uncertainties about an Entity’s Ability to Continue as a Going Concern.</w:t>
      </w:r>
      <w:r>
        <w:rPr>
          <w:rFonts w:ascii="Arial" w:cs="Arial" w:eastAsia="Arial" w:hAnsi="Arial"/>
          <w:sz w:val="10"/>
          <w:szCs w:val="10"/>
          <w:color w:val="auto"/>
        </w:rPr>
        <w:t xml:space="preserve"> The amendments in this ASU define when and how an entity is required to disclose going concern 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0"/>
          <w:szCs w:val="10"/>
          <w:i w:val="1"/>
          <w:iCs w:val="1"/>
          <w:color w:val="auto"/>
        </w:rPr>
        <w:t>Contingencies</w:t>
      </w:r>
      <w:r>
        <w:rPr>
          <w:rFonts w:ascii="Arial" w:cs="Arial" w:eastAsia="Arial" w:hAnsi="Arial"/>
          <w:sz w:val="10"/>
          <w:szCs w:val="10"/>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2014, our auditors indicated that there was substantial doubt about our ability to continue as a going concern. Although we have not yet adopted ASU 2014-15, we have indicated in Note 2, </w:t>
      </w:r>
      <w:r>
        <w:rPr>
          <w:rFonts w:ascii="Arial" w:cs="Arial" w:eastAsia="Arial" w:hAnsi="Arial"/>
          <w:sz w:val="10"/>
          <w:szCs w:val="10"/>
          <w:i w:val="1"/>
          <w:iCs w:val="1"/>
          <w:color w:val="auto"/>
        </w:rPr>
        <w:t>Basis of Presentation and Going Concern</w:t>
      </w:r>
      <w:r>
        <w:rPr>
          <w:rFonts w:ascii="Arial" w:cs="Arial" w:eastAsia="Arial" w:hAnsi="Arial"/>
          <w:sz w:val="10"/>
          <w:szCs w:val="10"/>
          <w:color w:val="auto"/>
        </w:rPr>
        <w:t>, management’s plans for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Fair Value Measurements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and classify fair value into three broad levels is described as follows:</w:t>
      </w:r>
    </w:p>
    <w:p>
      <w:pPr>
        <w:spacing w:after="0" w:line="127" w:lineRule="exact"/>
        <w:rPr>
          <w:sz w:val="20"/>
          <w:szCs w:val="20"/>
          <w:color w:val="auto"/>
        </w:rPr>
      </w:pPr>
    </w:p>
    <w:p>
      <w:pPr>
        <w:ind w:left="540" w:hanging="310"/>
        <w:spacing w:after="0"/>
        <w:tabs>
          <w:tab w:leader="none" w:pos="540" w:val="left"/>
        </w:tabs>
        <w:numPr>
          <w:ilvl w:val="1"/>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500" w:right="20" w:hanging="288"/>
        <w:spacing w:after="0" w:line="276"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 be</w:t>
      </w:r>
      <w:r>
        <w:rPr>
          <w:rFonts w:ascii="Arial" w:cs="Arial" w:eastAsia="Arial" w:hAnsi="Arial"/>
          <w:sz w:val="12"/>
          <w:szCs w:val="12"/>
          <w:i w:val="1"/>
          <w:iCs w:val="1"/>
          <w:color w:val="auto"/>
        </w:rPr>
        <w:t xml:space="preserve"> </w:t>
      </w:r>
      <w:r>
        <w:rPr>
          <w:rFonts w:ascii="Arial" w:cs="Arial" w:eastAsia="Arial" w:hAnsi="Arial"/>
          <w:sz w:val="12"/>
          <w:szCs w:val="12"/>
          <w:color w:val="auto"/>
        </w:rPr>
        <w:t>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500" w:hanging="288"/>
        <w:spacing w:after="0" w:line="276" w:lineRule="auto"/>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 or</w:t>
      </w:r>
      <w:r>
        <w:rPr>
          <w:rFonts w:ascii="Arial" w:cs="Arial" w:eastAsia="Arial" w:hAnsi="Arial"/>
          <w:sz w:val="12"/>
          <w:szCs w:val="12"/>
          <w:i w:val="1"/>
          <w:iCs w:val="1"/>
          <w:color w:val="auto"/>
        </w:rPr>
        <w:t xml:space="preserve"> </w:t>
      </w:r>
      <w:r>
        <w:rPr>
          <w:rFonts w:ascii="Arial" w:cs="Arial" w:eastAsia="Arial" w:hAnsi="Arial"/>
          <w:sz w:val="12"/>
          <w:szCs w:val="12"/>
          <w:color w:val="auto"/>
        </w:rPr>
        <w:t>no market data is available. The fair value hierarchy gives the lowest priority to Level 3 inputs.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 w:name="page13"/>
    <w:bookmarkEnd w:id="1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We do not use derivative instruments for hedging of market risks or for trading or speculative purposes. In conjunction with the issuance of the Senior Secured Convertible Promissory Notes and related Exchange Warrant and Investment Warrants to Platinum in October 2012, February 2013, March 2013, and the potential issuance of the Series A Exchange Warrant (see Note 9,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all pursuant to the Note Exchange and Purchase Agreement of October 2012 between the Company and Platinum (see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and the issuance of the warrant related to the Senior Secured Convertible Promissory Note issued to Platinum in July 2013, we determined that the Platinum Warrants included certain exercise price adjustment features requiring the warrants to be treated as non-cash liabilities, which were recorded at their estimated fair value. We determined the initial fair value of the warrant liability using a Monte Carlo simulation model with Level 3 inputs or the Black-Scholes Option Pricing model. Inputs used to determine fair value include the remaining contractual term of the Platinum Warrants, risk-free interest rates, expected volatility of the price of the underlying common stock, and the probability of a financing transaction or other equity issuance that would trigger a reset in the exercise price of the Platinum Warrants, and, in the case of the Series A Exchange Warrant, the probability of Platinum’s exchange of the shares of Series A preferred stock it holds into shares of common stock. We have recognized the change in the fair value of these warrant liabilities since March 31, 2014 and 2013, respectively, as a non-cash component of other expense, net in the Condensed Consolidated Statements of Operations and Comprehensive Income (Loss) for the three and six months ended September 30, 2014 and 2013.</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hierarchy for the warrant liability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2"/>
          </w:tcPr>
          <w:p>
            <w:pPr>
              <w:jc w:val="center"/>
              <w:ind w:right="300"/>
              <w:spacing w:after="0" w:line="129" w:lineRule="exact"/>
              <w:rPr>
                <w:sz w:val="20"/>
                <w:szCs w:val="20"/>
                <w:color w:val="auto"/>
              </w:rPr>
            </w:pPr>
            <w:r>
              <w:rPr>
                <w:rFonts w:ascii="Arial" w:cs="Arial" w:eastAsia="Arial" w:hAnsi="Arial"/>
                <w:sz w:val="12"/>
                <w:szCs w:val="12"/>
                <w:b w:val="1"/>
                <w:bCs w:val="1"/>
                <w:color w:val="auto"/>
                <w:w w:val="90"/>
              </w:rPr>
              <w:t>Quoted Prices in Active</w:t>
            </w:r>
          </w:p>
        </w:tc>
        <w:tc>
          <w:tcPr>
            <w:tcW w:w="140" w:type="dxa"/>
            <w:vAlign w:val="bottom"/>
          </w:tcPr>
          <w:p>
            <w:pPr>
              <w:spacing w:after="0"/>
              <w:rPr>
                <w:sz w:val="11"/>
                <w:szCs w:val="11"/>
                <w:color w:val="auto"/>
              </w:rPr>
            </w:pPr>
          </w:p>
        </w:tc>
        <w:tc>
          <w:tcPr>
            <w:tcW w:w="1220" w:type="dxa"/>
            <w:vAlign w:val="bottom"/>
          </w:tcPr>
          <w:p>
            <w:pPr>
              <w:jc w:val="center"/>
              <w:ind w:right="80"/>
              <w:spacing w:after="0" w:line="129" w:lineRule="exact"/>
              <w:rPr>
                <w:sz w:val="20"/>
                <w:szCs w:val="20"/>
                <w:color w:val="auto"/>
              </w:rPr>
            </w:pPr>
            <w:r>
              <w:rPr>
                <w:rFonts w:ascii="Arial" w:cs="Arial" w:eastAsia="Arial" w:hAnsi="Arial"/>
                <w:sz w:val="12"/>
                <w:szCs w:val="12"/>
                <w:b w:val="1"/>
                <w:bCs w:val="1"/>
                <w:color w:val="auto"/>
                <w:w w:val="90"/>
              </w:rPr>
              <w:t>Significant Other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0"/>
              </w:rPr>
              <w:t>Total</w:t>
            </w:r>
          </w:p>
        </w:tc>
        <w:tc>
          <w:tcPr>
            <w:tcW w:w="60" w:type="dxa"/>
            <w:vAlign w:val="bottom"/>
          </w:tcPr>
          <w:p>
            <w:pPr>
              <w:spacing w:after="0"/>
              <w:rPr>
                <w:sz w:val="12"/>
                <w:szCs w:val="12"/>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Markets for Identical</w:t>
            </w:r>
          </w:p>
        </w:tc>
        <w:tc>
          <w:tcPr>
            <w:tcW w:w="140" w:type="dxa"/>
            <w:vAlign w:val="bottom"/>
          </w:tcPr>
          <w:p>
            <w:pPr>
              <w:spacing w:after="0"/>
              <w:rPr>
                <w:sz w:val="12"/>
                <w:szCs w:val="12"/>
                <w:color w:val="auto"/>
              </w:rPr>
            </w:pPr>
          </w:p>
        </w:tc>
        <w:tc>
          <w:tcPr>
            <w:tcW w:w="1220" w:type="dxa"/>
            <w:vAlign w:val="bottom"/>
          </w:tcPr>
          <w:p>
            <w:pPr>
              <w:jc w:val="center"/>
              <w:ind w:right="80"/>
              <w:spacing w:after="0"/>
              <w:rPr>
                <w:sz w:val="20"/>
                <w:szCs w:val="20"/>
                <w:color w:val="auto"/>
              </w:rPr>
            </w:pPr>
            <w:r>
              <w:rPr>
                <w:rFonts w:ascii="Arial" w:cs="Arial" w:eastAsia="Arial" w:hAnsi="Arial"/>
                <w:sz w:val="12"/>
                <w:szCs w:val="12"/>
                <w:b w:val="1"/>
                <w:bCs w:val="1"/>
                <w:color w:val="auto"/>
                <w:w w:val="91"/>
              </w:rPr>
              <w:t>Observable</w:t>
            </w:r>
          </w:p>
        </w:tc>
        <w:tc>
          <w:tcPr>
            <w:tcW w:w="220" w:type="dxa"/>
            <w:vAlign w:val="bottom"/>
          </w:tcPr>
          <w:p>
            <w:pPr>
              <w:spacing w:after="0"/>
              <w:rPr>
                <w:sz w:val="12"/>
                <w:szCs w:val="12"/>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8"/>
              </w:rPr>
              <w:t>Significant Unobservable</w:t>
            </w: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7"/>
              </w:rPr>
              <w:t>Carrying</w:t>
            </w:r>
          </w:p>
        </w:tc>
        <w:tc>
          <w:tcPr>
            <w:tcW w:w="60" w:type="dxa"/>
            <w:vAlign w:val="bottom"/>
          </w:tcPr>
          <w:p>
            <w:pPr>
              <w:spacing w:after="0"/>
              <w:rPr>
                <w:sz w:val="12"/>
                <w:szCs w:val="12"/>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1"/>
              </w:rPr>
              <w:t>Assets</w:t>
            </w:r>
          </w:p>
        </w:tc>
        <w:tc>
          <w:tcPr>
            <w:tcW w:w="140" w:type="dxa"/>
            <w:vAlign w:val="bottom"/>
          </w:tcPr>
          <w:p>
            <w:pPr>
              <w:spacing w:after="0"/>
              <w:rPr>
                <w:sz w:val="12"/>
                <w:szCs w:val="12"/>
                <w:color w:val="auto"/>
              </w:rPr>
            </w:pPr>
          </w:p>
        </w:tc>
        <w:tc>
          <w:tcPr>
            <w:tcW w:w="1220" w:type="dxa"/>
            <w:vAlign w:val="bottom"/>
          </w:tcPr>
          <w:p>
            <w:pPr>
              <w:jc w:val="center"/>
              <w:ind w:right="80"/>
              <w:spacing w:after="0"/>
              <w:rPr>
                <w:sz w:val="20"/>
                <w:szCs w:val="20"/>
                <w:color w:val="auto"/>
              </w:rPr>
            </w:pPr>
            <w:r>
              <w:rPr>
                <w:rFonts w:ascii="Arial" w:cs="Arial" w:eastAsia="Arial" w:hAnsi="Arial"/>
                <w:sz w:val="12"/>
                <w:szCs w:val="12"/>
                <w:b w:val="1"/>
                <w:bCs w:val="1"/>
                <w:color w:val="auto"/>
                <w:w w:val="88"/>
              </w:rPr>
              <w:t>Inputs</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4"/>
              </w:rPr>
              <w:t>Inputs</w:t>
            </w:r>
          </w:p>
        </w:tc>
      </w:tr>
      <w:tr>
        <w:trPr>
          <w:trHeight w:val="157"/>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87"/>
              </w:rPr>
              <w:t>Value</w:t>
            </w:r>
          </w:p>
        </w:tc>
        <w:tc>
          <w:tcPr>
            <w:tcW w:w="60" w:type="dxa"/>
            <w:vAlign w:val="bottom"/>
          </w:tcPr>
          <w:p>
            <w:pPr>
              <w:spacing w:after="0"/>
              <w:rPr>
                <w:sz w:val="13"/>
                <w:szCs w:val="13"/>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(Level 1)</w:t>
            </w:r>
          </w:p>
        </w:tc>
        <w:tc>
          <w:tcPr>
            <w:tcW w:w="140" w:type="dxa"/>
            <w:vAlign w:val="bottom"/>
          </w:tcPr>
          <w:p>
            <w:pPr>
              <w:spacing w:after="0"/>
              <w:rPr>
                <w:sz w:val="13"/>
                <w:szCs w:val="13"/>
                <w:color w:val="auto"/>
              </w:rPr>
            </w:pPr>
          </w:p>
        </w:tc>
        <w:tc>
          <w:tcPr>
            <w:tcW w:w="1220" w:type="dxa"/>
            <w:vAlign w:val="bottom"/>
          </w:tcPr>
          <w:p>
            <w:pPr>
              <w:jc w:val="center"/>
              <w:ind w:right="80"/>
              <w:spacing w:after="0"/>
              <w:rPr>
                <w:sz w:val="20"/>
                <w:szCs w:val="20"/>
                <w:color w:val="auto"/>
              </w:rPr>
            </w:pPr>
            <w:r>
              <w:rPr>
                <w:rFonts w:ascii="Arial" w:cs="Arial" w:eastAsia="Arial" w:hAnsi="Arial"/>
                <w:sz w:val="12"/>
                <w:szCs w:val="12"/>
                <w:b w:val="1"/>
                <w:bCs w:val="1"/>
                <w:color w:val="auto"/>
                <w:w w:val="90"/>
              </w:rPr>
              <w:t>(Level 2)</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0"/>
              </w:rPr>
              <w:t>(Level 3)</w:t>
            </w:r>
          </w:p>
        </w:tc>
      </w:tr>
      <w:tr>
        <w:trPr>
          <w:trHeight w:val="142"/>
        </w:trPr>
        <w:tc>
          <w:tcPr>
            <w:tcW w:w="3080" w:type="dxa"/>
            <w:vAlign w:val="bottom"/>
            <w:gridSpan w:val="2"/>
          </w:tcPr>
          <w:p>
            <w:pPr>
              <w:spacing w:after="0"/>
              <w:rPr>
                <w:sz w:val="20"/>
                <w:szCs w:val="20"/>
                <w:color w:val="auto"/>
              </w:rPr>
            </w:pPr>
            <w:r>
              <w:rPr>
                <w:rFonts w:ascii="Arial" w:cs="Arial" w:eastAsia="Arial" w:hAnsi="Arial"/>
                <w:sz w:val="12"/>
                <w:szCs w:val="12"/>
                <w:color w:val="auto"/>
              </w:rPr>
              <w:t>September 30, 2014:</w:t>
            </w:r>
          </w:p>
        </w:tc>
        <w:tc>
          <w:tcPr>
            <w:tcW w:w="2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3,399,400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3,399,400</w:t>
            </w:r>
          </w:p>
        </w:tc>
        <w:tc>
          <w:tcPr>
            <w:tcW w:w="120" w:type="dxa"/>
            <w:vAlign w:val="bottom"/>
            <w:shd w:val="clear" w:color="auto" w:fill="CCEEFF"/>
          </w:tcPr>
          <w:p>
            <w:pPr>
              <w:spacing w:after="0"/>
              <w:rPr>
                <w:sz w:val="16"/>
                <w:szCs w:val="16"/>
                <w:color w:val="auto"/>
              </w:rPr>
            </w:pPr>
          </w:p>
        </w:tc>
      </w:tr>
      <w:tr>
        <w:trPr>
          <w:trHeight w:val="120"/>
        </w:trPr>
        <w:tc>
          <w:tcPr>
            <w:tcW w:w="20" w:type="dxa"/>
            <w:vAlign w:val="bottom"/>
          </w:tcPr>
          <w:p>
            <w:pPr>
              <w:spacing w:after="0"/>
              <w:rPr>
                <w:sz w:val="10"/>
                <w:szCs w:val="10"/>
                <w:color w:val="auto"/>
              </w:rPr>
            </w:pPr>
          </w:p>
        </w:tc>
        <w:tc>
          <w:tcPr>
            <w:tcW w:w="306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2014:</w:t>
            </w:r>
          </w:p>
        </w:tc>
        <w:tc>
          <w:tcPr>
            <w:tcW w:w="210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Warrant liability</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2,973,900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the six month period ended September 30, 2014, there was no significant change to the valuation models used for purposes of determining the fair value of the Level 3 warrant liability. The increase in the market price of our common stock since March 31, 2014 is the primary factor resulting in the increase in the warrant liability.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80" w:type="dxa"/>
            <w:vAlign w:val="bottom"/>
            <w:gridSpan w:val="2"/>
          </w:tcPr>
          <w:p>
            <w:pPr>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Fair Value Measurements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Using Significant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Unobservable Inputs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5"/>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2014</w:t>
            </w:r>
          </w:p>
        </w:tc>
        <w:tc>
          <w:tcPr>
            <w:tcW w:w="4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4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425,500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060" w:type="dxa"/>
            <w:vAlign w:val="bottom"/>
            <w:tcBorders>
              <w:top w:val="single" w:sz="8" w:color="CCEEFF"/>
            </w:tcBorders>
          </w:tcPr>
          <w:p>
            <w:pPr>
              <w:spacing w:after="0"/>
              <w:rPr>
                <w:sz w:val="12"/>
                <w:szCs w:val="12"/>
                <w:color w:val="auto"/>
              </w:rPr>
            </w:pPr>
          </w:p>
        </w:tc>
        <w:tc>
          <w:tcPr>
            <w:tcW w:w="44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2"/>
                <w:szCs w:val="12"/>
                <w:color w:val="auto"/>
              </w:rPr>
              <w:t>Balance at September 30, 2014</w:t>
            </w:r>
          </w:p>
        </w:tc>
        <w:tc>
          <w:tcPr>
            <w:tcW w:w="4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3,399,400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080" w:type="dxa"/>
            <w:vAlign w:val="bottom"/>
            <w:gridSpan w:val="2"/>
          </w:tcPr>
          <w:p>
            <w:pPr>
              <w:spacing w:after="0"/>
              <w:rPr>
                <w:sz w:val="20"/>
                <w:szCs w:val="20"/>
                <w:color w:val="auto"/>
              </w:rPr>
            </w:pPr>
            <w:r>
              <w:rPr>
                <w:rFonts w:ascii="Arial" w:cs="Arial" w:eastAsia="Arial" w:hAnsi="Arial"/>
                <w:sz w:val="12"/>
                <w:szCs w:val="12"/>
                <w:color w:val="auto"/>
              </w:rPr>
              <w:t>We carried no assets or other liabilities at fair value at September 30, 2014 or March 31, 2014.</w:t>
            </w: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460" w:type="dxa"/>
            <w:vAlign w:val="bottom"/>
          </w:tcPr>
          <w:p>
            <w:pPr>
              <w:jc w:val="right"/>
              <w:ind w:right="364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060" w:type="dxa"/>
            <w:vAlign w:val="bottom"/>
            <w:tcBorders>
              <w:bottom w:val="single" w:sz="8" w:color="808080"/>
            </w:tcBorders>
          </w:tcPr>
          <w:p>
            <w:pPr>
              <w:spacing w:after="0"/>
              <w:rPr>
                <w:sz w:val="6"/>
                <w:szCs w:val="6"/>
                <w:color w:val="auto"/>
              </w:rPr>
            </w:pPr>
          </w:p>
        </w:tc>
        <w:tc>
          <w:tcPr>
            <w:tcW w:w="44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15"/>
        </w:trPr>
        <w:tc>
          <w:tcPr>
            <w:tcW w:w="5620" w:type="dxa"/>
            <w:vAlign w:val="bottom"/>
            <w:gridSpan w:val="2"/>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5"/>
        </w:trPr>
        <w:tc>
          <w:tcPr>
            <w:tcW w:w="5620" w:type="dxa"/>
            <w:vAlign w:val="bottom"/>
            <w:gridSpan w:val="2"/>
          </w:tcPr>
          <w:p>
            <w:pPr>
              <w:spacing w:after="0"/>
              <w:rPr>
                <w:sz w:val="20"/>
                <w:szCs w:val="20"/>
                <w:color w:val="auto"/>
              </w:rPr>
            </w:pPr>
            <w:r>
              <w:rPr>
                <w:rFonts w:ascii="Arial" w:cs="Arial" w:eastAsia="Arial" w:hAnsi="Arial"/>
                <w:sz w:val="12"/>
                <w:szCs w:val="12"/>
                <w:b w:val="1"/>
                <w:bCs w:val="1"/>
                <w:color w:val="auto"/>
              </w:rPr>
              <w:t>Note 5. Prepaid Expenses and Other Current Assets</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5620" w:type="dxa"/>
            <w:vAlign w:val="bottom"/>
            <w:gridSpan w:val="2"/>
          </w:tcPr>
          <w:p>
            <w:pPr>
              <w:spacing w:after="0"/>
              <w:rPr>
                <w:sz w:val="20"/>
                <w:szCs w:val="20"/>
                <w:color w:val="auto"/>
              </w:rPr>
            </w:pPr>
            <w:r>
              <w:rPr>
                <w:rFonts w:ascii="Arial" w:cs="Arial" w:eastAsia="Arial" w:hAnsi="Arial"/>
                <w:sz w:val="12"/>
                <w:szCs w:val="12"/>
                <w:color w:val="auto"/>
                <w:w w:val="88"/>
              </w:rPr>
              <w:t>Prepaid expenses and other current assets are composed of the following at September 30, 2014 and March 31, 2014:</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9"/>
        </w:trPr>
        <w:tc>
          <w:tcPr>
            <w:tcW w:w="6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2"/>
                <w:szCs w:val="12"/>
                <w:color w:val="auto"/>
              </w:rPr>
              <w:t>September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2"/>
                <w:szCs w:val="12"/>
                <w:color w:val="auto"/>
                <w:w w:val="93"/>
              </w:rPr>
              <w:t>March 31,</w:t>
            </w:r>
          </w:p>
        </w:tc>
      </w:tr>
      <w:tr>
        <w:trPr>
          <w:trHeight w:val="153"/>
        </w:trPr>
        <w:tc>
          <w:tcPr>
            <w:tcW w:w="6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2014</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w w:val="89"/>
              </w:rPr>
              <w:t>2014</w:t>
            </w: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Insurance</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84,800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21,800</w:t>
            </w:r>
          </w:p>
        </w:tc>
      </w:tr>
      <w:tr>
        <w:trPr>
          <w:trHeight w:val="144"/>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Costs associated with Public Offering</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95,900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Legal fees</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3,400</w:t>
            </w:r>
          </w:p>
        </w:tc>
      </w:tr>
      <w:tr>
        <w:trPr>
          <w:trHeight w:val="144"/>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Interest receivable on note receivable from sale of common stock</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2,800</w:t>
            </w:r>
          </w:p>
        </w:tc>
      </w:tr>
      <w:tr>
        <w:trPr>
          <w:trHeight w:val="144"/>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Technology license fees and all other</w:t>
            </w:r>
          </w:p>
        </w:tc>
        <w:tc>
          <w:tcPr>
            <w:tcW w:w="2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12,500</w:t>
            </w:r>
          </w:p>
        </w:tc>
      </w:tr>
      <w:tr>
        <w:trPr>
          <w:trHeight w:val="142"/>
        </w:trPr>
        <w:tc>
          <w:tcPr>
            <w:tcW w:w="660" w:type="dxa"/>
            <w:vAlign w:val="bottom"/>
            <w:tcBorders>
              <w:top w:val="single" w:sz="8" w:color="CCEEFF"/>
            </w:tcBorders>
          </w:tcPr>
          <w:p>
            <w:pPr>
              <w:spacing w:after="0"/>
              <w:rPr>
                <w:sz w:val="12"/>
                <w:szCs w:val="12"/>
                <w:color w:val="auto"/>
              </w:rPr>
            </w:pPr>
          </w:p>
        </w:tc>
        <w:tc>
          <w:tcPr>
            <w:tcW w:w="4960" w:type="dxa"/>
            <w:vAlign w:val="bottom"/>
            <w:tcBorders>
              <w:top w:val="single" w:sz="8" w:color="CCEEFF"/>
            </w:tcBorders>
          </w:tcPr>
          <w:p>
            <w:pPr>
              <w:spacing w:after="0"/>
              <w:rPr>
                <w:sz w:val="12"/>
                <w:szCs w:val="12"/>
                <w:color w:val="auto"/>
              </w:rPr>
            </w:pPr>
          </w:p>
        </w:tc>
        <w:tc>
          <w:tcPr>
            <w:tcW w:w="25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84"/>
        </w:trPr>
        <w:tc>
          <w:tcPr>
            <w:tcW w:w="660" w:type="dxa"/>
            <w:vAlign w:val="bottom"/>
            <w:shd w:val="clear" w:color="auto" w:fill="CCEEFF"/>
          </w:tcPr>
          <w:p>
            <w:pPr>
              <w:spacing w:after="0"/>
              <w:rPr>
                <w:sz w:val="16"/>
                <w:szCs w:val="16"/>
                <w:color w:val="auto"/>
              </w:rPr>
            </w:pPr>
          </w:p>
        </w:tc>
        <w:tc>
          <w:tcPr>
            <w:tcW w:w="49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189,900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40,500</w:t>
            </w:r>
          </w:p>
        </w:tc>
      </w:tr>
      <w:tr>
        <w:trPr>
          <w:trHeight w:val="264"/>
        </w:trPr>
        <w:tc>
          <w:tcPr>
            <w:tcW w:w="5620" w:type="dxa"/>
            <w:vAlign w:val="bottom"/>
            <w:tcBorders>
              <w:top w:val="single" w:sz="8" w:color="CCEEFF"/>
            </w:tcBorders>
            <w:gridSpan w:val="2"/>
          </w:tcPr>
          <w:p>
            <w:pPr>
              <w:spacing w:after="0"/>
              <w:rPr>
                <w:sz w:val="20"/>
                <w:szCs w:val="20"/>
                <w:color w:val="auto"/>
              </w:rPr>
            </w:pPr>
            <w:r>
              <w:rPr>
                <w:rFonts w:ascii="Arial" w:cs="Arial" w:eastAsia="Arial" w:hAnsi="Arial"/>
                <w:sz w:val="12"/>
                <w:szCs w:val="12"/>
                <w:b w:val="1"/>
                <w:bCs w:val="1"/>
                <w:color w:val="auto"/>
              </w:rPr>
              <w:t>Note 6. Accrued Expenses</w:t>
            </w:r>
          </w:p>
        </w:tc>
        <w:tc>
          <w:tcPr>
            <w:tcW w:w="254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r>
      <w:tr>
        <w:trPr>
          <w:trHeight w:val="306"/>
        </w:trPr>
        <w:tc>
          <w:tcPr>
            <w:tcW w:w="5620" w:type="dxa"/>
            <w:vAlign w:val="bottom"/>
            <w:gridSpan w:val="2"/>
          </w:tcPr>
          <w:p>
            <w:pPr>
              <w:spacing w:after="0"/>
              <w:rPr>
                <w:sz w:val="20"/>
                <w:szCs w:val="20"/>
                <w:color w:val="auto"/>
              </w:rPr>
            </w:pPr>
            <w:r>
              <w:rPr>
                <w:rFonts w:ascii="Arial" w:cs="Arial" w:eastAsia="Arial" w:hAnsi="Arial"/>
                <w:sz w:val="12"/>
                <w:szCs w:val="12"/>
                <w:color w:val="auto"/>
              </w:rPr>
              <w:t>Accrued expenses are composed of the following at September 30, 2014 and March 31, 2014:</w:t>
            </w: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6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2"/>
                <w:szCs w:val="12"/>
                <w:color w:val="auto"/>
              </w:rPr>
              <w:t>September 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2"/>
                <w:szCs w:val="12"/>
                <w:color w:val="auto"/>
                <w:w w:val="93"/>
              </w:rPr>
              <w:t>March 31,</w:t>
            </w:r>
          </w:p>
        </w:tc>
      </w:tr>
      <w:tr>
        <w:trPr>
          <w:trHeight w:val="153"/>
        </w:trPr>
        <w:tc>
          <w:tcPr>
            <w:tcW w:w="6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color w:val="auto"/>
                <w:w w:val="89"/>
              </w:rPr>
              <w:t>2014</w:t>
            </w:r>
          </w:p>
        </w:tc>
        <w:tc>
          <w:tcPr>
            <w:tcW w:w="120" w:type="dxa"/>
            <w:vAlign w:val="bottom"/>
          </w:tcPr>
          <w:p>
            <w:pPr>
              <w:spacing w:after="0"/>
              <w:rPr>
                <w:sz w:val="13"/>
                <w:szCs w:val="13"/>
                <w:color w:val="auto"/>
              </w:rPr>
            </w:pPr>
          </w:p>
        </w:tc>
      </w:tr>
      <w:tr>
        <w:trPr>
          <w:trHeight w:val="142"/>
        </w:trPr>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Accrued professional services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188,400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135,700</w:t>
            </w:r>
          </w:p>
        </w:tc>
      </w:tr>
      <w:tr>
        <w:trPr>
          <w:trHeight w:val="144"/>
        </w:trPr>
        <w:tc>
          <w:tcPr>
            <w:tcW w:w="5620" w:type="dxa"/>
            <w:vAlign w:val="bottom"/>
            <w:gridSpan w:val="2"/>
          </w:tcPr>
          <w:p>
            <w:pPr>
              <w:ind w:left="20"/>
              <w:spacing w:after="0"/>
              <w:rPr>
                <w:sz w:val="20"/>
                <w:szCs w:val="20"/>
                <w:color w:val="auto"/>
              </w:rPr>
            </w:pPr>
            <w:r>
              <w:rPr>
                <w:rFonts w:ascii="Arial" w:cs="Arial" w:eastAsia="Arial" w:hAnsi="Arial"/>
                <w:sz w:val="12"/>
                <w:szCs w:val="12"/>
                <w:color w:val="auto"/>
              </w:rPr>
              <w:t>Accrued compensation</w:t>
            </w:r>
          </w:p>
        </w:tc>
        <w:tc>
          <w:tcPr>
            <w:tcW w:w="2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655,700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489,900</w:t>
            </w:r>
          </w:p>
        </w:tc>
      </w:tr>
      <w:tr>
        <w:trPr>
          <w:trHeight w:val="144"/>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All other</w:t>
            </w:r>
          </w:p>
        </w:tc>
        <w:tc>
          <w:tcPr>
            <w:tcW w:w="25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13,300</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760" w:type="dxa"/>
            <w:vAlign w:val="bottom"/>
            <w:gridSpan w:val="2"/>
          </w:tcPr>
          <w:p>
            <w:pPr>
              <w:spacing w:after="0"/>
              <w:rPr>
                <w:sz w:val="12"/>
                <w:szCs w:val="12"/>
                <w:color w:val="auto"/>
              </w:rPr>
            </w:pPr>
          </w:p>
        </w:tc>
        <w:tc>
          <w:tcPr>
            <w:tcW w:w="1400" w:type="dxa"/>
            <w:vAlign w:val="bottom"/>
            <w:gridSpan w:val="2"/>
          </w:tcPr>
          <w:p>
            <w:pPr>
              <w:spacing w:after="0"/>
              <w:rPr>
                <w:sz w:val="12"/>
                <w:szCs w:val="12"/>
                <w:color w:val="auto"/>
              </w:rPr>
            </w:pPr>
          </w:p>
        </w:tc>
        <w:tc>
          <w:tcPr>
            <w:tcW w:w="380" w:type="dxa"/>
            <w:vAlign w:val="bottom"/>
            <w:gridSpan w:val="2"/>
          </w:tcPr>
          <w:p>
            <w:pPr>
              <w:spacing w:after="0"/>
              <w:rPr>
                <w:sz w:val="12"/>
                <w:szCs w:val="12"/>
                <w:color w:val="auto"/>
              </w:rPr>
            </w:pPr>
          </w:p>
        </w:tc>
        <w:tc>
          <w:tcPr>
            <w:tcW w:w="1320" w:type="dxa"/>
            <w:vAlign w:val="bottom"/>
            <w:gridSpan w:val="2"/>
          </w:tcPr>
          <w:p>
            <w:pPr>
              <w:spacing w:after="0"/>
              <w:rPr>
                <w:sz w:val="12"/>
                <w:szCs w:val="12"/>
                <w:color w:val="auto"/>
              </w:rPr>
            </w:pPr>
          </w:p>
        </w:tc>
      </w:tr>
      <w:tr>
        <w:trPr>
          <w:trHeight w:val="184"/>
        </w:trPr>
        <w:tc>
          <w:tcPr>
            <w:tcW w:w="660" w:type="dxa"/>
            <w:vAlign w:val="bottom"/>
            <w:shd w:val="clear" w:color="auto" w:fill="CCEEFF"/>
          </w:tcPr>
          <w:p>
            <w:pPr>
              <w:spacing w:after="0"/>
              <w:rPr>
                <w:sz w:val="16"/>
                <w:szCs w:val="16"/>
                <w:color w:val="auto"/>
              </w:rPr>
            </w:pPr>
          </w:p>
        </w:tc>
        <w:tc>
          <w:tcPr>
            <w:tcW w:w="49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857,400</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625,600</w:t>
            </w:r>
          </w:p>
        </w:tc>
      </w:tr>
      <w:tr>
        <w:trPr>
          <w:trHeight w:val="381"/>
        </w:trPr>
        <w:tc>
          <w:tcPr>
            <w:tcW w:w="660" w:type="dxa"/>
            <w:vAlign w:val="bottom"/>
            <w:tcBorders>
              <w:top w:val="single" w:sz="8" w:color="CCEEFF"/>
            </w:tcBorders>
          </w:tcPr>
          <w:p>
            <w:pPr>
              <w:spacing w:after="0"/>
              <w:rPr>
                <w:sz w:val="24"/>
                <w:szCs w:val="24"/>
                <w:color w:val="auto"/>
              </w:rPr>
            </w:pPr>
          </w:p>
        </w:tc>
        <w:tc>
          <w:tcPr>
            <w:tcW w:w="496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jc w:val="right"/>
              <w:ind w:right="2260"/>
              <w:spacing w:after="0"/>
              <w:rPr>
                <w:sz w:val="20"/>
                <w:szCs w:val="20"/>
                <w:color w:val="auto"/>
              </w:rPr>
            </w:pPr>
            <w:r>
              <w:rPr>
                <w:rFonts w:ascii="Arial" w:cs="Arial" w:eastAsia="Arial" w:hAnsi="Arial"/>
                <w:sz w:val="12"/>
                <w:szCs w:val="12"/>
                <w:color w:val="auto"/>
                <w:w w:val="93"/>
              </w:rPr>
              <w:t>-12-</w:t>
            </w: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660" w:type="dxa"/>
            <w:vAlign w:val="bottom"/>
            <w:tcBorders>
              <w:bottom w:val="single" w:sz="8" w:color="808080"/>
            </w:tcBorders>
          </w:tcPr>
          <w:p>
            <w:pPr>
              <w:spacing w:after="0"/>
              <w:rPr>
                <w:sz w:val="6"/>
                <w:szCs w:val="6"/>
                <w:color w:val="auto"/>
              </w:rPr>
            </w:pPr>
          </w:p>
        </w:tc>
        <w:tc>
          <w:tcPr>
            <w:tcW w:w="4960" w:type="dxa"/>
            <w:vAlign w:val="bottom"/>
            <w:tcBorders>
              <w:bottom w:val="single" w:sz="8" w:color="808080"/>
            </w:tcBorders>
          </w:tcPr>
          <w:p>
            <w:pPr>
              <w:spacing w:after="0"/>
              <w:rPr>
                <w:sz w:val="6"/>
                <w:szCs w:val="6"/>
                <w:color w:val="auto"/>
              </w:rPr>
            </w:pPr>
          </w:p>
        </w:tc>
        <w:tc>
          <w:tcPr>
            <w:tcW w:w="25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2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4" w:name="page15"/>
    <w:bookmarkEnd w:id="1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gridSpan w:val="3"/>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20" w:type="dxa"/>
            <w:vAlign w:val="bottom"/>
            <w:gridSpan w:val="7"/>
          </w:tcPr>
          <w:p>
            <w:pPr>
              <w:spacing w:after="0"/>
              <w:rPr>
                <w:sz w:val="20"/>
                <w:szCs w:val="20"/>
                <w:color w:val="auto"/>
              </w:rPr>
            </w:pPr>
            <w:r>
              <w:rPr>
                <w:rFonts w:ascii="Arial" w:cs="Arial" w:eastAsia="Arial" w:hAnsi="Arial"/>
                <w:sz w:val="12"/>
                <w:szCs w:val="12"/>
                <w:b w:val="1"/>
                <w:bCs w:val="1"/>
                <w:color w:val="auto"/>
                <w:w w:val="97"/>
              </w:rPr>
              <w:t>Note 7. Convertible Promissory Notes and Other Notes Payable</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500" w:type="dxa"/>
            <w:vAlign w:val="bottom"/>
            <w:gridSpan w:val="14"/>
          </w:tcPr>
          <w:p>
            <w:pPr>
              <w:spacing w:after="0"/>
              <w:rPr>
                <w:sz w:val="20"/>
                <w:szCs w:val="20"/>
                <w:color w:val="auto"/>
              </w:rPr>
            </w:pPr>
            <w:r>
              <w:rPr>
                <w:rFonts w:ascii="Arial" w:cs="Arial" w:eastAsia="Arial" w:hAnsi="Arial"/>
                <w:sz w:val="12"/>
                <w:szCs w:val="12"/>
                <w:color w:val="auto"/>
                <w:w w:val="95"/>
              </w:rPr>
              <w:t>The following table summarizes our secured and unsecured promissory notes and other notes payable at September 30, 2014 and March 31, 2014.</w:t>
            </w:r>
          </w:p>
        </w:tc>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2"/>
                <w:szCs w:val="12"/>
                <w:b w:val="1"/>
                <w:bCs w:val="1"/>
                <w:color w:val="auto"/>
                <w:w w:val="89"/>
              </w:rPr>
              <w:t>September 30, 2014</w:t>
            </w:r>
          </w:p>
        </w:tc>
        <w:tc>
          <w:tcPr>
            <w:tcW w:w="7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March 31, 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jc w:val="center"/>
              <w:ind w:right="720"/>
              <w:spacing w:after="0" w:line="133" w:lineRule="exact"/>
              <w:rPr>
                <w:sz w:val="20"/>
                <w:szCs w:val="20"/>
                <w:color w:val="auto"/>
              </w:rPr>
            </w:pPr>
            <w:r>
              <w:rPr>
                <w:rFonts w:ascii="Arial" w:cs="Arial" w:eastAsia="Arial" w:hAnsi="Arial"/>
                <w:sz w:val="12"/>
                <w:szCs w:val="12"/>
                <w:color w:val="auto"/>
                <w:w w:val="91"/>
              </w:rPr>
              <w:t>Principal</w:t>
            </w:r>
          </w:p>
        </w:tc>
        <w:tc>
          <w:tcPr>
            <w:tcW w:w="720" w:type="dxa"/>
            <w:vAlign w:val="bottom"/>
          </w:tcPr>
          <w:p>
            <w:pPr>
              <w:spacing w:after="0"/>
              <w:rPr>
                <w:sz w:val="11"/>
                <w:szCs w:val="11"/>
                <w:color w:val="auto"/>
              </w:rPr>
            </w:pPr>
          </w:p>
        </w:tc>
        <w:tc>
          <w:tcPr>
            <w:tcW w:w="900" w:type="dxa"/>
            <w:vAlign w:val="bottom"/>
          </w:tcPr>
          <w:p>
            <w:pPr>
              <w:jc w:val="center"/>
              <w:ind w:left="400"/>
              <w:spacing w:after="0" w:line="133" w:lineRule="exact"/>
              <w:rPr>
                <w:sz w:val="20"/>
                <w:szCs w:val="20"/>
                <w:color w:val="auto"/>
              </w:rPr>
            </w:pPr>
            <w:r>
              <w:rPr>
                <w:rFonts w:ascii="Arial" w:cs="Arial" w:eastAsia="Arial" w:hAnsi="Arial"/>
                <w:sz w:val="12"/>
                <w:szCs w:val="12"/>
                <w:color w:val="auto"/>
                <w:w w:val="90"/>
              </w:rPr>
              <w:t>Accrued</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2"/>
          </w:tcPr>
          <w:p>
            <w:pPr>
              <w:jc w:val="center"/>
              <w:ind w:right="720"/>
              <w:spacing w:after="0" w:line="133" w:lineRule="exact"/>
              <w:rPr>
                <w:sz w:val="20"/>
                <w:szCs w:val="20"/>
                <w:color w:val="auto"/>
              </w:rPr>
            </w:pPr>
            <w:r>
              <w:rPr>
                <w:rFonts w:ascii="Arial" w:cs="Arial" w:eastAsia="Arial" w:hAnsi="Arial"/>
                <w:sz w:val="12"/>
                <w:szCs w:val="12"/>
                <w:color w:val="auto"/>
                <w:w w:val="91"/>
              </w:rPr>
              <w:t>Principal</w:t>
            </w:r>
          </w:p>
        </w:tc>
        <w:tc>
          <w:tcPr>
            <w:tcW w:w="72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Accrued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2"/>
                <w:szCs w:val="12"/>
                <w:color w:val="auto"/>
                <w:w w:val="87"/>
              </w:rPr>
              <w:t>Balance</w:t>
            </w:r>
          </w:p>
        </w:tc>
        <w:tc>
          <w:tcPr>
            <w:tcW w:w="720" w:type="dxa"/>
            <w:vAlign w:val="bottom"/>
          </w:tcPr>
          <w:p>
            <w:pPr>
              <w:spacing w:after="0"/>
              <w:rPr>
                <w:sz w:val="13"/>
                <w:szCs w:val="13"/>
                <w:color w:val="auto"/>
              </w:rPr>
            </w:pPr>
          </w:p>
        </w:tc>
        <w:tc>
          <w:tcPr>
            <w:tcW w:w="900" w:type="dxa"/>
            <w:vAlign w:val="bottom"/>
          </w:tcPr>
          <w:p>
            <w:pPr>
              <w:jc w:val="center"/>
              <w:ind w:left="400"/>
              <w:spacing w:after="0"/>
              <w:rPr>
                <w:sz w:val="20"/>
                <w:szCs w:val="20"/>
                <w:color w:val="auto"/>
              </w:rPr>
            </w:pPr>
            <w:r>
              <w:rPr>
                <w:rFonts w:ascii="Arial" w:cs="Arial" w:eastAsia="Arial" w:hAnsi="Arial"/>
                <w:sz w:val="12"/>
                <w:szCs w:val="12"/>
                <w:color w:val="auto"/>
                <w:w w:val="89"/>
              </w:rPr>
              <w:t>Interest</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color w:val="auto"/>
              </w:rPr>
              <w:t>Total</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center"/>
              <w:ind w:right="720"/>
              <w:spacing w:after="0"/>
              <w:rPr>
                <w:sz w:val="20"/>
                <w:szCs w:val="20"/>
                <w:color w:val="auto"/>
              </w:rPr>
            </w:pPr>
            <w:r>
              <w:rPr>
                <w:rFonts w:ascii="Arial" w:cs="Arial" w:eastAsia="Arial" w:hAnsi="Arial"/>
                <w:sz w:val="12"/>
                <w:szCs w:val="12"/>
                <w:color w:val="auto"/>
                <w:w w:val="87"/>
              </w:rPr>
              <w:t>Balance</w:t>
            </w:r>
          </w:p>
        </w:tc>
        <w:tc>
          <w:tcPr>
            <w:tcW w:w="7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Interest</w:t>
            </w:r>
          </w:p>
        </w:tc>
        <w:tc>
          <w:tcPr>
            <w:tcW w:w="0" w:type="dxa"/>
            <w:vAlign w:val="bottom"/>
          </w:tcPr>
          <w:p>
            <w:pPr>
              <w:spacing w:after="0"/>
              <w:rPr>
                <w:sz w:val="1"/>
                <w:szCs w:val="1"/>
                <w:color w:val="auto"/>
              </w:rPr>
            </w:pPr>
          </w:p>
        </w:tc>
      </w:tr>
      <w:tr>
        <w:trPr>
          <w:trHeight w:val="133"/>
        </w:trPr>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5"/>
              </w:rPr>
              <w:t>Senior Secured 10%</w:t>
            </w:r>
          </w:p>
        </w:tc>
        <w:tc>
          <w:tcPr>
            <w:tcW w:w="1460" w:type="dxa"/>
            <w:vAlign w:val="bottom"/>
            <w:tcBorders>
              <w:top w:val="single" w:sz="8" w:color="auto"/>
            </w:tcBorders>
            <w:gridSpan w:val="2"/>
          </w:tcPr>
          <w:p>
            <w:pPr>
              <w:jc w:val="right"/>
              <w:ind w:right="20"/>
              <w:spacing w:after="0" w:line="133" w:lineRule="exact"/>
              <w:rPr>
                <w:sz w:val="20"/>
                <w:szCs w:val="20"/>
                <w:color w:val="auto"/>
              </w:rPr>
            </w:pPr>
            <w:r>
              <w:rPr>
                <w:rFonts w:ascii="Arial" w:cs="Arial" w:eastAsia="Arial" w:hAnsi="Arial"/>
                <w:sz w:val="12"/>
                <w:szCs w:val="12"/>
                <w:b w:val="1"/>
                <w:bCs w:val="1"/>
                <w:i w:val="1"/>
                <w:iCs w:val="1"/>
                <w:color w:val="auto"/>
                <w:w w:val="79"/>
              </w:rPr>
              <w:t>Convertible Promissory Notes</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i w:val="1"/>
                <w:iCs w:val="1"/>
                <w:color w:val="auto"/>
              </w:rPr>
              <w:t>issued to</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Exchange</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issued</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on October</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11, 2012</w:t>
            </w: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1,272,600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280,000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1,552,600</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1,272,600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spacing w:after="0" w:line="136" w:lineRule="exact"/>
              <w:rPr>
                <w:sz w:val="20"/>
                <w:szCs w:val="20"/>
                <w:color w:val="auto"/>
              </w:rPr>
            </w:pPr>
            <w:r>
              <w:rPr>
                <w:rFonts w:ascii="Arial" w:cs="Arial" w:eastAsia="Arial" w:hAnsi="Arial"/>
                <w:sz w:val="12"/>
                <w:szCs w:val="12"/>
                <w:color w:val="auto"/>
              </w:rPr>
              <w:t>Investment</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Note issued</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on October</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11, 2012</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500,000</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110,000</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610,000</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500,000</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Investment</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issued</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on October</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19, 2012</w:t>
            </w: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108,700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608,700</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spacing w:after="0" w:line="136" w:lineRule="exact"/>
              <w:rPr>
                <w:sz w:val="20"/>
                <w:szCs w:val="20"/>
                <w:color w:val="auto"/>
              </w:rPr>
            </w:pPr>
            <w:r>
              <w:rPr>
                <w:rFonts w:ascii="Arial" w:cs="Arial" w:eastAsia="Arial" w:hAnsi="Arial"/>
                <w:sz w:val="12"/>
                <w:szCs w:val="12"/>
                <w:color w:val="auto"/>
              </w:rPr>
              <w:t>Investment</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Note issued</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on February</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22, 2013</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250,000</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43,900</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293,900</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250,000</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Investment</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issued</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on March 12,</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2013</w:t>
            </w:r>
          </w:p>
        </w:tc>
        <w:tc>
          <w:tcPr>
            <w:tcW w:w="4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127,400</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877,400</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750,000</w:t>
            </w:r>
          </w:p>
        </w:tc>
        <w:tc>
          <w:tcPr>
            <w:tcW w:w="2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3,272,600</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670,000</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3,942,600</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3,272,600</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00" w:type="dxa"/>
            <w:vAlign w:val="bottom"/>
            <w:gridSpan w:val="2"/>
          </w:tcPr>
          <w:p>
            <w:pPr>
              <w:spacing w:after="0" w:line="136" w:lineRule="exact"/>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promissory</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note issued</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on July 26,</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2013</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250,000</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31,600</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281,600</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250,000</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2"/>
                <w:szCs w:val="12"/>
                <w:color w:val="auto"/>
              </w:rPr>
              <w:t>Total</w:t>
            </w: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Senior notes</w:t>
            </w: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3,522,600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701,600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4,224,200</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3,522,600</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Aggregate</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w:t>
            </w: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(2,085,900</w:t>
            </w:r>
          </w:p>
        </w:tc>
        <w:tc>
          <w:tcPr>
            <w:tcW w:w="72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tcBorders>
              <w:top w:val="single" w:sz="8" w:color="CCEEFF"/>
            </w:tcBorders>
            <w:gridSpan w:val="2"/>
          </w:tcPr>
          <w:p>
            <w:pPr>
              <w:ind w:left="100"/>
              <w:spacing w:after="0" w:line="133" w:lineRule="exact"/>
              <w:rPr>
                <w:sz w:val="20"/>
                <w:szCs w:val="20"/>
                <w:color w:val="auto"/>
              </w:rPr>
            </w:pPr>
            <w:r>
              <w:rPr>
                <w:rFonts w:ascii="Arial" w:cs="Arial" w:eastAsia="Arial" w:hAnsi="Arial"/>
                <w:sz w:val="12"/>
                <w:szCs w:val="12"/>
                <w:color w:val="auto"/>
              </w:rPr>
              <w:t>Net Senior</w:t>
            </w: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notes (non-</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color w:val="auto"/>
              </w:rPr>
              <w:t>current)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3,522,600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701,600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4,224,200</w:t>
            </w:r>
          </w:p>
        </w:tc>
        <w:tc>
          <w:tcPr>
            <w:tcW w:w="7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1,436,700</w:t>
            </w:r>
          </w:p>
        </w:tc>
        <w:tc>
          <w:tcPr>
            <w:tcW w:w="16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920" w:type="dxa"/>
            <w:vAlign w:val="bottom"/>
            <w:tcBorders>
              <w:bottom w:val="single" w:sz="8" w:color="auto"/>
            </w:tcBorders>
            <w:gridSpan w:val="3"/>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920" w:type="dxa"/>
            <w:vAlign w:val="bottom"/>
            <w:gridSpan w:val="3"/>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80" w:type="dxa"/>
            <w:vAlign w:val="bottom"/>
            <w:gridSpan w:val="5"/>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color w:val="auto"/>
              </w:rPr>
              <w:t>2013/2014</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Unit Notes,</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color w:val="auto"/>
              </w:rPr>
              <w:t>due 7/31/14</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1,007,500</w:t>
            </w:r>
          </w:p>
        </w:tc>
        <w:tc>
          <w:tcPr>
            <w:tcW w:w="16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2014 Unit</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amended</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due</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3/31/15</w:t>
            </w: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2,718,400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95,600</w:t>
            </w: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2,814,000</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2,718,400</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95,600</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2,814,000</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1,057,500</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Note</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discounts</w:t>
            </w: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(1,251,000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(1,251,000</w:t>
            </w:r>
          </w:p>
        </w:tc>
        <w:tc>
          <w:tcPr>
            <w:tcW w:w="7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(697,400</w:t>
            </w:r>
          </w:p>
        </w:tc>
        <w:tc>
          <w:tcPr>
            <w:tcW w:w="72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tcBorders>
              <w:top w:val="single" w:sz="8" w:color="CCEEFF"/>
            </w:tcBorders>
            <w:gridSpan w:val="2"/>
          </w:tcPr>
          <w:p>
            <w:pPr>
              <w:ind w:left="100"/>
              <w:spacing w:after="0" w:line="133" w:lineRule="exact"/>
              <w:rPr>
                <w:sz w:val="20"/>
                <w:szCs w:val="20"/>
                <w:color w:val="auto"/>
              </w:rPr>
            </w:pPr>
            <w:r>
              <w:rPr>
                <w:rFonts w:ascii="Arial" w:cs="Arial" w:eastAsia="Arial" w:hAnsi="Arial"/>
                <w:sz w:val="12"/>
                <w:szCs w:val="12"/>
                <w:color w:val="auto"/>
              </w:rPr>
              <w:t>Net</w:t>
            </w: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convertible</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notes (all</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color w:val="auto"/>
              </w:rPr>
              <w:t>current)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1,467,400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95,600</w:t>
            </w:r>
          </w:p>
        </w:tc>
        <w:tc>
          <w:tcPr>
            <w:tcW w:w="7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1,563,000</w:t>
            </w:r>
          </w:p>
        </w:tc>
        <w:tc>
          <w:tcPr>
            <w:tcW w:w="7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360,100</w:t>
            </w:r>
          </w:p>
        </w:tc>
        <w:tc>
          <w:tcPr>
            <w:tcW w:w="16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i w:val="1"/>
                <w:iCs w:val="1"/>
                <w:color w:val="auto"/>
              </w:rPr>
              <w:t>Notes</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Payable to</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unrelated</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parties:</w:t>
            </w: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7.5% Notes</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payable to</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service</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providers for</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color w:val="auto"/>
              </w:rPr>
              <w:t>accounts</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payable</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converted to</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notes</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color w:val="auto"/>
              </w:rPr>
              <w:t>payable:</w:t>
            </w: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Burr,</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Pilger, Mayer</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90,400</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10,200</w:t>
            </w: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100,600</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90,400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color w:val="auto"/>
              </w:rPr>
              <w:t>Desjardins</w:t>
            </w:r>
          </w:p>
        </w:tc>
        <w:tc>
          <w:tcPr>
            <w:tcW w:w="5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177,100</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20,700</w:t>
            </w: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197,800</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178,600</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McCarthy</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Tetrault</w:t>
            </w: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362,200</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38,600</w:t>
            </w: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400,800</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360,900</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August</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2012</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Morrison &amp;</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Foerster Note</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color w:val="auto"/>
              </w:rPr>
              <w:t>A</w:t>
            </w: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918,200</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139,400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1,057,600</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918,200</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August</w:t>
            </w: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2012</w:t>
            </w: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Morrison &amp;</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Foerster Note</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line="153" w:lineRule="exact"/>
              <w:rPr>
                <w:sz w:val="20"/>
                <w:szCs w:val="20"/>
                <w:color w:val="auto"/>
              </w:rPr>
            </w:pPr>
            <w:r>
              <w:rPr>
                <w:rFonts w:ascii="Arial" w:cs="Arial" w:eastAsia="Arial" w:hAnsi="Arial"/>
                <w:sz w:val="17"/>
                <w:szCs w:val="17"/>
                <w:color w:val="auto"/>
                <w:vertAlign w:val="subscript"/>
              </w:rPr>
              <w:t>B</w:t>
            </w:r>
            <w:r>
              <w:rPr>
                <w:rFonts w:ascii="Arial" w:cs="Arial" w:eastAsia="Arial" w:hAnsi="Arial"/>
                <w:sz w:val="7"/>
                <w:szCs w:val="7"/>
                <w:color w:val="auto"/>
              </w:rPr>
              <w:t xml:space="preserve"> (1)</w:t>
            </w: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1,379,400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264,300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1,643,700</w:t>
            </w: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1,379,400</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ind w:left="120"/>
              <w:spacing w:after="0" w:line="136" w:lineRule="exact"/>
              <w:rPr>
                <w:sz w:val="20"/>
                <w:szCs w:val="20"/>
                <w:color w:val="auto"/>
              </w:rPr>
            </w:pPr>
            <w:r>
              <w:rPr>
                <w:rFonts w:ascii="Arial" w:cs="Arial" w:eastAsia="Arial" w:hAnsi="Arial"/>
                <w:sz w:val="12"/>
                <w:szCs w:val="12"/>
                <w:color w:val="auto"/>
              </w:rPr>
              <w:t>University</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20" w:type="dxa"/>
            <w:vAlign w:val="bottom"/>
            <w:gridSpan w:val="3"/>
          </w:tcPr>
          <w:p>
            <w:pPr>
              <w:spacing w:after="0"/>
              <w:rPr>
                <w:sz w:val="20"/>
                <w:szCs w:val="20"/>
                <w:color w:val="auto"/>
              </w:rPr>
            </w:pPr>
            <w:r>
              <w:rPr>
                <w:rFonts w:ascii="Arial" w:cs="Arial" w:eastAsia="Arial" w:hAnsi="Arial"/>
                <w:sz w:val="12"/>
                <w:szCs w:val="12"/>
                <w:color w:val="auto"/>
              </w:rPr>
              <w:t>Health</w:t>
            </w: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line="153" w:lineRule="exact"/>
              <w:rPr>
                <w:sz w:val="20"/>
                <w:szCs w:val="20"/>
                <w:color w:val="auto"/>
              </w:rPr>
            </w:pPr>
            <w:r>
              <w:rPr>
                <w:rFonts w:ascii="Arial" w:cs="Arial" w:eastAsia="Arial" w:hAnsi="Arial"/>
                <w:sz w:val="12"/>
                <w:szCs w:val="12"/>
                <w:color w:val="auto"/>
              </w:rPr>
              <w:t xml:space="preserve">Network </w:t>
            </w:r>
            <w:r>
              <w:rPr>
                <w:rFonts w:ascii="Arial" w:cs="Arial" w:eastAsia="Arial" w:hAnsi="Arial"/>
                <w:sz w:val="16"/>
                <w:szCs w:val="16"/>
                <w:color w:val="auto"/>
                <w:vertAlign w:val="superscript"/>
              </w:rPr>
              <w:t>(1)</w:t>
            </w:r>
          </w:p>
        </w:tc>
        <w:tc>
          <w:tcPr>
            <w:tcW w:w="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549,500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81,300</w:t>
            </w: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630,800</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549,500</w:t>
            </w: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3,476,800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554,500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4,031,300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3,477,000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ind w:left="220"/>
              <w:spacing w:after="0" w:line="136" w:lineRule="exact"/>
              <w:rPr>
                <w:sz w:val="20"/>
                <w:szCs w:val="20"/>
                <w:color w:val="auto"/>
              </w:rPr>
            </w:pPr>
            <w:r>
              <w:rPr>
                <w:rFonts w:ascii="Arial" w:cs="Arial" w:eastAsia="Arial" w:hAnsi="Arial"/>
                <w:sz w:val="12"/>
                <w:szCs w:val="12"/>
                <w:color w:val="auto"/>
              </w:rPr>
              <w:t>Note</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color w:val="auto"/>
              </w:rPr>
              <w:t>discount</w:t>
            </w: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(672,700</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(672,700</w:t>
            </w:r>
          </w:p>
        </w:tc>
        <w:tc>
          <w:tcPr>
            <w:tcW w:w="220" w:type="dxa"/>
            <w:vAlign w:val="bottom"/>
          </w:tcPr>
          <w:p>
            <w:pPr>
              <w:spacing w:after="0"/>
              <w:rPr>
                <w:sz w:val="13"/>
                <w:szCs w:val="13"/>
                <w:color w:val="auto"/>
              </w:rPr>
            </w:pP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(848,100</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2,804,100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554,500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3,358,600</w:t>
            </w: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2,628,900</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gridSpan w:val="2"/>
          </w:tcPr>
          <w:p>
            <w:pPr>
              <w:spacing w:after="0" w:line="136" w:lineRule="exact"/>
              <w:rPr>
                <w:sz w:val="20"/>
                <w:szCs w:val="20"/>
                <w:color w:val="auto"/>
              </w:rPr>
            </w:pPr>
            <w:r>
              <w:rPr>
                <w:rFonts w:ascii="Arial" w:cs="Arial" w:eastAsia="Arial" w:hAnsi="Arial"/>
                <w:sz w:val="12"/>
                <w:szCs w:val="12"/>
                <w:color w:val="auto"/>
              </w:rPr>
              <w:t>less: current</w:t>
            </w: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20" w:type="dxa"/>
            <w:vAlign w:val="bottom"/>
            <w:gridSpan w:val="3"/>
          </w:tcPr>
          <w:p>
            <w:pPr>
              <w:spacing w:after="0"/>
              <w:rPr>
                <w:sz w:val="20"/>
                <w:szCs w:val="20"/>
                <w:color w:val="auto"/>
              </w:rPr>
            </w:pPr>
            <w:r>
              <w:rPr>
                <w:rFonts w:ascii="Arial" w:cs="Arial" w:eastAsia="Arial" w:hAnsi="Arial"/>
                <w:sz w:val="12"/>
                <w:szCs w:val="12"/>
                <w:color w:val="auto"/>
              </w:rPr>
              <w:t>portion</w:t>
            </w:r>
          </w:p>
        </w:tc>
        <w:tc>
          <w:tcPr>
            <w:tcW w:w="5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(1,147,100</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2"/>
              </w:rPr>
              <w:t>(208,900</w:t>
            </w:r>
          </w:p>
        </w:tc>
        <w:tc>
          <w:tcPr>
            <w:tcW w:w="220" w:type="dxa"/>
            <w:vAlign w:val="bottom"/>
          </w:tcPr>
          <w:p>
            <w:pPr>
              <w:spacing w:after="0"/>
              <w:rPr>
                <w:sz w:val="13"/>
                <w:szCs w:val="13"/>
                <w:color w:val="auto"/>
              </w:rPr>
            </w:pP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(1,356,000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(1,130,100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2"/>
                <w:szCs w:val="12"/>
                <w:color w:val="auto"/>
              </w:rPr>
              <w:t>non-</w:t>
            </w: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portion and</w:t>
            </w: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discount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1,657,000</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345,600</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2,002,600</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1,498,800</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920" w:type="dxa"/>
            <w:vAlign w:val="bottom"/>
            <w:gridSpan w:val="3"/>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80" w:type="dxa"/>
            <w:vAlign w:val="bottom"/>
            <w:gridSpan w:val="5"/>
            <w:shd w:val="clear" w:color="auto" w:fill="CCEEFF"/>
          </w:tcPr>
          <w:p>
            <w:pPr>
              <w:spacing w:after="0" w:line="136" w:lineRule="exact"/>
              <w:rPr>
                <w:sz w:val="20"/>
                <w:szCs w:val="20"/>
                <w:color w:val="auto"/>
              </w:rPr>
            </w:pPr>
            <w:r>
              <w:rPr>
                <w:rFonts w:ascii="Arial" w:cs="Arial" w:eastAsia="Arial" w:hAnsi="Arial"/>
                <w:sz w:val="12"/>
                <w:szCs w:val="12"/>
                <w:color w:val="auto"/>
              </w:rPr>
              <w:t>5.75% and 10.25% Notes payable to insurance</w:t>
            </w: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premium</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4,900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financing</w:t>
            </w: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540"/>
          </w:cols>
          <w:pgMar w:left="220" w:top="115" w:right="139" w:bottom="0" w:gutter="0" w:footer="0" w:header="0"/>
        </w:sectPr>
      </w:pPr>
    </w:p>
    <w:bookmarkStart w:id="15" w:name="page16"/>
    <w:bookmarkEnd w:id="15"/>
    <w:p>
      <w:pPr>
        <w:ind w:left="8"/>
        <w:spacing w:after="0"/>
        <w:rPr>
          <w:sz w:val="20"/>
          <w:szCs w:val="20"/>
          <w:color w:val="auto"/>
        </w:rPr>
      </w:pPr>
      <w:r>
        <w:rPr>
          <w:rFonts w:ascii="Arial" w:cs="Arial" w:eastAsia="Arial" w:hAnsi="Arial"/>
          <w:sz w:val="12"/>
          <w:szCs w:val="12"/>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33298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2980" cy="20574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(current)</w:t>
      </w:r>
    </w:p>
    <w:p>
      <w:pPr>
        <w:spacing w:after="0" w:line="177" w:lineRule="exact"/>
        <w:rPr>
          <w:sz w:val="20"/>
          <w:szCs w:val="20"/>
          <w:color w:val="auto"/>
        </w:rPr>
      </w:pPr>
    </w:p>
    <w:p>
      <w:pPr>
        <w:ind w:left="68"/>
        <w:spacing w:after="0"/>
        <w:rPr>
          <w:sz w:val="20"/>
          <w:szCs w:val="20"/>
          <w:color w:val="auto"/>
        </w:rPr>
      </w:pPr>
      <w:r>
        <w:rPr>
          <w:rFonts w:ascii="Arial" w:cs="Arial" w:eastAsia="Arial" w:hAnsi="Arial"/>
          <w:sz w:val="12"/>
          <w:szCs w:val="12"/>
          <w:color w:val="auto"/>
        </w:rPr>
        <w:t>10%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332980" cy="640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2980" cy="640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payable to</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vendors for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accounts</w:t>
      </w: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2"/>
                <w:szCs w:val="12"/>
                <w:color w:val="auto"/>
              </w:rPr>
              <w:t>payable</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w w:val="96"/>
              </w:rPr>
              <w:t>converted to</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w w:val="85"/>
              </w:rPr>
              <w:t>notes payable</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415,200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43,000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458,200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119,400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color w:val="auto"/>
                <w:w w:val="88"/>
              </w:rPr>
              <w:t>less: current</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portion</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(415,200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(43,000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(458,200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(119,400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non-</w:t>
            </w:r>
          </w:p>
        </w:tc>
        <w:tc>
          <w:tcPr>
            <w:tcW w:w="4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current</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portion</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ind w:left="40"/>
              <w:spacing w:after="0" w:line="136" w:lineRule="exact"/>
              <w:rPr>
                <w:sz w:val="20"/>
                <w:szCs w:val="20"/>
                <w:color w:val="auto"/>
              </w:rPr>
            </w:pPr>
            <w:r>
              <w:rPr>
                <w:rFonts w:ascii="Arial" w:cs="Arial" w:eastAsia="Arial" w:hAnsi="Arial"/>
                <w:sz w:val="12"/>
                <w:szCs w:val="12"/>
                <w:color w:val="auto"/>
              </w:rPr>
              <w:t>7.0% Note</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payable</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(August</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2012)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58,800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64,600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58,800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color w:val="auto"/>
                <w:w w:val="88"/>
              </w:rPr>
              <w:t>less: current</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portion</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(20,000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(5,800</w:t>
            </w:r>
          </w:p>
        </w:tc>
        <w:tc>
          <w:tcPr>
            <w:tcW w:w="220" w:type="dxa"/>
            <w:vAlign w:val="bottom"/>
          </w:tcPr>
          <w:p>
            <w:pPr>
              <w:spacing w:after="0"/>
              <w:rPr>
                <w:sz w:val="13"/>
                <w:szCs w:val="13"/>
                <w:color w:val="auto"/>
              </w:rPr>
            </w:pP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(25,800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(15,800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w w:val="93"/>
              </w:rPr>
              <w:t>7.0% Notes</w:t>
            </w:r>
          </w:p>
        </w:tc>
        <w:tc>
          <w:tcPr>
            <w:tcW w:w="4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payable -</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non-current</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portion</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38,800</w:t>
            </w: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38,800</w:t>
            </w: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43,000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20" w:type="dxa"/>
            <w:vAlign w:val="bottom"/>
            <w:tcBorders>
              <w:top w:val="single" w:sz="8" w:color="CCEEFF"/>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ind w:left="40"/>
              <w:spacing w:after="0" w:line="136" w:lineRule="exact"/>
              <w:rPr>
                <w:sz w:val="20"/>
                <w:szCs w:val="20"/>
                <w:color w:val="auto"/>
              </w:rPr>
            </w:pPr>
            <w:r>
              <w:rPr>
                <w:rFonts w:ascii="Arial" w:cs="Arial" w:eastAsia="Arial" w:hAnsi="Arial"/>
                <w:sz w:val="12"/>
                <w:szCs w:val="12"/>
                <w:color w:val="auto"/>
                <w:w w:val="97"/>
              </w:rPr>
              <w:t>Total notes</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payable to</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unrelated</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parties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4,012,500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603,300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4,615,800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3,660,100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color w:val="auto"/>
                <w:w w:val="88"/>
              </w:rPr>
              <w:t>less: current</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portion</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(1,644,000</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(257,700</w:t>
            </w:r>
          </w:p>
        </w:tc>
        <w:tc>
          <w:tcPr>
            <w:tcW w:w="220" w:type="dxa"/>
            <w:vAlign w:val="bottom"/>
          </w:tcPr>
          <w:p>
            <w:pPr>
              <w:spacing w:after="0"/>
              <w:rPr>
                <w:sz w:val="13"/>
                <w:szCs w:val="13"/>
                <w:color w:val="auto"/>
              </w:rPr>
            </w:pP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(1,901,700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(1,270,200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non-</w:t>
            </w:r>
          </w:p>
        </w:tc>
        <w:tc>
          <w:tcPr>
            <w:tcW w:w="4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current</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portion</w:t>
            </w: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2,368,500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345,600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2,714,100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2,389,900</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color w:val="auto"/>
              </w:rPr>
              <w:t>less:</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discount</w:t>
            </w:r>
          </w:p>
        </w:tc>
        <w:tc>
          <w:tcPr>
            <w:tcW w:w="4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(672,700</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(672,700</w:t>
            </w:r>
          </w:p>
        </w:tc>
        <w:tc>
          <w:tcPr>
            <w:tcW w:w="220" w:type="dxa"/>
            <w:vAlign w:val="bottom"/>
          </w:tcPr>
          <w:p>
            <w:pPr>
              <w:spacing w:after="0"/>
              <w:rPr>
                <w:sz w:val="13"/>
                <w:szCs w:val="13"/>
                <w:color w:val="auto"/>
              </w:rPr>
            </w:pP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(848,100</w:t>
            </w:r>
          </w:p>
        </w:tc>
        <w:tc>
          <w:tcPr>
            <w:tcW w:w="220" w:type="dxa"/>
            <w:vAlign w:val="bottom"/>
          </w:tcPr>
          <w:p>
            <w:pPr>
              <w:spacing w:after="0"/>
              <w:rPr>
                <w:sz w:val="13"/>
                <w:szCs w:val="13"/>
                <w:color w:val="auto"/>
              </w:rPr>
            </w:pP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1,695,800</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345,600</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2,041,400</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1,541,800</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0"/>
        </w:trPr>
        <w:tc>
          <w:tcPr>
            <w:tcW w:w="66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40" w:type="dxa"/>
            <w:vAlign w:val="bottom"/>
          </w:tcPr>
          <w:p>
            <w:pPr>
              <w:spacing w:after="0" w:line="136" w:lineRule="exact"/>
              <w:rPr>
                <w:sz w:val="20"/>
                <w:szCs w:val="20"/>
                <w:color w:val="auto"/>
              </w:rPr>
            </w:pPr>
            <w:r>
              <w:rPr>
                <w:rFonts w:ascii="Arial" w:cs="Arial" w:eastAsia="Arial" w:hAnsi="Arial"/>
                <w:sz w:val="12"/>
                <w:szCs w:val="12"/>
                <w:b w:val="1"/>
                <w:bCs w:val="1"/>
                <w:i w:val="1"/>
                <w:iCs w:val="1"/>
                <w:color w:val="auto"/>
              </w:rPr>
              <w:t>Notes</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payable to</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related</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parties:</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shd w:val="clear" w:color="auto" w:fill="CCEEFF"/>
          </w:tcPr>
          <w:p>
            <w:pPr>
              <w:ind w:left="40"/>
              <w:spacing w:after="0" w:line="136" w:lineRule="exact"/>
              <w:rPr>
                <w:sz w:val="20"/>
                <w:szCs w:val="20"/>
                <w:color w:val="auto"/>
              </w:rPr>
            </w:pPr>
            <w:r>
              <w:rPr>
                <w:rFonts w:ascii="Arial" w:cs="Arial" w:eastAsia="Arial" w:hAnsi="Arial"/>
                <w:sz w:val="12"/>
                <w:szCs w:val="12"/>
                <w:color w:val="auto"/>
              </w:rPr>
              <w:t>October</w:t>
            </w: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2012 7.5%</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w w:val="91"/>
              </w:rPr>
              <w:t>Note to Cato</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w w:val="98"/>
              </w:rPr>
              <w:t>Holding Co.</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293,600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43,100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336,700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293,600</w:t>
            </w:r>
          </w:p>
        </w:tc>
        <w:tc>
          <w:tcPr>
            <w:tcW w:w="1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color w:val="auto"/>
              </w:rPr>
              <w:t>October</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100"/>
              <w:spacing w:after="0"/>
              <w:rPr>
                <w:sz w:val="20"/>
                <w:szCs w:val="20"/>
                <w:color w:val="auto"/>
              </w:rPr>
            </w:pPr>
            <w:r>
              <w:rPr>
                <w:rFonts w:ascii="Arial" w:cs="Arial" w:eastAsia="Arial" w:hAnsi="Arial"/>
                <w:sz w:val="12"/>
                <w:szCs w:val="12"/>
                <w:color w:val="auto"/>
                <w:w w:val="94"/>
              </w:rPr>
              <w:t>2012 7.5%</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Note to</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Cato</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Research</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tcPr>
          <w:p>
            <w:pPr>
              <w:ind w:left="80"/>
              <w:spacing w:after="0" w:line="153" w:lineRule="exact"/>
              <w:rPr>
                <w:sz w:val="20"/>
                <w:szCs w:val="20"/>
                <w:color w:val="auto"/>
              </w:rPr>
            </w:pPr>
            <w:r>
              <w:rPr>
                <w:rFonts w:ascii="Arial" w:cs="Arial" w:eastAsia="Arial" w:hAnsi="Arial"/>
                <w:sz w:val="12"/>
                <w:szCs w:val="12"/>
                <w:color w:val="auto"/>
              </w:rPr>
              <w:t xml:space="preserve">Ltd. </w:t>
            </w:r>
            <w:r>
              <w:rPr>
                <w:rFonts w:ascii="Arial" w:cs="Arial" w:eastAsia="Arial" w:hAnsi="Arial"/>
                <w:sz w:val="16"/>
                <w:szCs w:val="16"/>
                <w:color w:val="auto"/>
                <w:vertAlign w:val="superscript"/>
              </w:rPr>
              <w:t>(1)</w:t>
            </w:r>
          </w:p>
        </w:tc>
        <w:tc>
          <w:tcPr>
            <w:tcW w:w="4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1,009,000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160,400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1,169,400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1,009,000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1,302,600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203,500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1,506,100</w:t>
            </w: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1,302,600</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tcPr>
          <w:p>
            <w:pPr>
              <w:ind w:left="340"/>
              <w:spacing w:after="0" w:line="136" w:lineRule="exact"/>
              <w:rPr>
                <w:sz w:val="20"/>
                <w:szCs w:val="20"/>
                <w:color w:val="auto"/>
              </w:rPr>
            </w:pPr>
            <w:r>
              <w:rPr>
                <w:rFonts w:ascii="Arial" w:cs="Arial" w:eastAsia="Arial" w:hAnsi="Arial"/>
                <w:sz w:val="12"/>
                <w:szCs w:val="12"/>
                <w:color w:val="auto"/>
              </w:rPr>
              <w:t>Note</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discount</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(79,600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(79,600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(103,200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Total</w:t>
            </w:r>
          </w:p>
        </w:tc>
        <w:tc>
          <w:tcPr>
            <w:tcW w:w="4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w w:val="82"/>
              </w:rPr>
              <w:t>notes payable</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to related</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2"/>
                <w:szCs w:val="12"/>
                <w:color w:val="auto"/>
              </w:rPr>
              <w:t>parties</w:t>
            </w:r>
          </w:p>
        </w:tc>
        <w:tc>
          <w:tcPr>
            <w:tcW w:w="4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1,223,000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203,500</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1,426,500</w:t>
            </w:r>
          </w:p>
        </w:tc>
        <w:tc>
          <w:tcPr>
            <w:tcW w:w="7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1,199,400</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Borders>
              <w:top w:val="single" w:sz="8" w:color="CCEEFF"/>
            </w:tcBorders>
          </w:tcPr>
          <w:p>
            <w:pPr>
              <w:ind w:left="40"/>
              <w:spacing w:after="0" w:line="133" w:lineRule="exact"/>
              <w:rPr>
                <w:sz w:val="20"/>
                <w:szCs w:val="20"/>
                <w:color w:val="auto"/>
              </w:rPr>
            </w:pPr>
            <w:r>
              <w:rPr>
                <w:rFonts w:ascii="Arial" w:cs="Arial" w:eastAsia="Arial" w:hAnsi="Arial"/>
                <w:sz w:val="12"/>
                <w:szCs w:val="12"/>
                <w:color w:val="auto"/>
                <w:w w:val="88"/>
              </w:rPr>
              <w:t>less: current</w:t>
            </w:r>
          </w:p>
        </w:tc>
        <w:tc>
          <w:tcPr>
            <w:tcW w:w="46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portion</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(279,800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(43,100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(322,900</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(259,600</w:t>
            </w:r>
          </w:p>
        </w:tc>
        <w:tc>
          <w:tcPr>
            <w:tcW w:w="72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color w:val="auto"/>
              </w:rPr>
              <w:t>non-</w:t>
            </w:r>
          </w:p>
        </w:tc>
        <w:tc>
          <w:tcPr>
            <w:tcW w:w="4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current</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spacing w:after="0"/>
              <w:rPr>
                <w:sz w:val="20"/>
                <w:szCs w:val="20"/>
                <w:color w:val="auto"/>
              </w:rPr>
            </w:pPr>
            <w:r>
              <w:rPr>
                <w:rFonts w:ascii="Arial" w:cs="Arial" w:eastAsia="Arial" w:hAnsi="Arial"/>
                <w:sz w:val="12"/>
                <w:szCs w:val="12"/>
                <w:color w:val="auto"/>
              </w:rPr>
              <w:t>portion and</w:t>
            </w: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0" w:type="dxa"/>
            <w:vAlign w:val="bottom"/>
            <w:gridSpan w:val="2"/>
          </w:tcPr>
          <w:p>
            <w:pPr>
              <w:spacing w:after="0"/>
              <w:rPr>
                <w:sz w:val="20"/>
                <w:szCs w:val="20"/>
                <w:color w:val="auto"/>
              </w:rPr>
            </w:pPr>
            <w:r>
              <w:rPr>
                <w:rFonts w:ascii="Arial" w:cs="Arial" w:eastAsia="Arial" w:hAnsi="Arial"/>
                <w:sz w:val="12"/>
                <w:szCs w:val="12"/>
                <w:color w:val="auto"/>
              </w:rPr>
              <w:t>discount</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943,200</w:t>
            </w:r>
          </w:p>
        </w:tc>
        <w:tc>
          <w:tcPr>
            <w:tcW w:w="72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160,400</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1,103,600</w:t>
            </w:r>
          </w:p>
        </w:tc>
        <w:tc>
          <w:tcPr>
            <w:tcW w:w="72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939,800</w:t>
            </w:r>
          </w:p>
        </w:tc>
        <w:tc>
          <w:tcPr>
            <w:tcW w:w="16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332980" cy="388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2980" cy="388620"/>
                    </a:xfrm>
                    <a:prstGeom prst="rect">
                      <a:avLst/>
                    </a:prstGeom>
                    <a:noFill/>
                  </pic:spPr>
                </pic:pic>
              </a:graphicData>
            </a:graphic>
          </wp:anchor>
        </w:drawing>
      </w:r>
    </w:p>
    <w:p>
      <w:pPr>
        <w:ind w:left="128" w:hanging="128"/>
        <w:spacing w:after="0"/>
        <w:tabs>
          <w:tab w:leader="none" w:pos="128" w:val="left"/>
        </w:tabs>
        <w:numPr>
          <w:ilvl w:val="0"/>
          <w:numId w:val="4"/>
        </w:numPr>
        <w:rPr>
          <w:rFonts w:ascii="Arial" w:cs="Arial" w:eastAsia="Arial" w:hAnsi="Arial"/>
          <w:sz w:val="15"/>
          <w:szCs w:val="15"/>
          <w:color w:val="auto"/>
          <w:vertAlign w:val="superscript"/>
        </w:rPr>
      </w:pPr>
      <w:r>
        <w:rPr>
          <w:rFonts w:ascii="Arial" w:cs="Arial" w:eastAsia="Arial" w:hAnsi="Arial"/>
          <w:sz w:val="11"/>
          <w:szCs w:val="11"/>
          <w:color w:val="auto"/>
        </w:rPr>
        <w:t>Note and interest payable solely in restricted shares of the Company's common stock.</w:t>
      </w:r>
    </w:p>
    <w:p>
      <w:pPr>
        <w:spacing w:after="0" w:line="90"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8"/>
          </w:cols>
          <w:pgMar w:left="212" w:top="131" w:right="139" w:bottom="1440" w:gutter="0" w:footer="0" w:header="0"/>
        </w:sectPr>
      </w:pPr>
    </w:p>
    <w:bookmarkStart w:id="16" w:name="page17"/>
    <w:bookmarkEnd w:id="1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Significant changes in our convertible promissory notes and other promissory notes since March 31, 2014 are described below:</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Conversion and Warrant Amendment Agreement with Platinum</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On July 18, 2014, we entered into an Amended and Restated Note Conversion Agreement and Warrant Amendment with Platinum (</w:t>
      </w:r>
      <w:r>
        <w:rPr>
          <w:rFonts w:ascii="Arial" w:cs="Arial" w:eastAsia="Arial" w:hAnsi="Arial"/>
          <w:sz w:val="12"/>
          <w:szCs w:val="12"/>
          <w:i w:val="1"/>
          <w:iCs w:val="1"/>
          <w:color w:val="auto"/>
        </w:rPr>
        <w:t>Amendment</w:t>
      </w:r>
      <w:r>
        <w:rPr>
          <w:rFonts w:ascii="Arial" w:cs="Arial" w:eastAsia="Arial" w:hAnsi="Arial"/>
          <w:sz w:val="12"/>
          <w:szCs w:val="12"/>
          <w:color w:val="auto"/>
        </w:rPr>
        <w:t>), pursuant to which Platinum agreed to convert into our unregistered equity securities all Senior Secured Convertible Promissory Notes (</w:t>
      </w:r>
      <w:r>
        <w:rPr>
          <w:rFonts w:ascii="Arial" w:cs="Arial" w:eastAsia="Arial" w:hAnsi="Arial"/>
          <w:sz w:val="12"/>
          <w:szCs w:val="12"/>
          <w:i w:val="1"/>
          <w:iCs w:val="1"/>
          <w:color w:val="auto"/>
        </w:rPr>
        <w:t>Senior Notes</w:t>
      </w:r>
      <w:r>
        <w:rPr>
          <w:rFonts w:ascii="Arial" w:cs="Arial" w:eastAsia="Arial" w:hAnsi="Arial"/>
          <w:sz w:val="12"/>
          <w:szCs w:val="12"/>
          <w:color w:val="auto"/>
        </w:rPr>
        <w:t>) held by Platinum, in the aggregate amount of approximately $4.2 million at September 30, 2014, including accrued but unpaid interest thereon (</w:t>
      </w:r>
      <w:r>
        <w:rPr>
          <w:rFonts w:ascii="Arial" w:cs="Arial" w:eastAsia="Arial" w:hAnsi="Arial"/>
          <w:sz w:val="12"/>
          <w:szCs w:val="12"/>
          <w:i w:val="1"/>
          <w:iCs w:val="1"/>
          <w:color w:val="auto"/>
        </w:rPr>
        <w:t>Outstanding Balance</w:t>
      </w:r>
      <w:r>
        <w:rPr>
          <w:rFonts w:ascii="Arial" w:cs="Arial" w:eastAsia="Arial" w:hAnsi="Arial"/>
          <w:sz w:val="12"/>
          <w:szCs w:val="12"/>
          <w:color w:val="auto"/>
        </w:rPr>
        <w:t>), upon our consummation on or before August 31, 2014 (</w:t>
      </w:r>
      <w:r>
        <w:rPr>
          <w:rFonts w:ascii="Arial" w:cs="Arial" w:eastAsia="Arial" w:hAnsi="Arial"/>
          <w:sz w:val="12"/>
          <w:szCs w:val="12"/>
          <w:i w:val="1"/>
          <w:iCs w:val="1"/>
          <w:color w:val="auto"/>
        </w:rPr>
        <w:t>Closing Date</w:t>
      </w:r>
      <w:r>
        <w:rPr>
          <w:rFonts w:ascii="Arial" w:cs="Arial" w:eastAsia="Arial" w:hAnsi="Arial"/>
          <w:sz w:val="12"/>
          <w:szCs w:val="12"/>
          <w:color w:val="auto"/>
        </w:rPr>
        <w:t>), of either (i) a private equity financing resulting in aggregate gross proceeds of at least $36.0 million (</w:t>
      </w:r>
      <w:r>
        <w:rPr>
          <w:rFonts w:ascii="Arial" w:cs="Arial" w:eastAsia="Arial" w:hAnsi="Arial"/>
          <w:sz w:val="12"/>
          <w:szCs w:val="12"/>
          <w:i w:val="1"/>
          <w:iCs w:val="1"/>
          <w:color w:val="auto"/>
        </w:rPr>
        <w:t>Private Financing</w:t>
      </w:r>
      <w:r>
        <w:rPr>
          <w:rFonts w:ascii="Arial" w:cs="Arial" w:eastAsia="Arial" w:hAnsi="Arial"/>
          <w:sz w:val="12"/>
          <w:szCs w:val="12"/>
          <w:color w:val="auto"/>
        </w:rPr>
        <w:t>), or (ii) a public offering of our equity securities registered with the SEC resulting in gross proceeds of at least $10.0 million (</w:t>
      </w:r>
      <w:r>
        <w:rPr>
          <w:rFonts w:ascii="Arial" w:cs="Arial" w:eastAsia="Arial" w:hAnsi="Arial"/>
          <w:sz w:val="12"/>
          <w:szCs w:val="12"/>
          <w:i w:val="1"/>
          <w:iCs w:val="1"/>
          <w:color w:val="auto"/>
        </w:rPr>
        <w:t>Public Offering</w:t>
      </w:r>
      <w:r>
        <w:rPr>
          <w:rFonts w:ascii="Arial" w:cs="Arial" w:eastAsia="Arial" w:hAnsi="Arial"/>
          <w:sz w:val="12"/>
          <w:szCs w:val="12"/>
          <w:color w:val="auto"/>
        </w:rPr>
        <w:t xml:space="preserve">) (the Private Financing and Public Offering are referred to in this discussion as a </w:t>
      </w:r>
      <w:r>
        <w:rPr>
          <w:rFonts w:ascii="Arial" w:cs="Arial" w:eastAsia="Arial" w:hAnsi="Arial"/>
          <w:sz w:val="12"/>
          <w:szCs w:val="12"/>
          <w:i w:val="1"/>
          <w:iCs w:val="1"/>
          <w:color w:val="auto"/>
        </w:rPr>
        <w:t>Platinum Qualified Financing</w:t>
      </w:r>
      <w:r>
        <w:rPr>
          <w:rFonts w:ascii="Arial" w:cs="Arial" w:eastAsia="Arial" w:hAnsi="Arial"/>
          <w:sz w:val="12"/>
          <w:szCs w:val="12"/>
          <w:color w:val="auto"/>
        </w:rPr>
        <w:t>). In August and September 2014, we amended the Amendment to extend the Closing Date until October 31, 2014. Upon consummation of a Private Financing, the Senior Notes will convert into that number of unregistered shares of our common stock equal to the Outstanding Balance on the Closing Date, divided by $10.00 per share. Upon consummation of a Public Offering, the Senior Notes will convert into shares of newly created Series B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xml:space="preserve">) at the lower of $10.00 per share or the lowest per-share price in the Public Offering and having an aggregate liquidation preference equal to the Outstanding Balance on the Closing Date (see Note 8,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regarding </w:t>
      </w:r>
      <w:r>
        <w:rPr>
          <w:rFonts w:ascii="Arial" w:cs="Arial" w:eastAsia="Arial" w:hAnsi="Arial"/>
          <w:sz w:val="12"/>
          <w:szCs w:val="12"/>
          <w:i w:val="1"/>
          <w:iCs w:val="1"/>
          <w:color w:val="auto"/>
        </w:rPr>
        <w:t>Creation of Series B</w:t>
      </w:r>
      <w:r>
        <w:rPr>
          <w:rFonts w:ascii="Arial" w:cs="Arial" w:eastAsia="Arial" w:hAnsi="Arial"/>
          <w:sz w:val="12"/>
          <w:szCs w:val="12"/>
          <w:color w:val="auto"/>
        </w:rPr>
        <w:t xml:space="preserve"> </w:t>
      </w:r>
      <w:r>
        <w:rPr>
          <w:rFonts w:ascii="Arial" w:cs="Arial" w:eastAsia="Arial" w:hAnsi="Arial"/>
          <w:sz w:val="12"/>
          <w:szCs w:val="12"/>
          <w:i w:val="1"/>
          <w:iCs w:val="1"/>
          <w:color w:val="auto"/>
        </w:rPr>
        <w:t>Preferred Stock</w:t>
      </w:r>
      <w:r>
        <w:rPr>
          <w:rFonts w:ascii="Arial" w:cs="Arial" w:eastAsia="Arial" w:hAnsi="Arial"/>
          <w:sz w:val="12"/>
          <w:szCs w:val="12"/>
          <w:color w:val="auto"/>
        </w:rPr>
        <w: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Additionally, pursuant to the terms and conditions of the Amendment, in the event we consummate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2"/>
          <w:szCs w:val="12"/>
          <w:i w:val="1"/>
          <w:iCs w:val="1"/>
          <w:color w:val="auto"/>
        </w:rPr>
        <w:t>NEPA</w:t>
      </w:r>
      <w:r>
        <w:rPr>
          <w:rFonts w:ascii="Arial" w:cs="Arial" w:eastAsia="Arial" w:hAnsi="Arial"/>
          <w:sz w:val="12"/>
          <w:szCs w:val="12"/>
          <w:color w:val="auto"/>
        </w:rPr>
        <w:t>), if any, will be fixed at the lower of $10.00 per share or the purchase price of common stock sold in the Platinum Qualified Financing. Finally, the anti-dilutive provisions contained in the Platinum Warrants, other than typical adjustments for stock splits, combinations and dividends, will be terminated as of the closing date.</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Platinum also agreed to terminate the Amended and Restated Security Agreement, Intellectual Property Security and Stock Pledge Agreement and Negative Covenant Agreement, each dated October 11, 2012, related to the Senior Notes and the NEPA, and to release all of its security interests in our assets in connection with our completion of a Platinum Qualified Financing and conversion of the Senior Notes.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determined that the Amendment resulted in a modification of the Senior Notes that should be accounted for as an extinguishment of debt. Considering, among other factors, the cash flows and conversion features of the Senior Notes as modified by the Amendment, market interest rates for debt of similar quality and the relative probabilities of conversion of the Senior Notes into either shares of our common stock or Series B Preferred upon consummation of a Qualified Financing, we determined that the fair values of the Senior Notes at July 18, 2014, aggregating $6,475,000, represented a substantial premium over their aggregate $4,138,700 face values plus accrued interest. In accordance with the provisions of ASC 470-20, </w:t>
      </w:r>
      <w:r>
        <w:rPr>
          <w:rFonts w:ascii="Arial" w:cs="Arial" w:eastAsia="Arial" w:hAnsi="Arial"/>
          <w:sz w:val="11"/>
          <w:szCs w:val="11"/>
          <w:i w:val="1"/>
          <w:iCs w:val="1"/>
          <w:color w:val="auto"/>
        </w:rPr>
        <w:t>Debt with Conversion and Other Options,</w:t>
      </w:r>
      <w:r>
        <w:rPr>
          <w:rFonts w:ascii="Arial" w:cs="Arial" w:eastAsia="Arial" w:hAnsi="Arial"/>
          <w:sz w:val="11"/>
          <w:szCs w:val="11"/>
          <w:color w:val="auto"/>
        </w:rPr>
        <w:t xml:space="preserve"> we recognized the premium in excess of the face value and accrued interest, $2,336,300, as a non-cash component of loss on extinguishment of debt in the accompanying Condensed Consolidated Statements of Operations and Comprehensive Loss with a credit to additional paid-in capital, an equity account. Consequently, we recorded the liability for the Senior Notes at their face values plus accrued interest. We recognized the difference between the pre-modification carrying values of the notes and their face values, an aggregate of $1,983,700, as an additional non-cash charge to loss on extinguishment of debt in the accompanying Condensed Consolidated Statement of Operations and Comprehensive Loss. Certain of the Senior Notes contained a beneficial conversion feature at the time they were originally issued. We have accounted for the repurchase of the beneficial conversion feature at the time of the modification, an aggregate of $2,716,600,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amendment of the Senior Notes recognized in the accompanying Condensed Consolidated Statements of Operations and Comprehensive Loss is $1,603,400.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 w:name="page18"/>
    <w:bookmarkEnd w:id="1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2014 Unit Private Placement</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As described more completely in the section entitled </w:t>
      </w:r>
      <w:r>
        <w:rPr>
          <w:rFonts w:ascii="Arial" w:cs="Arial" w:eastAsia="Arial" w:hAnsi="Arial"/>
          <w:sz w:val="11"/>
          <w:szCs w:val="11"/>
          <w:i w:val="1"/>
          <w:iCs w:val="1"/>
          <w:color w:val="auto"/>
        </w:rPr>
        <w:t>2014 Unit Private Placement</w:t>
      </w:r>
      <w:r>
        <w:rPr>
          <w:rFonts w:ascii="Arial" w:cs="Arial" w:eastAsia="Arial" w:hAnsi="Arial"/>
          <w:sz w:val="11"/>
          <w:szCs w:val="11"/>
          <w:color w:val="auto"/>
        </w:rPr>
        <w:t xml:space="preserve"> in Note 8,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between late March 2014 and September 30, 2014, we issued to accredited investors 10% convertible notes (the </w:t>
      </w:r>
      <w:r>
        <w:rPr>
          <w:rFonts w:ascii="Arial" w:cs="Arial" w:eastAsia="Arial" w:hAnsi="Arial"/>
          <w:sz w:val="11"/>
          <w:szCs w:val="11"/>
          <w:i w:val="1"/>
          <w:iCs w:val="1"/>
          <w:color w:val="auto"/>
        </w:rPr>
        <w:t>2014Unit Notes</w:t>
      </w:r>
      <w:r>
        <w:rPr>
          <w:rFonts w:ascii="Arial" w:cs="Arial" w:eastAsia="Arial" w:hAnsi="Arial"/>
          <w:sz w:val="11"/>
          <w:szCs w:val="11"/>
          <w:color w:val="auto"/>
        </w:rPr>
        <w:t xml:space="preserve">) in the aggregate face amount of $1,775,000, including an aggregate face amount of $750,000 of such notes issued to Platinum and 2014 Unit Notes in the aggregate principal amount of $50,000 issued prior to March 31, 2014, in connection with our private placement offering of Units. (See Note 10,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after September 30, 2014.) The 2014 Unit Notes mature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xml:space="preserve">) and the outstanding principal of the 2014 Unit Notes and their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which will be recorded upon the consummation of a Qualified Financing. Under certain circumstances, the holders of the 2014 Unit Notes may request payment in cash in lieu of automatic conversion into the securities of the Qualified Financing.</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those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Based on their respective discounts, the effective interest rates attributable to the 2014 Unit Notes range from 38.7% to 1116.8%, with a weighted average rate of 402.9%.</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of 2013/2014 Unit Notes and Warrants</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Effective May 31, 2014, we entered into note and warrant amendment agreements with substantially all holders of our 2013/2014 Unit Notes and 2013/2014 Unit Warrants, each of whom agreed to (i) modify certain terms of their 2013/2014 Unit Note to conform to the corresponding terms of the 2014 Unit Notes, including an extension of the maturity date of their 2013/2014 Unit Note from July 30, 2014 to March 31, 2015, as well as adoption of the automatic conversion and 25% conversion premium features related to consummation of a Qualified Financing, as described above (</w:t>
      </w:r>
      <w:r>
        <w:rPr>
          <w:rFonts w:ascii="Arial" w:cs="Arial" w:eastAsia="Arial" w:hAnsi="Arial"/>
          <w:sz w:val="11"/>
          <w:szCs w:val="11"/>
          <w:i w:val="1"/>
          <w:iCs w:val="1"/>
          <w:color w:val="auto"/>
        </w:rPr>
        <w:t>Amended 2013 Unit Notes</w:t>
      </w:r>
      <w:r>
        <w:rPr>
          <w:rFonts w:ascii="Arial" w:cs="Arial" w:eastAsia="Arial" w:hAnsi="Arial"/>
          <w:sz w:val="11"/>
          <w:szCs w:val="11"/>
          <w:color w:val="auto"/>
        </w:rPr>
        <w:t>), and (ii) modify certain terms of their 2013/2014 Unit Warrants, including the exercise price and expiration date, to conform to the corresponding terms of the 2014 Unit Warrants (</w:t>
      </w:r>
      <w:r>
        <w:rPr>
          <w:rFonts w:ascii="Arial" w:cs="Arial" w:eastAsia="Arial" w:hAnsi="Arial"/>
          <w:sz w:val="11"/>
          <w:szCs w:val="11"/>
          <w:i w:val="1"/>
          <w:iCs w:val="1"/>
          <w:color w:val="auto"/>
        </w:rPr>
        <w:t>Amended 2013 Unit Warrants</w:t>
      </w:r>
      <w:r>
        <w:rPr>
          <w:rFonts w:ascii="Arial" w:cs="Arial" w:eastAsia="Arial" w:hAnsi="Arial"/>
          <w:sz w:val="11"/>
          <w:szCs w:val="11"/>
          <w:color w:val="auto"/>
        </w:rPr>
        <w:t>). Holders of 2013/2014 Unit Notes having an aggregate initial face amount of $895,000 agreed to such amendments. The maturity date of 2013/2014 Unit Notes payable to holders who did not agree to amend their 2013/2014 Unit Note and 2013/2014 Unit Warrant remained July 30, 2014 and the $20.00 per share exercise price and July 30, 2016 expiration date of the 2013/2014 Unit Warrants held by such holders remains unchanged. Between April 1, 2014 and August 15, 2014, we repaid 2013/2014 Unit Notes having an initial face value of $ 112,500.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8" w:name="page19"/>
    <w:bookmarkEnd w:id="18"/>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8"/>
        <w:spacing w:after="0" w:line="278" w:lineRule="auto"/>
        <w:rPr>
          <w:sz w:val="20"/>
          <w:szCs w:val="20"/>
          <w:color w:val="auto"/>
        </w:rPr>
      </w:pPr>
      <w:r>
        <w:rPr>
          <w:rFonts w:ascii="Arial" w:cs="Arial" w:eastAsia="Arial" w:hAnsi="Arial"/>
          <w:sz w:val="11"/>
          <w:szCs w:val="11"/>
          <w:color w:val="auto"/>
        </w:rPr>
        <w:t xml:space="preserve">We determined that the modification of the 2013/2014 Unit Notes and the 2013/2014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1"/>
          <w:szCs w:val="11"/>
          <w:i w:val="1"/>
          <w:iCs w:val="1"/>
          <w:color w:val="auto"/>
        </w:rPr>
        <w:t>Debt with Conversion and Other</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Options, </w:t>
      </w:r>
      <w:r>
        <w:rPr>
          <w:rFonts w:ascii="Arial" w:cs="Arial" w:eastAsia="Arial" w:hAnsi="Arial"/>
          <w:sz w:val="11"/>
          <w:szCs w:val="11"/>
          <w:color w:val="auto"/>
        </w:rPr>
        <w:t>we recognized the premium in excess of the face value, $450,600, as a credit to additional paid-in capital, an equity account. Consequently, we recorded the liability for the Amended 2013 Unit Notes at their face values. We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8, </w:t>
      </w:r>
      <w:r>
        <w:rPr>
          <w:rFonts w:ascii="Arial" w:cs="Arial" w:eastAsia="Arial" w:hAnsi="Arial"/>
          <w:sz w:val="11"/>
          <w:szCs w:val="11"/>
          <w:i w:val="1"/>
          <w:iCs w:val="1"/>
          <w:color w:val="auto"/>
        </w:rPr>
        <w:t>Capital Stock</w:t>
      </w:r>
      <w:r>
        <w:rPr>
          <w:rFonts w:ascii="Arial" w:cs="Arial" w:eastAsia="Arial" w:hAnsi="Arial"/>
          <w:sz w:val="11"/>
          <w:szCs w:val="11"/>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2013/2014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 At September 30, 2014, no unamended 2013/2014 Unit Notes remain outstanding.</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Extension of McCarthy Tetrault Note Maturity Date</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color w:val="auto"/>
        </w:rPr>
        <w:t xml:space="preserve">On June 11, 2014, we agreed with McCarthy Tetrault, our legal counsel in Ontario, Canada </w:t>
      </w:r>
      <w:r>
        <w:rPr>
          <w:rFonts w:ascii="Arial" w:cs="Arial" w:eastAsia="Arial" w:hAnsi="Arial"/>
          <w:sz w:val="11"/>
          <w:szCs w:val="11"/>
          <w:i w:val="1"/>
          <w:iCs w:val="1"/>
          <w:color w:val="auto"/>
        </w:rPr>
        <w:t>(McCarthy</w:t>
      </w:r>
      <w:r>
        <w:rPr>
          <w:rFonts w:ascii="Arial" w:cs="Arial" w:eastAsia="Arial" w:hAnsi="Arial"/>
          <w:sz w:val="11"/>
          <w:szCs w:val="11"/>
          <w:color w:val="auto"/>
        </w:rPr>
        <w:t>), to extend the maturity date of our promissory note payable to McCarthy from June 14, 2014 to the earlier of (i) September 30, 2014,</w:t>
      </w:r>
    </w:p>
    <w:p>
      <w:pPr>
        <w:spacing w:after="0" w:line="26" w:lineRule="exact"/>
        <w:rPr>
          <w:sz w:val="20"/>
          <w:szCs w:val="20"/>
          <w:color w:val="auto"/>
        </w:rPr>
      </w:pPr>
    </w:p>
    <w:p>
      <w:pPr>
        <w:jc w:val="both"/>
        <w:ind w:left="8" w:hanging="8"/>
        <w:spacing w:after="0" w:line="255" w:lineRule="auto"/>
        <w:tabs>
          <w:tab w:leader="none" w:pos="191"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consummation of a financing in which we receive gross cash proceeds of at least $15.0 million, or (iii) consummation of a change of control of the Company, as defined in the McCarthy note. McCarthy also agreed to forbear with respect to the requirement that we make monthly payments on the McCarthy note from the date of the agreement until maturity and granted us a waiver with respect to previously missed monthly payments. At September 30, 2014, the McCarthy note remained outstanding.</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Interest on Notes Payable to be Repaid upon Exercise of Warrants</w:t>
      </w:r>
    </w:p>
    <w:p>
      <w:pPr>
        <w:spacing w:after="0" w:line="172"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Between August 2012 and October 2012, we issued to Morrison &amp; Foerster, LLP, our intellectual property counsel (</w:t>
      </w:r>
      <w:r>
        <w:rPr>
          <w:rFonts w:ascii="Arial" w:cs="Arial" w:eastAsia="Arial" w:hAnsi="Arial"/>
          <w:sz w:val="11"/>
          <w:szCs w:val="11"/>
          <w:i w:val="1"/>
          <w:iCs w:val="1"/>
          <w:color w:val="auto"/>
        </w:rPr>
        <w:t>M&amp;F</w:t>
      </w:r>
      <w:r>
        <w:rPr>
          <w:rFonts w:ascii="Arial" w:cs="Arial" w:eastAsia="Arial" w:hAnsi="Arial"/>
          <w:sz w:val="11"/>
          <w:szCs w:val="11"/>
          <w:color w:val="auto"/>
        </w:rPr>
        <w:t>), Cato Research Ltd., our contract research organization for development of AV-101 (</w:t>
      </w:r>
      <w:r>
        <w:rPr>
          <w:rFonts w:ascii="Arial" w:cs="Arial" w:eastAsia="Arial" w:hAnsi="Arial"/>
          <w:sz w:val="11"/>
          <w:szCs w:val="11"/>
          <w:i w:val="1"/>
          <w:iCs w:val="1"/>
          <w:color w:val="auto"/>
        </w:rPr>
        <w:t>CRL</w:t>
      </w:r>
      <w:r>
        <w:rPr>
          <w:rFonts w:ascii="Arial" w:cs="Arial" w:eastAsia="Arial" w:hAnsi="Arial"/>
          <w:sz w:val="11"/>
          <w:szCs w:val="11"/>
          <w:color w:val="auto"/>
        </w:rPr>
        <w:t>), and University Health Network, our long-term stem cell research collaborator (</w:t>
      </w:r>
      <w:r>
        <w:rPr>
          <w:rFonts w:ascii="Arial" w:cs="Arial" w:eastAsia="Arial" w:hAnsi="Arial"/>
          <w:sz w:val="11"/>
          <w:szCs w:val="11"/>
          <w:i w:val="1"/>
          <w:iCs w:val="1"/>
          <w:color w:val="auto"/>
        </w:rPr>
        <w:t>UHN</w:t>
      </w:r>
      <w:r>
        <w:rPr>
          <w:rFonts w:ascii="Arial" w:cs="Arial" w:eastAsia="Arial" w:hAnsi="Arial"/>
          <w:sz w:val="11"/>
          <w:szCs w:val="11"/>
          <w:color w:val="auto"/>
        </w:rPr>
        <w:t>), certain unsecured promissory notes and related warrants. The respective notes are payable solely in restricted shares of our common stock pursuant to M&amp;F’s, CRL’s, and UHN’s surrender from time to time of all or a portion of the principal and interest balance due on their respective notes in connection with their concurrent exercise of their respective warrant. Between March 31, 2014 and September 30, 2014 we adjusted the M&amp;F warrant, the CRL warrant and the UHN warrant to increase the number of restricted shares available for purchase by 3,459 shares, 2,152 shares and 1,034 shares, respectively, based on interest accrued on the underlying notes through September 30, 2014. We have recorded the fair value of the additional warrant shares, an aggregate of $29,900, as a charge to interest expense and a corresponding credit to additional paid-in capital.</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8. Capital Stock</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Reverse Split</w:t>
      </w:r>
    </w:p>
    <w:p>
      <w:pPr>
        <w:spacing w:after="0" w:line="17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As indicated in Note 2, </w:t>
      </w:r>
      <w:r>
        <w:rPr>
          <w:rFonts w:ascii="Arial" w:cs="Arial" w:eastAsia="Arial" w:hAnsi="Arial"/>
          <w:sz w:val="12"/>
          <w:szCs w:val="12"/>
          <w:i w:val="1"/>
          <w:iCs w:val="1"/>
          <w:color w:val="auto"/>
        </w:rPr>
        <w:t>Basis of Presentation and Going Concern</w:t>
      </w:r>
      <w:r>
        <w:rPr>
          <w:rFonts w:ascii="Arial" w:cs="Arial" w:eastAsia="Arial" w:hAnsi="Arial"/>
          <w:sz w:val="12"/>
          <w:szCs w:val="12"/>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19" w:name="page20"/>
    <w:bookmarkEnd w:id="19"/>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Creation of Series B Preferred Stock</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On July 17, 2014, our Board of Directors authorized the creation of a class of Series B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to provide for the conversion of the Senior Secured Convertible Promissory Notes held by Platinum totaling approximately $4.2 million in principal and accrued interest at September 30, 2014 (</w:t>
      </w:r>
      <w:r>
        <w:rPr>
          <w:rFonts w:ascii="Arial" w:cs="Arial" w:eastAsia="Arial" w:hAnsi="Arial"/>
          <w:sz w:val="12"/>
          <w:szCs w:val="12"/>
          <w:i w:val="1"/>
          <w:iCs w:val="1"/>
          <w:color w:val="auto"/>
        </w:rPr>
        <w:t>Outstanding Balance</w:t>
      </w:r>
      <w:r>
        <w:rPr>
          <w:rFonts w:ascii="Arial" w:cs="Arial" w:eastAsia="Arial" w:hAnsi="Arial"/>
          <w:sz w:val="12"/>
          <w:szCs w:val="12"/>
          <w:color w:val="auto"/>
        </w:rPr>
        <w:t>) into Series B Preferred upon consummation of the Public Offering referred to in the section entitled “Note Conversion and Warrant Amendment Agreement with Platinum” in Note 7 above. Notwithstanding the authorization from our Board of Directors to designate a portion of our authorized shares of preferred stock as Series B Preferred, we have yet to file a certificate of designation with the Nevada Secretary of State to amend our Articles of Incorporation to formally establish the Series B Preferred. The number of shares of Series B Preferred to be issued will be calculated based on the liquidation preference for the Series B Preferred, which will equal the Outstanding Balance as of the date of consummation of the Public Offering, divided by the lesser of (i) $10.00 and (ii) the per-share price of the common stock sold in the Public Offering. Each share of Series B Preferred will be exchangeable at the option of Platinum into shares of our common stock at the price per-share of common stock sold in the Public Offering. The Series B Preferred will rank prior to our common stock for purposes of liquidation preference.</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Series B Preferred will have no separate dividend rights. However, whenever the Board of Directors declares a dividend on the common stock, each holder of record of a share of Series B Preferred, or any fraction of a share of Series B Preferred, on the date set by the Board of Directors to determine the owners of the common stock of record entitled to receive such dividend (</w:t>
      </w:r>
      <w:r>
        <w:rPr>
          <w:rFonts w:ascii="Arial" w:cs="Arial" w:eastAsia="Arial" w:hAnsi="Arial"/>
          <w:sz w:val="12"/>
          <w:szCs w:val="12"/>
          <w:i w:val="1"/>
          <w:iCs w:val="1"/>
          <w:color w:val="auto"/>
        </w:rPr>
        <w:t>Record Date</w:t>
      </w:r>
      <w:r>
        <w:rPr>
          <w:rFonts w:ascii="Arial" w:cs="Arial" w:eastAsia="Arial" w:hAnsi="Arial"/>
          <w:sz w:val="12"/>
          <w:szCs w:val="12"/>
          <w:color w:val="auto"/>
        </w:rPr>
        <w:t>) will be entitled to receive out of any assets at the time legally available therefor, an amount equal to such dividend declared on one share of common stock multiplied by the number of shares of common stock into which such share, or such fraction of a share, of Series B Preferred could be exchanged on the Record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B Preferred shall be entitled to vote separately as a class, the Series B Preferred will have no voting rights. The common stock into which the Series B Preferred shall be exchangeable will,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B Preferred then outstanding will be entitled to receive, out of our remaining assets, if any, an amount per share of Series B Preferred calculated by taking the total amount available for distribution to holders of all of our outstanding common stock before deduction of any preference payments for the Series B Preferred, divided by the total of (x), all of the then outstanding shares of our common stock, plus (y) all of the shares of our common stock into which all of the outstanding shares of the Series B Preferred can be exchanged before any payment shall be made or any assets distributed to the holders of the common stock or any other junior stock.</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Between late-March and September 30, 2014, we entered into securities purchase agreements with accredited investors, including Platinum, pursuant to which we sold units to such accredited investors in private placement transactions (</w:t>
      </w:r>
      <w:r>
        <w:rPr>
          <w:rFonts w:ascii="Arial" w:cs="Arial" w:eastAsia="Arial" w:hAnsi="Arial"/>
          <w:sz w:val="11"/>
          <w:szCs w:val="11"/>
          <w:i w:val="1"/>
          <w:iCs w:val="1"/>
          <w:color w:val="auto"/>
        </w:rPr>
        <w:t>2014 Units</w:t>
      </w:r>
      <w:r>
        <w:rPr>
          <w:rFonts w:ascii="Arial" w:cs="Arial" w:eastAsia="Arial" w:hAnsi="Arial"/>
          <w:sz w:val="11"/>
          <w:szCs w:val="11"/>
          <w:color w:val="auto"/>
        </w:rPr>
        <w:t>), for aggregate cash proceeds of $1,775,000, consisting of (i) 2014 Unit Notes in the aggregate face amount of $1,775,000 due on March 31, 2015 or automatically convertible into securities we may issue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 (ii) an aggregate of 88,750 restricted shares of our common stock (</w:t>
      </w:r>
      <w:r>
        <w:rPr>
          <w:rFonts w:ascii="Arial" w:cs="Arial" w:eastAsia="Arial" w:hAnsi="Arial"/>
          <w:sz w:val="11"/>
          <w:szCs w:val="11"/>
          <w:i w:val="1"/>
          <w:iCs w:val="1"/>
          <w:color w:val="auto"/>
        </w:rPr>
        <w:t>2014 Unit Stock)</w:t>
      </w:r>
      <w:r>
        <w:rPr>
          <w:rFonts w:ascii="Arial" w:cs="Arial" w:eastAsia="Arial" w:hAnsi="Arial"/>
          <w:sz w:val="11"/>
          <w:szCs w:val="11"/>
          <w:color w:val="auto"/>
        </w:rPr>
        <w:t>; and (iii) warrants exercisable through December 31, 2016 to purchase an aggregate of 88,750 restricted shares of our common stock at an exercise price of $10.00 per share (</w:t>
      </w:r>
      <w:r>
        <w:rPr>
          <w:rFonts w:ascii="Arial" w:cs="Arial" w:eastAsia="Arial" w:hAnsi="Arial"/>
          <w:sz w:val="11"/>
          <w:szCs w:val="11"/>
          <w:i w:val="1"/>
          <w:iCs w:val="1"/>
          <w:color w:val="auto"/>
        </w:rPr>
        <w:t>2014 Unit Warrants</w:t>
      </w:r>
      <w:r>
        <w:rPr>
          <w:rFonts w:ascii="Arial" w:cs="Arial" w:eastAsia="Arial" w:hAnsi="Arial"/>
          <w:sz w:val="11"/>
          <w:szCs w:val="11"/>
          <w:color w:val="auto"/>
        </w:rPr>
        <w:t>).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Units prior to March 31, 2014, which Units are reflected in the figures above.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0" w:name="page21"/>
    <w:bookmarkEnd w:id="2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allocated the proceeds from the sale of the 2014 Units to the various securities based on their relative fair values on the dates of the sales. As described in Note 7, </w:t>
      </w:r>
      <w:r>
        <w:rPr>
          <w:rFonts w:ascii="Arial" w:cs="Arial" w:eastAsia="Arial" w:hAnsi="Arial"/>
          <w:sz w:val="11"/>
          <w:szCs w:val="11"/>
          <w:i w:val="1"/>
          <w:iCs w:val="1"/>
          <w:color w:val="auto"/>
        </w:rPr>
        <w:t>Convertible PromissoryNotes and Other Notes Payable</w:t>
      </w:r>
      <w:r>
        <w:rPr>
          <w:rFonts w:ascii="Arial" w:cs="Arial" w:eastAsia="Arial" w:hAnsi="Arial"/>
          <w:sz w:val="11"/>
          <w:szCs w:val="11"/>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at the 2014 Unit sales date.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w w:val="95"/>
              </w:rPr>
              <w:t>Unit Warrants</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3"/>
        </w:trPr>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40" w:type="dxa"/>
            <w:vAlign w:val="bottom"/>
            <w:gridSpan w:val="8"/>
          </w:tcPr>
          <w:p>
            <w:pPr>
              <w:jc w:val="center"/>
              <w:ind w:right="200"/>
              <w:spacing w:after="0" w:line="133" w:lineRule="exact"/>
              <w:rPr>
                <w:sz w:val="20"/>
                <w:szCs w:val="20"/>
                <w:color w:val="auto"/>
              </w:rPr>
            </w:pPr>
            <w:r>
              <w:rPr>
                <w:rFonts w:ascii="Arial" w:cs="Arial" w:eastAsia="Arial" w:hAnsi="Arial"/>
                <w:sz w:val="12"/>
                <w:szCs w:val="12"/>
                <w:color w:val="auto"/>
                <w:w w:val="90"/>
              </w:rPr>
              <w:t>Aggregate Allocation of Proceeds Based on</w:t>
            </w:r>
          </w:p>
        </w:tc>
      </w:tr>
      <w:tr>
        <w:trPr>
          <w:trHeight w:val="153"/>
        </w:trPr>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2"/>
                <w:szCs w:val="12"/>
                <w:color w:val="auto"/>
                <w:w w:val="95"/>
              </w:rPr>
              <w:t>Weighted Average Issuance Date Valuation Assumptions</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color w:val="auto"/>
                <w:w w:val="93"/>
              </w:rPr>
              <w:t>Relative Fair Value of:</w:t>
            </w: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3"/>
        </w:trPr>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2"/>
                <w:szCs w:val="12"/>
                <w:color w:val="auto"/>
                <w:w w:val="90"/>
              </w:rPr>
              <w:t>Aggregate</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86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Warrant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Per Share</w:t>
            </w:r>
          </w:p>
        </w:tc>
        <w:tc>
          <w:tcPr>
            <w:tcW w:w="640" w:type="dxa"/>
            <w:vAlign w:val="bottom"/>
            <w:gridSpan w:val="2"/>
          </w:tcPr>
          <w:p>
            <w:pPr>
              <w:jc w:val="center"/>
              <w:spacing w:after="0"/>
              <w:rPr>
                <w:sz w:val="20"/>
                <w:szCs w:val="20"/>
                <w:color w:val="auto"/>
              </w:rPr>
            </w:pPr>
            <w:r>
              <w:rPr>
                <w:rFonts w:ascii="Arial" w:cs="Arial" w:eastAsia="Arial" w:hAnsi="Arial"/>
                <w:sz w:val="12"/>
                <w:szCs w:val="12"/>
                <w:color w:val="auto"/>
                <w:w w:val="91"/>
              </w:rPr>
              <w:t>Fair Value of</w:t>
            </w:r>
          </w:p>
        </w:tc>
        <w:tc>
          <w:tcPr>
            <w:tcW w:w="26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Aggregate</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860" w:type="dxa"/>
            <w:vAlign w:val="bottom"/>
            <w:gridSpan w:val="2"/>
          </w:tcPr>
          <w:p>
            <w:pPr>
              <w:jc w:val="center"/>
              <w:ind w:right="260"/>
              <w:spacing w:after="0"/>
              <w:rPr>
                <w:sz w:val="20"/>
                <w:szCs w:val="20"/>
                <w:color w:val="auto"/>
              </w:rPr>
            </w:pPr>
            <w:r>
              <w:rPr>
                <w:rFonts w:ascii="Arial" w:cs="Arial" w:eastAsia="Arial" w:hAnsi="Arial"/>
                <w:sz w:val="12"/>
                <w:szCs w:val="12"/>
                <w:color w:val="auto"/>
                <w:w w:val="84"/>
              </w:rPr>
              <w:t>Shares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Exercise</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color w:val="auto"/>
                <w:w w:val="92"/>
              </w:rPr>
              <w:t>Risk free</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98"/>
              </w:rPr>
              <w:t>Dividend</w:t>
            </w:r>
          </w:p>
        </w:tc>
        <w:tc>
          <w:tcPr>
            <w:tcW w:w="80" w:type="dxa"/>
            <w:vAlign w:val="bottom"/>
          </w:tcPr>
          <w:p>
            <w:pPr>
              <w:spacing w:after="0"/>
              <w:rPr>
                <w:sz w:val="12"/>
                <w:szCs w:val="12"/>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2"/>
                <w:szCs w:val="12"/>
                <w:color w:val="auto"/>
                <w:w w:val="91"/>
              </w:rPr>
              <w:t>Fair Value of</w:t>
            </w:r>
          </w:p>
        </w:tc>
        <w:tc>
          <w:tcPr>
            <w:tcW w:w="6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auto"/>
              </w:rPr>
              <w:t>Unit</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Proceeds of</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4"/>
              </w:rPr>
              <w:t>Issued</w:t>
            </w:r>
          </w:p>
        </w:tc>
        <w:tc>
          <w:tcPr>
            <w:tcW w:w="240" w:type="dxa"/>
            <w:vAlign w:val="bottom"/>
          </w:tcPr>
          <w:p>
            <w:pPr>
              <w:spacing w:after="0"/>
              <w:rPr>
                <w:sz w:val="13"/>
                <w:szCs w:val="13"/>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9"/>
              </w:rPr>
              <w:t>Market Price</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87"/>
              </w:rPr>
              <w:t>Price</w:t>
            </w:r>
          </w:p>
        </w:tc>
        <w:tc>
          <w:tcPr>
            <w:tcW w:w="2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Term (Years)</w:t>
            </w:r>
          </w:p>
        </w:tc>
        <w:tc>
          <w:tcPr>
            <w:tcW w:w="2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Interest Rate</w:t>
            </w:r>
          </w:p>
        </w:tc>
        <w:tc>
          <w:tcPr>
            <w:tcW w:w="260" w:type="dxa"/>
            <w:vAlign w:val="bottom"/>
          </w:tcPr>
          <w:p>
            <w:pPr>
              <w:spacing w:after="0"/>
              <w:rPr>
                <w:sz w:val="13"/>
                <w:szCs w:val="13"/>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Volatility</w:t>
            </w:r>
          </w:p>
        </w:tc>
        <w:tc>
          <w:tcPr>
            <w:tcW w:w="28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Rate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Warrants</w:t>
            </w:r>
          </w:p>
        </w:tc>
        <w:tc>
          <w:tcPr>
            <w:tcW w:w="26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7"/>
              </w:rPr>
              <w:t>Unit Sales</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1"/>
              </w:rPr>
              <w:t>Unit Stock</w:t>
            </w:r>
          </w:p>
        </w:tc>
        <w:tc>
          <w:tcPr>
            <w:tcW w:w="240" w:type="dxa"/>
            <w:vAlign w:val="bottom"/>
          </w:tcPr>
          <w:p>
            <w:pPr>
              <w:spacing w:after="0"/>
              <w:rPr>
                <w:sz w:val="13"/>
                <w:szCs w:val="13"/>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1"/>
              </w:rPr>
              <w:t>Unit Warrant</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5"/>
              </w:rPr>
              <w:t>Unit Note</w:t>
            </w:r>
          </w:p>
        </w:tc>
        <w:tc>
          <w:tcPr>
            <w:tcW w:w="140" w:type="dxa"/>
            <w:vAlign w:val="bottom"/>
          </w:tcPr>
          <w:p>
            <w:pPr>
              <w:spacing w:after="0"/>
              <w:rPr>
                <w:sz w:val="13"/>
                <w:szCs w:val="13"/>
                <w:color w:val="auto"/>
              </w:rPr>
            </w:pPr>
          </w:p>
        </w:tc>
      </w:tr>
      <w:tr>
        <w:trPr>
          <w:trHeight w:val="142"/>
        </w:trPr>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88,750</w:t>
            </w:r>
          </w:p>
        </w:tc>
        <w:tc>
          <w:tcPr>
            <w:tcW w:w="2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0.71%</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75.80%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471,800</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w w:val="96"/>
              </w:rPr>
              <w:t>$   1,775,000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256,900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989,100</w:t>
            </w:r>
          </w:p>
        </w:tc>
        <w:tc>
          <w:tcPr>
            <w:tcW w:w="140" w:type="dxa"/>
            <w:vAlign w:val="bottom"/>
            <w:shd w:val="clear" w:color="auto" w:fill="CCEEFF"/>
          </w:tcPr>
          <w:p>
            <w:pPr>
              <w:spacing w:after="0"/>
              <w:rPr>
                <w:sz w:val="12"/>
                <w:szCs w:val="12"/>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of Notes and Warrants issued in 2013/2014 Unit Private Placement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indicated in Note 7</w:t>
      </w:r>
      <w:r>
        <w:rPr>
          <w:rFonts w:ascii="Arial" w:cs="Arial" w:eastAsia="Arial" w:hAnsi="Arial"/>
          <w:sz w:val="12"/>
          <w:szCs w:val="12"/>
          <w:i w:val="1"/>
          <w:iCs w:val="1"/>
          <w:color w:val="auto"/>
        </w:rPr>
        <w:t>, Convertible Promissory Notes and Other Notes Payable</w:t>
      </w:r>
      <w:r>
        <w:rPr>
          <w:rFonts w:ascii="Arial" w:cs="Arial" w:eastAsia="Arial" w:hAnsi="Arial"/>
          <w:sz w:val="12"/>
          <w:szCs w:val="12"/>
          <w:color w:val="auto"/>
        </w:rPr>
        <w:t>, effective May 31, 2014, we entered into note and warrant amendment agreements with substantially all holders of 2013/2014 Unit Notes and 2013/2014 Unit Warrants to (i) modify certain terms of their 2013/2014 Unit Notes, including the maturity date and certain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$895,000 and warrants to purchase an aggregate of 93,250 restricted shares of our common stock agreed to the amendments.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calculated the fair value of the modified 2013/2014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20.00</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Remaining contractual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2.17</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3.73</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6.65</w:t>
            </w:r>
          </w:p>
        </w:tc>
        <w:tc>
          <w:tcPr>
            <w:tcW w:w="0" w:type="dxa"/>
            <w:vAlign w:val="bottom"/>
          </w:tcPr>
          <w:p>
            <w:pPr>
              <w:spacing w:after="0"/>
              <w:rPr>
                <w:sz w:val="1"/>
                <w:szCs w:val="1"/>
                <w:color w:val="auto"/>
              </w:rPr>
            </w:pPr>
          </w:p>
        </w:tc>
      </w:tr>
      <w:tr>
        <w:trPr>
          <w:trHeight w:val="293"/>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In April 2014, we entered into an agreement with Icahn School of Medicine at Mount Sinai (</w:t>
      </w:r>
      <w:r>
        <w:rPr>
          <w:rFonts w:ascii="Arial" w:cs="Arial" w:eastAsia="Arial" w:hAnsi="Arial"/>
          <w:sz w:val="11"/>
          <w:szCs w:val="11"/>
          <w:i w:val="1"/>
          <w:iCs w:val="1"/>
          <w:color w:val="auto"/>
        </w:rPr>
        <w:t>Icahn School</w:t>
      </w:r>
      <w:r>
        <w:rPr>
          <w:rFonts w:ascii="Arial" w:cs="Arial" w:eastAsia="Arial" w:hAnsi="Arial"/>
          <w:sz w:val="11"/>
          <w:szCs w:val="11"/>
          <w:color w:val="auto"/>
        </w:rPr>
        <w:t xml:space="preserve">) ,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to,Icahn School in satisfaction of $288,400 of stem cell technology license maintenance fees and reimbursable patent prosecution costs (the </w:t>
      </w:r>
      <w:r>
        <w:rPr>
          <w:rFonts w:ascii="Arial" w:cs="Arial" w:eastAsia="Arial" w:hAnsi="Arial"/>
          <w:sz w:val="11"/>
          <w:szCs w:val="11"/>
          <w:i w:val="1"/>
          <w:iCs w:val="1"/>
          <w:color w:val="auto"/>
        </w:rPr>
        <w:t>Agreement</w:t>
      </w:r>
      <w:r>
        <w:rPr>
          <w:rFonts w:ascii="Arial" w:cs="Arial" w:eastAsia="Arial" w:hAnsi="Arial"/>
          <w:sz w:val="11"/>
          <w:szCs w:val="11"/>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$34,300 of license maintenance fees and reimbursable patent prosecution costs has been added to the principal amount of the promissory note through September 30, 2014.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1" w:name="page22"/>
    <w:bookmarkEnd w:id="2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of Common Stock to Consultant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The agreement also requires us to pay an aggregate of $70,000 between May 2014 and October 2014 as additional compensation for professional services rendered by the strategic consultant.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AG Securities Purchase Agreement</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On April 8, 2013, we entered into the Securities Purchase Agreement with Autilion, a company organized and existing under the laws of Switzerland. Under the terms of the Securities Purchase Agreement, Autilion remains contractually obligated to consummate the Autilion Financing and purchase an aggregate of 3.6 million restricted shares of our common stock at a purchase price of $10.00 per share for aggregate cash consideration of $36.0 million. Through our fiscal year ended March 31, 2014, Autilion had completed only a nominal initial closing under the Securities Purchase Agreement, in the amount of $25,000, and we had issued 2,500 restricted shares of our common stock. At September 30, 2014 and through the date of this report, Autilion has not completed a material closing of the Autilion Financing and, remains in default under the Securities Purchase Agreement. No assurances can be provided that Autilion will complete any material closing under the Securities Purchase Agreement.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 Outstanding</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Following the warrant issuances and modifications described above, at September 30, 2014, we had outstanding warrants to purchase shares of our restricted common stock at a weighted average exercise price of $15.74 per share as follows:</w:t>
      </w:r>
    </w:p>
    <w:p>
      <w:pPr>
        <w:spacing w:after="0" w:line="129" w:lineRule="exact"/>
        <w:rPr>
          <w:sz w:val="20"/>
          <w:szCs w:val="20"/>
          <w:color w:val="auto"/>
        </w:rPr>
      </w:pPr>
    </w:p>
    <w:tbl>
      <w:tblPr>
        <w:tblLayout w:type="fixed"/>
        <w:tblInd w:w="17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060" w:type="dxa"/>
            <w:vAlign w:val="bottom"/>
          </w:tcPr>
          <w:p>
            <w:pPr>
              <w:jc w:val="center"/>
              <w:ind w:left="306"/>
              <w:spacing w:after="0"/>
              <w:rPr>
                <w:sz w:val="20"/>
                <w:szCs w:val="20"/>
                <w:color w:val="auto"/>
              </w:rPr>
            </w:pPr>
            <w:r>
              <w:rPr>
                <w:rFonts w:ascii="Arial" w:cs="Arial" w:eastAsia="Arial" w:hAnsi="Arial"/>
                <w:sz w:val="12"/>
                <w:szCs w:val="12"/>
                <w:b w:val="1"/>
                <w:bCs w:val="1"/>
                <w:color w:val="auto"/>
                <w:w w:val="89"/>
              </w:rPr>
              <w:t>Exercise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89"/>
              </w:rPr>
              <w:t>Weighted Average</w:t>
            </w:r>
          </w:p>
        </w:tc>
        <w:tc>
          <w:tcPr>
            <w:tcW w:w="160" w:type="dxa"/>
            <w:vAlign w:val="bottom"/>
          </w:tcPr>
          <w:p>
            <w:pPr>
              <w:spacing w:after="0"/>
              <w:rPr>
                <w:sz w:val="12"/>
                <w:szCs w:val="12"/>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Shares Subject to</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jc w:val="center"/>
              <w:ind w:left="306"/>
              <w:spacing w:after="0"/>
              <w:rPr>
                <w:sz w:val="20"/>
                <w:szCs w:val="20"/>
                <w:color w:val="auto"/>
              </w:rPr>
            </w:pPr>
            <w:r>
              <w:rPr>
                <w:rFonts w:ascii="Arial" w:cs="Arial" w:eastAsia="Arial" w:hAnsi="Arial"/>
                <w:sz w:val="12"/>
                <w:szCs w:val="12"/>
                <w:b w:val="1"/>
                <w:bCs w:val="1"/>
                <w:color w:val="auto"/>
                <w:w w:val="95"/>
              </w:rPr>
              <w:t>Price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88"/>
              </w:rPr>
              <w:t>Years to</w:t>
            </w:r>
          </w:p>
        </w:tc>
        <w:tc>
          <w:tcPr>
            <w:tcW w:w="160" w:type="dxa"/>
            <w:vAlign w:val="bottom"/>
          </w:tcPr>
          <w:p>
            <w:pPr>
              <w:spacing w:after="0"/>
              <w:rPr>
                <w:sz w:val="12"/>
                <w:szCs w:val="12"/>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Purchase at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0" w:type="dxa"/>
            <w:vAlign w:val="bottom"/>
          </w:tcPr>
          <w:p>
            <w:pPr>
              <w:jc w:val="center"/>
              <w:ind w:left="326"/>
              <w:spacing w:after="0"/>
              <w:rPr>
                <w:sz w:val="20"/>
                <w:szCs w:val="20"/>
                <w:color w:val="auto"/>
              </w:rPr>
            </w:pPr>
            <w:r>
              <w:rPr>
                <w:rFonts w:ascii="Arial" w:cs="Arial" w:eastAsia="Arial" w:hAnsi="Arial"/>
                <w:sz w:val="12"/>
                <w:szCs w:val="12"/>
                <w:b w:val="1"/>
                <w:bCs w:val="1"/>
                <w:color w:val="auto"/>
                <w:w w:val="90"/>
              </w:rPr>
              <w:t>per Share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3"/>
                <w:szCs w:val="13"/>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September 30, 2014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60" w:type="dxa"/>
            <w:vAlign w:val="bottom"/>
            <w:shd w:val="clear" w:color="auto" w:fill="CCEEFF"/>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12/31/2014 to 3/31/2019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487,368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12.80</w:t>
            </w:r>
          </w:p>
        </w:tc>
        <w:tc>
          <w:tcPr>
            <w:tcW w:w="2900" w:type="dxa"/>
            <w:vAlign w:val="bottom"/>
            <w:gridSpan w:val="2"/>
          </w:tcPr>
          <w:p>
            <w:pPr>
              <w:ind w:left="60"/>
              <w:spacing w:after="0"/>
              <w:rPr>
                <w:sz w:val="20"/>
                <w:szCs w:val="20"/>
                <w:color w:val="auto"/>
              </w:rPr>
            </w:pPr>
            <w:r>
              <w:rPr>
                <w:rFonts w:ascii="Arial" w:cs="Arial" w:eastAsia="Arial" w:hAnsi="Arial"/>
                <w:sz w:val="12"/>
                <w:szCs w:val="12"/>
                <w:color w:val="auto"/>
              </w:rPr>
              <w:t>3/3/2023</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8.42</w:t>
            </w:r>
          </w:p>
        </w:tc>
        <w:tc>
          <w:tcPr>
            <w:tcW w:w="2080" w:type="dxa"/>
            <w:vAlign w:val="bottom"/>
            <w:gridSpan w:val="2"/>
          </w:tcPr>
          <w:p>
            <w:pPr>
              <w:jc w:val="right"/>
              <w:spacing w:after="0"/>
              <w:rPr>
                <w:sz w:val="20"/>
                <w:szCs w:val="20"/>
                <w:color w:val="auto"/>
              </w:rPr>
            </w:pPr>
            <w:r>
              <w:rPr>
                <w:rFonts w:ascii="Arial" w:cs="Arial" w:eastAsia="Arial" w:hAnsi="Arial"/>
                <w:sz w:val="12"/>
                <w:szCs w:val="12"/>
                <w:color w:val="auto"/>
              </w:rPr>
              <w:t>147,000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shd w:val="clear" w:color="auto" w:fill="CCEEFF"/>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w:t>
            </w:r>
          </w:p>
        </w:tc>
        <w:tc>
          <w:tcPr>
            <w:tcW w:w="2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5/31/2015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0.67</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20.00</w:t>
            </w:r>
          </w:p>
        </w:tc>
        <w:tc>
          <w:tcPr>
            <w:tcW w:w="2900" w:type="dxa"/>
            <w:vAlign w:val="bottom"/>
            <w:gridSpan w:val="2"/>
          </w:tcPr>
          <w:p>
            <w:pPr>
              <w:ind w:left="60"/>
              <w:spacing w:after="0"/>
              <w:rPr>
                <w:sz w:val="20"/>
                <w:szCs w:val="20"/>
                <w:color w:val="auto"/>
              </w:rPr>
            </w:pPr>
            <w:r>
              <w:rPr>
                <w:rFonts w:ascii="Arial" w:cs="Arial" w:eastAsia="Arial" w:hAnsi="Arial"/>
                <w:sz w:val="12"/>
                <w:szCs w:val="12"/>
                <w:color w:val="auto"/>
              </w:rPr>
              <w:t>7/30/2016 to 9/30/2017</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2.93</w:t>
            </w:r>
          </w:p>
        </w:tc>
        <w:tc>
          <w:tcPr>
            <w:tcW w:w="2080" w:type="dxa"/>
            <w:vAlign w:val="bottom"/>
            <w:gridSpan w:val="2"/>
          </w:tcPr>
          <w:p>
            <w:pPr>
              <w:jc w:val="right"/>
              <w:spacing w:after="0"/>
              <w:rPr>
                <w:sz w:val="20"/>
                <w:szCs w:val="20"/>
                <w:color w:val="auto"/>
              </w:rPr>
            </w:pPr>
            <w:r>
              <w:rPr>
                <w:rFonts w:ascii="Arial" w:cs="Arial" w:eastAsia="Arial" w:hAnsi="Arial"/>
                <w:sz w:val="12"/>
                <w:szCs w:val="12"/>
                <w:color w:val="auto"/>
              </w:rPr>
              <w:t>179,697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shd w:val="clear" w:color="auto" w:fill="CCEEFF"/>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2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12/31/2014 to 5/31/2015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30.00</w:t>
            </w:r>
          </w:p>
        </w:tc>
        <w:tc>
          <w:tcPr>
            <w:tcW w:w="2900" w:type="dxa"/>
            <w:vAlign w:val="bottom"/>
            <w:gridSpan w:val="2"/>
          </w:tcPr>
          <w:p>
            <w:pPr>
              <w:ind w:left="60"/>
              <w:spacing w:after="0"/>
              <w:rPr>
                <w:sz w:val="20"/>
                <w:szCs w:val="20"/>
                <w:color w:val="auto"/>
              </w:rPr>
            </w:pPr>
            <w:r>
              <w:rPr>
                <w:rFonts w:ascii="Arial" w:cs="Arial" w:eastAsia="Arial" w:hAnsi="Arial"/>
                <w:sz w:val="12"/>
                <w:szCs w:val="12"/>
                <w:color w:val="auto"/>
              </w:rPr>
              <w:t>11/4/2014 to 3/4/2018</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1.95</w:t>
            </w:r>
          </w:p>
        </w:tc>
        <w:tc>
          <w:tcPr>
            <w:tcW w:w="2080" w:type="dxa"/>
            <w:vAlign w:val="bottom"/>
            <w:gridSpan w:val="2"/>
          </w:tcPr>
          <w:p>
            <w:pPr>
              <w:jc w:val="right"/>
              <w:spacing w:after="0"/>
              <w:rPr>
                <w:sz w:val="20"/>
                <w:szCs w:val="20"/>
                <w:color w:val="auto"/>
              </w:rPr>
            </w:pPr>
            <w:r>
              <w:rPr>
                <w:rFonts w:ascii="Arial" w:cs="Arial" w:eastAsia="Arial" w:hAnsi="Arial"/>
                <w:sz w:val="12"/>
                <w:szCs w:val="12"/>
                <w:color w:val="auto"/>
              </w:rPr>
              <w:t>117,702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shd w:val="clear" w:color="auto" w:fill="CCEEFF"/>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40.00</w:t>
            </w:r>
          </w:p>
        </w:tc>
        <w:tc>
          <w:tcPr>
            <w:tcW w:w="2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9/15/2017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21,250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50.00</w:t>
            </w:r>
          </w:p>
        </w:tc>
        <w:tc>
          <w:tcPr>
            <w:tcW w:w="2900" w:type="dxa"/>
            <w:vAlign w:val="bottom"/>
            <w:gridSpan w:val="2"/>
          </w:tcPr>
          <w:p>
            <w:pPr>
              <w:ind w:left="60"/>
              <w:spacing w:after="0"/>
              <w:rPr>
                <w:sz w:val="20"/>
                <w:szCs w:val="20"/>
                <w:color w:val="auto"/>
              </w:rPr>
            </w:pPr>
            <w:r>
              <w:rPr>
                <w:rFonts w:ascii="Arial" w:cs="Arial" w:eastAsia="Arial" w:hAnsi="Arial"/>
                <w:sz w:val="12"/>
                <w:szCs w:val="12"/>
                <w:color w:val="auto"/>
              </w:rPr>
              <w:t>5/31/2015</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0.67</w:t>
            </w:r>
          </w:p>
        </w:tc>
        <w:tc>
          <w:tcPr>
            <w:tcW w:w="2080" w:type="dxa"/>
            <w:vAlign w:val="bottom"/>
            <w:gridSpan w:val="2"/>
          </w:tcPr>
          <w:p>
            <w:pPr>
              <w:jc w:val="right"/>
              <w:spacing w:after="0"/>
              <w:rPr>
                <w:sz w:val="20"/>
                <w:szCs w:val="20"/>
                <w:color w:val="auto"/>
              </w:rPr>
            </w:pPr>
            <w:r>
              <w:rPr>
                <w:rFonts w:ascii="Arial" w:cs="Arial" w:eastAsia="Arial" w:hAnsi="Arial"/>
                <w:sz w:val="12"/>
                <w:szCs w:val="12"/>
                <w:color w:val="auto"/>
              </w:rPr>
              <w:t>2,126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shd w:val="clear" w:color="auto" w:fill="CCEEFF"/>
          </w:tcPr>
          <w:p>
            <w:pPr>
              <w:jc w:val="right"/>
              <w:ind w:right="986"/>
              <w:spacing w:after="0"/>
              <w:rPr>
                <w:sz w:val="20"/>
                <w:szCs w:val="20"/>
                <w:color w:val="auto"/>
              </w:rPr>
            </w:pPr>
            <w:r>
              <w:rPr>
                <w:rFonts w:ascii="Arial" w:cs="Arial" w:eastAsia="Arial" w:hAnsi="Arial"/>
                <w:sz w:val="5"/>
                <w:szCs w:val="5"/>
                <w:color w:val="auto"/>
                <w:w w:val="70"/>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52.50</w:t>
            </w:r>
          </w:p>
        </w:tc>
        <w:tc>
          <w:tcPr>
            <w:tcW w:w="2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1/31/2015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0.34</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3,078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986"/>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60.00</w:t>
            </w:r>
          </w:p>
        </w:tc>
        <w:tc>
          <w:tcPr>
            <w:tcW w:w="2900" w:type="dxa"/>
            <w:vAlign w:val="bottom"/>
            <w:gridSpan w:val="2"/>
          </w:tcPr>
          <w:p>
            <w:pPr>
              <w:ind w:left="60"/>
              <w:spacing w:after="0"/>
              <w:rPr>
                <w:sz w:val="20"/>
                <w:szCs w:val="20"/>
                <w:color w:val="auto"/>
              </w:rPr>
            </w:pPr>
            <w:r>
              <w:rPr>
                <w:rFonts w:ascii="Arial" w:cs="Arial" w:eastAsia="Arial" w:hAnsi="Arial"/>
                <w:sz w:val="12"/>
                <w:szCs w:val="12"/>
                <w:color w:val="auto"/>
              </w:rPr>
              <w:t>2/13/2016</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1.37</w:t>
            </w:r>
          </w:p>
        </w:tc>
        <w:tc>
          <w:tcPr>
            <w:tcW w:w="2080" w:type="dxa"/>
            <w:vAlign w:val="bottom"/>
            <w:gridSpan w:val="2"/>
          </w:tcPr>
          <w:p>
            <w:pPr>
              <w:jc w:val="right"/>
              <w:spacing w:after="0"/>
              <w:rPr>
                <w:sz w:val="20"/>
                <w:szCs w:val="20"/>
                <w:color w:val="auto"/>
              </w:rPr>
            </w:pPr>
            <w:r>
              <w:rPr>
                <w:rFonts w:ascii="Arial" w:cs="Arial" w:eastAsia="Arial" w:hAnsi="Arial"/>
                <w:sz w:val="12"/>
                <w:szCs w:val="12"/>
                <w:color w:val="auto"/>
              </w:rPr>
              <w:t>1,250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3.49</w:t>
            </w:r>
          </w:p>
        </w:tc>
        <w:tc>
          <w:tcPr>
            <w:tcW w:w="2080" w:type="dxa"/>
            <w:vAlign w:val="bottom"/>
            <w:gridSpan w:val="2"/>
          </w:tcPr>
          <w:p>
            <w:pPr>
              <w:jc w:val="right"/>
              <w:spacing w:after="0"/>
              <w:rPr>
                <w:sz w:val="20"/>
                <w:szCs w:val="20"/>
                <w:color w:val="auto"/>
              </w:rPr>
            </w:pPr>
            <w:r>
              <w:rPr>
                <w:rFonts w:ascii="Arial" w:cs="Arial" w:eastAsia="Arial" w:hAnsi="Arial"/>
                <w:sz w:val="12"/>
                <w:szCs w:val="12"/>
                <w:color w:val="auto"/>
              </w:rPr>
              <w:t>962,758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Related Party Transactions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September and December 2013, one of our executive officers provided short-term cash advances aggregating $64,000 to meet our short-term working capital requirements. In lieu of our cash repayment of the advances, in December 2013, the officer elected to invest $50,000 in the 2013 Unit Private Placement. Since March 31, 2014, we have repaid the remaining $3,600 balance of the advances and the $50,000 promissory note issued in connection with the officer’s investment in the 2013 Unit Private Placement and related accrued interest.</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of our largest institutional stockholders at September 30, 2014. In October 2012, we issued a 7.5% promissory note (</w:t>
      </w:r>
      <w:r>
        <w:rPr>
          <w:rFonts w:ascii="Arial" w:cs="Arial" w:eastAsia="Arial" w:hAnsi="Arial"/>
          <w:sz w:val="12"/>
          <w:szCs w:val="12"/>
          <w:i w:val="1"/>
          <w:iCs w:val="1"/>
          <w:color w:val="auto"/>
        </w:rPr>
        <w:t>CHC</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and a warrant (</w:t>
      </w:r>
      <w:r>
        <w:rPr>
          <w:rFonts w:ascii="Arial" w:cs="Arial" w:eastAsia="Arial" w:hAnsi="Arial"/>
          <w:sz w:val="12"/>
          <w:szCs w:val="12"/>
          <w:i w:val="1"/>
          <w:iCs w:val="1"/>
          <w:color w:val="auto"/>
        </w:rPr>
        <w:t>CHC Warrant</w:t>
      </w:r>
      <w:r>
        <w:rPr>
          <w:rFonts w:ascii="Arial" w:cs="Arial" w:eastAsia="Arial" w:hAnsi="Arial"/>
          <w:sz w:val="12"/>
          <w:szCs w:val="12"/>
          <w:color w:val="auto"/>
        </w:rPr>
        <w:t>) to CHC in settlement of prior indebtedness. Total interest expense, including amortization of note discount, on the CHC Note was $7,500 and $8,000 in the three month periods ended September 30,</w:t>
      </w:r>
      <w:r>
        <w:rPr>
          <w:rFonts w:ascii="Arial" w:cs="Arial" w:eastAsia="Arial" w:hAnsi="Arial"/>
          <w:sz w:val="12"/>
          <w:szCs w:val="12"/>
          <w:i w:val="1"/>
          <w:iCs w:val="1"/>
          <w:color w:val="auto"/>
        </w:rPr>
        <w:t xml:space="preserve"> </w:t>
      </w:r>
      <w:r>
        <w:rPr>
          <w:rFonts w:ascii="Arial" w:cs="Arial" w:eastAsia="Arial" w:hAnsi="Arial"/>
          <w:sz w:val="12"/>
          <w:szCs w:val="12"/>
          <w:color w:val="auto"/>
        </w:rPr>
        <w:t>2014 and 2013, respectively, and $15,100 and $16,100 in the six month periods ended September 30, 2014 and 2013, respectively.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2" w:name="page23"/>
    <w:bookmarkEnd w:id="22"/>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During fiscal year 2007, we entered into a contract research arrangement with CRL, a contract research organization, related to the development of AV-101, our prodrug candidate which has successfully completed Phase 1 clinical development, and subsequent other projects under which we incurred expenses of $7,500 in each of the three month periods ended September 30, 2014 and 2013 and $15,000 and $37,500 in the six month periods ended September 30, 2014 and 2013, respectively.</w:t>
      </w:r>
    </w:p>
    <w:p>
      <w:pPr>
        <w:spacing w:after="0" w:line="14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In October 2012, we issued to CRL (i) a 7.5% promissory note (</w:t>
      </w:r>
      <w:r>
        <w:rPr>
          <w:rFonts w:ascii="Arial" w:cs="Arial" w:eastAsia="Arial" w:hAnsi="Arial"/>
          <w:sz w:val="12"/>
          <w:szCs w:val="12"/>
          <w:i w:val="1"/>
          <w:iCs w:val="1"/>
          <w:color w:val="auto"/>
        </w:rPr>
        <w:t>CRL Note</w:t>
      </w:r>
      <w:r>
        <w:rPr>
          <w:rFonts w:ascii="Arial" w:cs="Arial" w:eastAsia="Arial" w:hAnsi="Arial"/>
          <w:sz w:val="12"/>
          <w:szCs w:val="12"/>
          <w:color w:val="auto"/>
        </w:rPr>
        <w:t>) as payment in full for all contract research and development services and regulatory advice (</w:t>
      </w:r>
      <w:r>
        <w:rPr>
          <w:rFonts w:ascii="Arial" w:cs="Arial" w:eastAsia="Arial" w:hAnsi="Arial"/>
          <w:sz w:val="12"/>
          <w:szCs w:val="12"/>
          <w:i w:val="1"/>
          <w:iCs w:val="1"/>
          <w:color w:val="auto"/>
        </w:rPr>
        <w:t>CRO Services</w:t>
      </w:r>
      <w:r>
        <w:rPr>
          <w:rFonts w:ascii="Arial" w:cs="Arial" w:eastAsia="Arial" w:hAnsi="Arial"/>
          <w:sz w:val="12"/>
          <w:szCs w:val="12"/>
          <w:color w:val="auto"/>
        </w:rPr>
        <w:t>) rendered by CRL to us through December 31, 2012 with respect to the preclinical and clinical development of AV-101, and (ii) a warrant (</w:t>
      </w:r>
      <w:r>
        <w:rPr>
          <w:rFonts w:ascii="Arial" w:cs="Arial" w:eastAsia="Arial" w:hAnsi="Arial"/>
          <w:sz w:val="12"/>
          <w:szCs w:val="12"/>
          <w:i w:val="1"/>
          <w:iCs w:val="1"/>
          <w:color w:val="auto"/>
        </w:rPr>
        <w:t>CRL Warrant</w:t>
      </w:r>
      <w:r>
        <w:rPr>
          <w:rFonts w:ascii="Arial" w:cs="Arial" w:eastAsia="Arial" w:hAnsi="Arial"/>
          <w:sz w:val="12"/>
          <w:szCs w:val="12"/>
          <w:color w:val="auto"/>
        </w:rPr>
        <w:t>). The CRL Note is payable solely by CRL's surrender from time to time of all or a portion of the principal and interest balance due on the CRL Note in connection with its concurrent exercise of the CRL Warrant. Total interest expense, including amortization of the note discount, on the CRL Note was $36,800 and $35,600 for the three month periods ended September 30, 2014 and 2013, respectively, and $73,600 and $71,500 for the six month periods ended September 30, 2014 and 2013, respectively.</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10. Subsequent Events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0"/>
          <w:szCs w:val="10"/>
          <w:color w:val="auto"/>
        </w:rPr>
        <w:t>From October 1, 2014 to November 17, 2014, we entered into additional securities purchase agreements with accredited investors pursuant to which we sold units to such accredited investors in private placement transactions consisting of</w:t>
      </w:r>
    </w:p>
    <w:p>
      <w:pPr>
        <w:spacing w:after="0" w:line="38" w:lineRule="exact"/>
        <w:rPr>
          <w:sz w:val="20"/>
          <w:szCs w:val="20"/>
          <w:color w:val="auto"/>
        </w:rPr>
      </w:pPr>
    </w:p>
    <w:p>
      <w:pPr>
        <w:ind w:left="8" w:right="20" w:hanging="8"/>
        <w:spacing w:after="0" w:line="261" w:lineRule="auto"/>
        <w:tabs>
          <w:tab w:leader="none" w:pos="153" w:val="left"/>
        </w:tabs>
        <w:numPr>
          <w:ilvl w:val="0"/>
          <w:numId w:val="6"/>
        </w:numPr>
        <w:rPr>
          <w:rFonts w:ascii="Arial" w:cs="Arial" w:eastAsia="Arial" w:hAnsi="Arial"/>
          <w:sz w:val="12"/>
          <w:szCs w:val="12"/>
          <w:color w:val="auto"/>
        </w:rPr>
      </w:pPr>
      <w:r>
        <w:rPr>
          <w:rFonts w:ascii="Arial" w:cs="Arial" w:eastAsia="Arial" w:hAnsi="Arial"/>
          <w:sz w:val="12"/>
          <w:szCs w:val="12"/>
          <w:color w:val="auto"/>
        </w:rPr>
        <w:t>one-year 10% convertible 2014 Unit Notes in the aggregate face amount of $165,000; (ii) an aggregate of 8,250 shares of our restricted common stock; and (iii) warrants exercisable through December 31, 2016 to purchase an aggregate of 8,250 restricted shares of our common stock at an exercise price of $10.00 per share. We received cash proceeds of $165,000 from the sales of the Units.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Receivable from sale of Common Stock</w:t>
      </w:r>
    </w:p>
    <w:p>
      <w:pPr>
        <w:spacing w:after="0" w:line="15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October 2, 2014 we received a cash payment of $60,000 from the maker of the May 2011 note receivable issued to us to purchase shares of our common stock. For strategic purposes, we have considered that payment to be in full satisfaction of the outstanding principal balance of the note, $192,900, and related accrued interest at September 30, 2014.</w:t>
      </w:r>
    </w:p>
    <w:p>
      <w:pPr>
        <w:spacing w:after="0" w:line="111" w:lineRule="exact"/>
        <w:rPr>
          <w:sz w:val="20"/>
          <w:szCs w:val="20"/>
          <w:color w:val="auto"/>
        </w:rPr>
      </w:pPr>
    </w:p>
    <w:p>
      <w:pPr>
        <w:ind w:left="8"/>
        <w:spacing w:after="0"/>
        <w:tabs>
          <w:tab w:leader="none" w:pos="888"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i w:val="1"/>
          <w:iCs w:val="1"/>
          <w:color w:val="auto"/>
        </w:rPr>
        <w:t>This Quarterly Report on Form 10-Q includes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our Annual Report on Form 10-K for the year ended March 31, 2014 and in our other filings with the SEC.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23" w:name="page24"/>
    <w:bookmarkEnd w:id="2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on Form 10-Q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clinical-stage biopharmaceutical company developing novel medicine to treat depression, cancer and diseases and disorders involving the central nervous system.</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Our initial product candidate is AV-101, an orally-available, non-sedating prodrug (precursor chemical compound) that is rapidly converted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to its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a well-characterized, potent and selective blocker of the required glycine-B (</w:t>
      </w:r>
      <w:r>
        <w:rPr>
          <w:rFonts w:ascii="Arial" w:cs="Arial" w:eastAsia="Arial" w:hAnsi="Arial"/>
          <w:sz w:val="11"/>
          <w:szCs w:val="11"/>
          <w:i w:val="1"/>
          <w:iCs w:val="1"/>
          <w:color w:val="auto"/>
        </w:rPr>
        <w:t>GlyB</w:t>
      </w:r>
      <w:r>
        <w:rPr>
          <w:rFonts w:ascii="Arial" w:cs="Arial" w:eastAsia="Arial" w:hAnsi="Arial"/>
          <w:sz w:val="11"/>
          <w:szCs w:val="11"/>
          <w:color w:val="auto"/>
        </w:rPr>
        <w:t>) site of the N-methyl-D-aspartate receptors (</w:t>
      </w:r>
      <w:r>
        <w:rPr>
          <w:rFonts w:ascii="Arial" w:cs="Arial" w:eastAsia="Arial" w:hAnsi="Arial"/>
          <w:sz w:val="11"/>
          <w:szCs w:val="11"/>
          <w:i w:val="1"/>
          <w:iCs w:val="1"/>
          <w:color w:val="auto"/>
        </w:rPr>
        <w:t>NMDAR</w:t>
      </w:r>
      <w:r>
        <w:rPr>
          <w:rFonts w:ascii="Arial" w:cs="Arial" w:eastAsia="Arial" w:hAnsi="Arial"/>
          <w:sz w:val="11"/>
          <w:szCs w:val="11"/>
          <w:color w:val="auto"/>
        </w:rPr>
        <w:t>). However, 7-Cl-KYNA does not cross the blood-brain barrier, making it a poor drug candidate. AV-101, the prodrug of 7-C1-KYNA, readily gains access to the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 after oral administration and is converted to 7-Cl-KYNA by astrocytes that are preferentially activated at sites of neuronal injury or excitotoxic insult. AV-101 is a novel potential treatment for multiple diseases and disorders involving the CNS, including Major Depressive Disorder, epilepsy, neuropathic pain and neurodegenerative diseases such as Parkinson’s disease.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 for Depression</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Depression is a global public health concern. The World Health Organization estimates that “depression is the leading cause of disability worldwide, and is a major contributor to the global burden of disease,” affecting 350 million people globally, including nearly 7% of adults in the United States.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Although antidepressant drugs are available, millions of depression patients are poorly served by current antidepressant therapies, many of which require several weeks before therapeutic benefits are achieved. In addition to the high percentage of depressed patients who are not effectively treated by current antidepressant drugs, the several week lag period in onset of action of traditional antidepressants is recognized as a major limitation, resulting in substantial morbidity and high risk of suicidal behavior, especially during the first two weeks after starting treatment. Therefore, safe, novel depression medicine with rapid onset of antidepressant effects could have a major impact on public health in the U.S. and worldwide.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randomized, placebo-controlled, double-blind clinical trials conducted by Dr. Carlos Zarate and others at the National Institute of Mental Health (</w:t>
      </w:r>
      <w:r>
        <w:rPr>
          <w:rFonts w:ascii="Arial" w:cs="Arial" w:eastAsia="Arial" w:hAnsi="Arial"/>
          <w:sz w:val="12"/>
          <w:szCs w:val="12"/>
          <w:i w:val="1"/>
          <w:iCs w:val="1"/>
          <w:color w:val="auto"/>
        </w:rPr>
        <w:t>NIMH</w:t>
      </w:r>
      <w:r>
        <w:rPr>
          <w:rFonts w:ascii="Arial" w:cs="Arial" w:eastAsia="Arial" w:hAnsi="Arial"/>
          <w:sz w:val="12"/>
          <w:szCs w:val="12"/>
          <w:color w:val="auto"/>
        </w:rPr>
        <w:t>), part of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ketamine, a classic </w:t>
      </w:r>
      <w:r>
        <w:rPr>
          <w:rFonts w:ascii="Arial" w:cs="Arial" w:eastAsia="Arial" w:hAnsi="Arial"/>
          <w:sz w:val="12"/>
          <w:szCs w:val="12"/>
          <w:i w:val="1"/>
          <w:iCs w:val="1"/>
          <w:color w:val="auto"/>
        </w:rPr>
        <w:t>NMDAR</w:t>
      </w:r>
      <w:r>
        <w:rPr>
          <w:rFonts w:ascii="Arial" w:cs="Arial" w:eastAsia="Arial" w:hAnsi="Arial"/>
          <w:sz w:val="12"/>
          <w:szCs w:val="12"/>
          <w:color w:val="auto"/>
        </w:rPr>
        <w:t xml:space="preserve"> channel blocker, produced robust and rapid antidepressant effects in treatment-resistant patients suffering with Major Depressive Disorder. However, the clinical utility of ketamine, which is administered intravenously, and other NMDAR channel blockers has been severely limited by their potential for abuse and dissociative side effects, including hallucinations and schizophrenia-like effects.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By regulating the NMDAR rather than blocking it, AV-101 has the potential to achieve the rapid-onset antidepressant effects of ketamine and many other classic NMDAR channel blockers, without causing their serious side effects.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November 6, 2014, we signed a Letter of Intent to enter into a Cooperative Research and Development Agreement (</w:t>
      </w:r>
      <w:r>
        <w:rPr>
          <w:rFonts w:ascii="Arial" w:cs="Arial" w:eastAsia="Arial" w:hAnsi="Arial"/>
          <w:sz w:val="12"/>
          <w:szCs w:val="12"/>
          <w:i w:val="1"/>
          <w:iCs w:val="1"/>
          <w:color w:val="auto"/>
        </w:rPr>
        <w:t>CRADA</w:t>
      </w:r>
      <w:r>
        <w:rPr>
          <w:rFonts w:ascii="Arial" w:cs="Arial" w:eastAsia="Arial" w:hAnsi="Arial"/>
          <w:sz w:val="12"/>
          <w:szCs w:val="12"/>
          <w:color w:val="auto"/>
        </w:rPr>
        <w:t>) with the NIMH to collaborate on a NIMH-sponsored Phase 2 clinical study of AV-101 in Major Depressive Disorder. Dr. Carlos Zarate, Chief, Section on the Neurobiology and Treatment of Mood Disorders and Chief of the Experimental Therapeutics and Pathophysiology Branch at the NIMH, will be the Principal Investigator for our AV-101 Phase 2 depression study under the proposed CRADA. We anticipate both commencing and completing the study in 2015.</w:t>
      </w:r>
    </w:p>
    <w:p>
      <w:pPr>
        <w:spacing w:after="0" w:line="12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NIH previously awarded us $8.8 million for our AV-101 preclinical and Phase 1 clinical development programs. In two randomized, double-bind, placebo-controlled Phase 1 safety studies, AV-101 was well tolerated and not associated with any severe adverse events. There were no signs of sedation, hallucinations or schizophrenia-like side effects often associated with ketamine and many of the NMDAR channel blockers.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4" w:name="page25"/>
    <w:bookmarkEnd w:id="2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Stem Cell Technology-based Drug Rescue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With mature, adult human heart cells and liver cells produced using our proprietary pluripotent stem cell technology, we have developed two customized human cellular bioassay systems,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predicting heart toxicity and liver toxicity of new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long before they are ever tested in animals or humans. We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 advance our internal drug rescue programs, which are focused on producing new, safer variants of drug candidates previously optimized and tested for efficacy by pharmaceutical companies but terminated before FDA approval due to heart or liver toxicity concerns. Our initial drug rescue programs are focused on novel therapies for cancer.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 and Results of Operations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critical accounting policies and estimates and recent accounting pronouncements are disclosed in our Form 10-K for the fiscal year ended March 31, 2014, as filed with the SEC on June 25, 2014, and in Note 3 to the accompanying unaudited Condensed Consolidated Financial Statements included in Part 1, Item 1 of this Quarterly Report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Throughout our fiscal year ended March 31, 2014 and during the six months ended September 30, 2014, our scientific personnel have successfully expanded the drug rescue capabilities of our novel, customized bioassay systems,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and</w:t>
      </w:r>
      <w:r>
        <w:rPr>
          <w:rFonts w:ascii="Arial" w:cs="Arial" w:eastAsia="Arial" w:hAnsi="Arial"/>
          <w:sz w:val="12"/>
          <w:szCs w:val="12"/>
          <w:i w:val="1"/>
          <w:iCs w:val="1"/>
          <w:color w:val="auto"/>
        </w:rPr>
        <w:t xml:space="preserve"> LiverSafe </w:t>
      </w:r>
      <w:r>
        <w:rPr>
          <w:rFonts w:ascii="Arial" w:cs="Arial" w:eastAsia="Arial" w:hAnsi="Arial"/>
          <w:sz w:val="12"/>
          <w:szCs w:val="12"/>
          <w:color w:val="auto"/>
        </w:rPr>
        <w:t>3D™, and advanced our internal review and assessment in</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of multiple prospective</w:t>
      </w:r>
      <w:r>
        <w:rPr>
          <w:rFonts w:ascii="Arial" w:cs="Arial" w:eastAsia="Arial" w:hAnsi="Arial"/>
          <w:sz w:val="12"/>
          <w:szCs w:val="12"/>
          <w:i w:val="1"/>
          <w:iCs w:val="1"/>
          <w:color w:val="auto"/>
        </w:rPr>
        <w:t xml:space="preserve"> Drug Rescue Candidates</w:t>
      </w:r>
      <w:r>
        <w:rPr>
          <w:rFonts w:ascii="Arial" w:cs="Arial" w:eastAsia="Arial" w:hAnsi="Arial"/>
          <w:sz w:val="12"/>
          <w:szCs w:val="12"/>
          <w:color w:val="auto"/>
        </w:rPr>
        <w:t>. Additionally, as indicated previously, we have signed a letter of intent to</w:t>
      </w:r>
      <w:r>
        <w:rPr>
          <w:rFonts w:ascii="Arial" w:cs="Arial" w:eastAsia="Arial" w:hAnsi="Arial"/>
          <w:sz w:val="12"/>
          <w:szCs w:val="12"/>
          <w:i w:val="1"/>
          <w:iCs w:val="1"/>
          <w:color w:val="auto"/>
        </w:rPr>
        <w:t xml:space="preserve"> </w:t>
      </w:r>
      <w:r>
        <w:rPr>
          <w:rFonts w:ascii="Arial" w:cs="Arial" w:eastAsia="Arial" w:hAnsi="Arial"/>
          <w:sz w:val="12"/>
          <w:szCs w:val="12"/>
          <w:color w:val="auto"/>
        </w:rPr>
        <w:t>collaborate on an NIMH-sponsored Phase 2 clinical study of AV-101 in Major Depressive Disorder.</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Throughout fiscal 2014 and during the first half of fiscal 2015, our executive management has been significantly focused on providing sufficient operating capital to continue to advance our drug development and research objectives while meeting our continuing operational needs. In April 2013, we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an institutional investor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remains contractually obligated to purchase an aggregate of 3.6 million restricted shares of our common stock at a purchase price of $10.00 per share for aggregate cash proceeds to us of $36.0 million (</w:t>
      </w:r>
      <w:r>
        <w:rPr>
          <w:rFonts w:ascii="Arial" w:cs="Arial" w:eastAsia="Arial" w:hAnsi="Arial"/>
          <w:sz w:val="12"/>
          <w:szCs w:val="12"/>
          <w:i w:val="1"/>
          <w:iCs w:val="1"/>
          <w:color w:val="auto"/>
        </w:rPr>
        <w:t>Autilion Financing</w:t>
      </w:r>
      <w:r>
        <w:rPr>
          <w:rFonts w:ascii="Arial" w:cs="Arial" w:eastAsia="Arial" w:hAnsi="Arial"/>
          <w:sz w:val="12"/>
          <w:szCs w:val="12"/>
          <w:color w:val="auto"/>
        </w:rPr>
        <w:t>). To date, Autilion has not completed a material closing under the Securities Purchase Agreement and remains in default thereunder. As a result, no assurances can be given that Autilion will consummate any material closing under the Securities Purchase Agreement.</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To meet our working capital needs for our current fiscal year as a result of Autilion’s continuing default under the Securities Purchase Agreement, between late-March 2014 and September 30, 2014, we entered into private placement subscription agreements with certain accredited investors, including Platinum, our largest institutional investor, pursuant to which we sold units (</w:t>
      </w:r>
      <w:r>
        <w:rPr>
          <w:rFonts w:ascii="Arial" w:cs="Arial" w:eastAsia="Arial" w:hAnsi="Arial"/>
          <w:sz w:val="11"/>
          <w:szCs w:val="11"/>
          <w:i w:val="1"/>
          <w:iCs w:val="1"/>
          <w:color w:val="auto"/>
        </w:rPr>
        <w:t>Units</w:t>
      </w:r>
      <w:r>
        <w:rPr>
          <w:rFonts w:ascii="Arial" w:cs="Arial" w:eastAsia="Arial" w:hAnsi="Arial"/>
          <w:sz w:val="11"/>
          <w:szCs w:val="11"/>
          <w:color w:val="auto"/>
        </w:rPr>
        <w:t xml:space="preserve">) consisting of: (i) 10% convertible notes maturing on March 31, 2015 in the aggregate principal amount of $1,775,000; (ii) an aggregate of 88,750 restricted shares of our common stock; and (iii) warrants exercisable through December 31, 2016 to purchase an aggregate of 88,750 restricted shares of our common stock at an exercise price of $10.00 per share. We received cash proceeds of $1,775,000 from the sale of the Units. We have sold an additional $165,000 of Units in private placements to accredited investors between October 1, 2014 and November 17, 2014. Further, to minimize our current cash requirements, as described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the notes to our Condensed Consolidated Financial Statements included in Part 1, Item 1 of this Quarterly Report on Form 10-Q, we entered into agreements with accredited investors holding $895,000 face value of convertible promissory notes issued in our 2013 Unit Private Placement to extend the maturity of such notes from July 31, 2014 to March 31, 2015, unless converted earlier pursuant to a qualified financing, as defined in the agreements.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our working capital constraints throughout fiscal 2014 and thereafter, we have attempted to minimize to the greatest extent possible cash commitments and expenditures for external research and development and general and administrative services, particularly during the later portion of our fiscal year ended March 31, 2014 and the six months ended September 30, 2014.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15"/>
        </w:trPr>
        <w:tc>
          <w:tcPr>
            <w:tcW w:w="8160" w:type="dxa"/>
            <w:vAlign w:val="bottom"/>
            <w:gridSpan w:val="3"/>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Comparison of Three Months Ended September 30, 2014 and 2013</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gridSpan w:val="3"/>
          </w:tcPr>
          <w:p>
            <w:pPr>
              <w:spacing w:after="0"/>
              <w:rPr>
                <w:sz w:val="20"/>
                <w:szCs w:val="20"/>
                <w:color w:val="auto"/>
              </w:rPr>
            </w:pPr>
            <w:r>
              <w:rPr>
                <w:rFonts w:ascii="Arial" w:cs="Arial" w:eastAsia="Arial" w:hAnsi="Arial"/>
                <w:sz w:val="12"/>
                <w:szCs w:val="12"/>
                <w:color w:val="auto"/>
              </w:rPr>
              <w:t>The following table summarizes the results of our operations for the three months ended September 30, 2014 and 2013 (amounts in thousands).</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2"/>
                <w:szCs w:val="12"/>
                <w:b w:val="1"/>
                <w:bCs w:val="1"/>
                <w:color w:val="auto"/>
              </w:rPr>
              <w:t>Three Months Ended September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2014</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1020" w:type="dxa"/>
            <w:vAlign w:val="bottom"/>
            <w:shd w:val="clear" w:color="auto" w:fill="CCEEFF"/>
          </w:tcPr>
          <w:p>
            <w:pPr>
              <w:jc w:val="right"/>
              <w:ind w:right="905"/>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Operating expenses:</w:t>
            </w: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558</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General and administrative</w:t>
            </w:r>
          </w:p>
        </w:tc>
        <w:tc>
          <w:tcPr>
            <w:tcW w:w="10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556</w:t>
            </w:r>
          </w:p>
        </w:tc>
        <w:tc>
          <w:tcPr>
            <w:tcW w:w="10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546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1,114</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75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(1,114)</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(1,215)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(606)</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Change in warrant liabilities</w:t>
            </w:r>
          </w:p>
        </w:tc>
        <w:tc>
          <w:tcPr>
            <w:tcW w:w="10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1,302</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(1,603)</w:t>
            </w: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75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(2,021)</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Income taxes</w:t>
            </w:r>
          </w:p>
        </w:tc>
        <w:tc>
          <w:tcPr>
            <w:tcW w:w="10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020" w:type="dxa"/>
            <w:vAlign w:val="bottom"/>
          </w:tcPr>
          <w:p>
            <w:pPr>
              <w:jc w:val="right"/>
              <w:ind w:right="905"/>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(2,021)</w:t>
            </w:r>
          </w:p>
        </w:tc>
        <w:tc>
          <w:tcPr>
            <w:tcW w:w="1020" w:type="dxa"/>
            <w:vAlign w:val="bottom"/>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We reported no revenue for the quarters ended September 30, 2014 or 2013. We have successfully completed our Phase I development of AV-101, our novel, orally-available, non-sedating prodrug candidate for the treatment of depression, epilepsy, pain Parkinson’s disease. Our NIH grant related to AV-101 expired in its normal course on June 30, 2012 and has not been extended or renewed. On November 6, 2014, we signed a Letter of Intent to enter into a Cooperative Research and Development Agreement with the NIMH to collaborate on a NIMH-sponsored Phase 2 clinical study of AV-101 in Major Depressive Disorder. We presently have no other revenue generating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Research and development expense totaled $558,000 for the quarter ended September 30, 2014, a decrease of 17% compared to $669,000 for the quarter ended September 30, 2013. The following table indicates the primary components of research and development expense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2"/>
                <w:szCs w:val="12"/>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color w:val="auto"/>
              </w:rPr>
              <w:t>2014</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43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222</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101</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4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2"/>
                <w:szCs w:val="12"/>
                <w:color w:val="auto"/>
              </w:rPr>
              <w:t>Consulting services</w:t>
            </w: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38</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4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93</w:t>
            </w: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AV-101</w:t>
            </w:r>
          </w:p>
        </w:tc>
        <w:tc>
          <w:tcPr>
            <w:tcW w:w="4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w:t>
            </w: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Pr>
          <w:p>
            <w:pPr>
              <w:ind w:left="440"/>
              <w:spacing w:after="0"/>
              <w:rPr>
                <w:sz w:val="20"/>
                <w:szCs w:val="20"/>
                <w:color w:val="auto"/>
              </w:rPr>
            </w:pPr>
            <w:r>
              <w:rPr>
                <w:rFonts w:ascii="Arial" w:cs="Arial" w:eastAsia="Arial" w:hAnsi="Arial"/>
                <w:sz w:val="12"/>
                <w:szCs w:val="12"/>
                <w:color w:val="auto"/>
              </w:rPr>
              <w:t>All other including CardioSafe and LiverSafe</w:t>
            </w: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30</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Borders>
              <w:bottom w:val="single" w:sz="8" w:color="CCEEFF"/>
            </w:tcBorders>
            <w:shd w:val="clear" w:color="auto" w:fill="CCEEFF"/>
          </w:tcPr>
          <w:p>
            <w:pPr>
              <w:spacing w:after="0"/>
              <w:rPr>
                <w:sz w:val="12"/>
                <w:szCs w:val="12"/>
                <w:color w:val="auto"/>
              </w:rPr>
            </w:pPr>
          </w:p>
        </w:tc>
        <w:tc>
          <w:tcPr>
            <w:tcW w:w="40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20"/>
                <w:szCs w:val="20"/>
                <w:color w:val="auto"/>
              </w:rPr>
            </w:pPr>
            <w:r>
              <w:rPr>
                <w:rFonts w:ascii="Arial" w:cs="Arial" w:eastAsia="Arial" w:hAnsi="Arial"/>
                <w:sz w:val="12"/>
                <w:szCs w:val="12"/>
                <w:color w:val="auto"/>
              </w:rPr>
              <w:t>Rent</w:t>
            </w:r>
          </w:p>
        </w:tc>
        <w:tc>
          <w:tcPr>
            <w:tcW w:w="4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55</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w:t>
            </w: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20" w:type="dxa"/>
            <w:vAlign w:val="bottom"/>
            <w:tcBorders>
              <w:top w:val="single" w:sz="8" w:color="CCEEFF"/>
            </w:tcBorders>
          </w:tcPr>
          <w:p>
            <w:pPr>
              <w:spacing w:after="0"/>
              <w:rPr>
                <w:sz w:val="12"/>
                <w:szCs w:val="12"/>
                <w:color w:val="auto"/>
              </w:rPr>
            </w:pPr>
          </w:p>
        </w:tc>
        <w:tc>
          <w:tcPr>
            <w:tcW w:w="40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2"/>
                <w:szCs w:val="12"/>
                <w:color w:val="auto"/>
              </w:rPr>
              <w:t>Total Research and Development Expense</w:t>
            </w:r>
          </w:p>
        </w:tc>
        <w:tc>
          <w:tcPr>
            <w:tcW w:w="43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558</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4020" w:type="dxa"/>
            <w:vAlign w:val="bottom"/>
            <w:tcBorders>
              <w:top w:val="single" w:sz="8" w:color="CCEEFF"/>
            </w:tcBorders>
          </w:tcPr>
          <w:p>
            <w:pPr>
              <w:jc w:val="right"/>
              <w:ind w:right="2260"/>
              <w:spacing w:after="0"/>
              <w:rPr>
                <w:sz w:val="20"/>
                <w:szCs w:val="20"/>
                <w:color w:val="auto"/>
              </w:rPr>
            </w:pPr>
            <w:r>
              <w:rPr>
                <w:rFonts w:ascii="Arial" w:cs="Arial" w:eastAsia="Arial" w:hAnsi="Arial"/>
                <w:sz w:val="12"/>
                <w:szCs w:val="12"/>
                <w:color w:val="auto"/>
              </w:rPr>
              <w:t>-23-</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20" w:type="dxa"/>
            <w:vAlign w:val="bottom"/>
            <w:tcBorders>
              <w:bottom w:val="single" w:sz="8" w:color="808080"/>
            </w:tcBorders>
          </w:tcPr>
          <w:p>
            <w:pPr>
              <w:spacing w:after="0"/>
              <w:rPr>
                <w:sz w:val="6"/>
                <w:szCs w:val="6"/>
                <w:color w:val="auto"/>
              </w:rPr>
            </w:pPr>
          </w:p>
        </w:tc>
        <w:tc>
          <w:tcPr>
            <w:tcW w:w="40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26" w:name="page27"/>
    <w:bookmarkEnd w:id="2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salaries and benefits are essentially even between the reported periods, reflecting stable headcount and pay rates. To conserve cash resources, during both 2013 and 2014,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has accepted a voluntary salary reduction to substantially less than his contractual pay rate.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increase in non-cash stock based compensation between periods reflects the ratable amortization of new option grants made to scientific staff and consultants in October 2013 and March 2014 as well as amortization of a grant of warrants to our CSO in March 2014. The stock options are being amortized over their four-year vesting period, and certain warrants granted to the CSO are being amortized over a three-year vesting period, but are subject to certain vesting acceleration events.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sponsored research project budget under the collaboration agreement with Dr. Gordon Keller’s laboratory at UHN ended on September 30, 2013. We are currently in discussions with Dr. Keller and UHN regarding the scope of our 2014/2015 sponsored research projects and budget under the agreement, and we anticipate finalizing such project definitions and budgets in the near term.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Consulting services reflects fees paid or accrued for scientific services rendered to us by third-parties.</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Stem cell technology license expense reflects both recurring annual fees as well as costs for patent prosecution and protection that we are required to fund under the terms of certain of our license agreements. We recognize these costs as they are invoiced to us by the licensors and they do not occur ratably throughout the year or between years. Certain of our technology licensors invoiced us for significant legal fees for patent protection and prosecution during 2013.</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AV-101 expenses in both periods presented reflect the costs associated with monitoring for and responding to potential feedback related to the clinical trial and preparing other reports required under the terms of our prior NIH grant, primarily through our contract research collaborator, Cato Research Ltd.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2014 increase in rent expense reflects increased rental costs related to our relocation to expanded facilities in late-July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 and administrative expense was $556,000 for the quarter ended September 30, 2014, a 2% increase from the $546,000 reported for the quarter ended September 30, 2013. The following table indicates the primary components of general and administrative expenses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80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12"/>
                <w:szCs w:val="12"/>
                <w:color w:val="auto"/>
              </w:rPr>
              <w:t>Three Months Ended September 30,</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2014</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color w:val="auto"/>
              </w:rPr>
              <w:t>2013</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360" w:type="dxa"/>
            <w:vAlign w:val="bottom"/>
            <w:gridSpan w:val="2"/>
            <w:shd w:val="clear" w:color="auto" w:fill="CCEEFF"/>
          </w:tcPr>
          <w:p>
            <w:pPr>
              <w:jc w:val="right"/>
              <w:ind w:right="9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136</w:t>
            </w:r>
          </w:p>
        </w:tc>
        <w:tc>
          <w:tcPr>
            <w:tcW w:w="1080" w:type="dxa"/>
            <w:vAlign w:val="bottom"/>
            <w:shd w:val="clear" w:color="auto" w:fill="CCEEFF"/>
          </w:tcPr>
          <w:p>
            <w:pPr>
              <w:jc w:val="right"/>
              <w:ind w:right="967"/>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104</w:t>
            </w:r>
          </w:p>
        </w:tc>
        <w:tc>
          <w:tcPr>
            <w:tcW w:w="10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w:t>
            </w:r>
          </w:p>
        </w:tc>
        <w:tc>
          <w:tcPr>
            <w:tcW w:w="10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133</w:t>
            </w:r>
          </w:p>
        </w:tc>
        <w:tc>
          <w:tcPr>
            <w:tcW w:w="10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w:t>
            </w:r>
          </w:p>
        </w:tc>
        <w:tc>
          <w:tcPr>
            <w:tcW w:w="10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33</w:t>
            </w:r>
          </w:p>
        </w:tc>
        <w:tc>
          <w:tcPr>
            <w:tcW w:w="10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w:t>
            </w:r>
          </w:p>
        </w:tc>
        <w:tc>
          <w:tcPr>
            <w:tcW w:w="10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39</w:t>
            </w:r>
          </w:p>
        </w:tc>
        <w:tc>
          <w:tcPr>
            <w:tcW w:w="10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22</w:t>
            </w:r>
          </w:p>
        </w:tc>
        <w:tc>
          <w:tcPr>
            <w:tcW w:w="10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360" w:type="dxa"/>
            <w:vAlign w:val="bottom"/>
            <w:gridSpan w:val="2"/>
          </w:tcPr>
          <w:p>
            <w:pPr>
              <w:jc w:val="right"/>
              <w:ind w:right="9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556</w:t>
            </w:r>
          </w:p>
        </w:tc>
        <w:tc>
          <w:tcPr>
            <w:tcW w:w="1080" w:type="dxa"/>
            <w:vAlign w:val="bottom"/>
          </w:tcPr>
          <w:p>
            <w:pPr>
              <w:jc w:val="right"/>
              <w:ind w:right="967"/>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546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60" w:type="dxa"/>
            <w:vAlign w:val="bottom"/>
            <w:vMerge w:val="restart"/>
          </w:tcPr>
          <w:p>
            <w:pPr>
              <w:jc w:val="right"/>
              <w:ind w:right="2260"/>
              <w:spacing w:after="0"/>
              <w:rPr>
                <w:sz w:val="20"/>
                <w:szCs w:val="20"/>
                <w:color w:val="auto"/>
              </w:rPr>
            </w:pPr>
            <w:r>
              <w:rPr>
                <w:rFonts w:ascii="Arial" w:cs="Arial" w:eastAsia="Arial" w:hAnsi="Arial"/>
                <w:sz w:val="12"/>
                <w:szCs w:val="12"/>
                <w:color w:val="auto"/>
              </w:rPr>
              <w:t>-24-</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2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7" w:name="page28"/>
    <w:bookmarkEnd w:id="27"/>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decrease in administrative salaries and benefits expense reflects the impact of the voluntary resignations of two administrative employees in August 2013 and November 2013 who have not been replaced. Pay rates for administrative employees remained stable between the periods presented. To conserve cash resources, during both 2013 and 2014,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has accepted a voluntary salary reduction to substantially less than his contractual pay rate.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Stock compensation expense, which reflects the ratable amortization of non-cash stock-based compensation expense over the requisite service period of the grants, decreased moderately between periods. Amortization of stock-based compensation expense related to certain option grants made during 2009 and 2010 has ceased as the awards became fully-vested, partially offset by the amortization of expense related to option grants made in October 2013 and March 2014 and the impact of warrant grants made to the independent members of our Board of Directors and an officer in March 2014.</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Consulting services primarily reflects fees paid or accrued for independent members of our Board of Directors.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increase in legal, accounting and other professional fees primarily reflects the impact of (i) legal and other costs related to the 1:20 reverse split of our common stock in August 2014 and legal and filing fees for our private placement Unit financing offerings; (ii) the timing of recording the cost of the annual audit of our financial statements; and (iii) costs related to temporary employee fees for part-time administrative services.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Outsourced investor relations service expenses are essentially flat between periods.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increase in travel expenses reflects costs associated with investor presentations in connection with our prospective registered public offering of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2014 increase in rent and utilities reflects increased costs related to our relocation to expanded facilities in late-July 2013.</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Warrant modification expense reflects the impact of a program of strategic reductions in certain warrant exercise prices as an incentive for the exercise of such warrants that we conducted between June 2013 and July 2013, and from which we used the proceeds of the warrant exercises as a source of short-term working capital.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decrease in other expenses relates to one-time relocation costs incurred in connection with our relocation to expanded facilities in late-July 2013.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8" w:name="page29"/>
    <w:bookmarkEnd w:id="28"/>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and Other Expenses, Net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Interest expense, net totaled $606,000 for the quarter ended September 30, 2014, an 88% increase compared to the $323,000 reported for the quarter ended September 30, 2013. The following table summarizes the primary components of interest expense for each of the periods (amounts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80" w:type="dxa"/>
            <w:vAlign w:val="bottom"/>
            <w:gridSpan w:val="5"/>
          </w:tcPr>
          <w:p>
            <w:pPr>
              <w:jc w:val="right"/>
              <w:ind w:right="860"/>
              <w:spacing w:after="0"/>
              <w:rPr>
                <w:sz w:val="20"/>
                <w:szCs w:val="20"/>
                <w:color w:val="auto"/>
              </w:rPr>
            </w:pPr>
            <w:r>
              <w:rPr>
                <w:rFonts w:ascii="Arial" w:cs="Arial" w:eastAsia="Arial" w:hAnsi="Arial"/>
                <w:sz w:val="12"/>
                <w:szCs w:val="12"/>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color w:val="auto"/>
              </w:rPr>
              <w:t>2014</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Amortization of discount on promissory notes</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317</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628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w:t>
            </w: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Interest Income</w:t>
            </w:r>
          </w:p>
        </w:tc>
        <w:tc>
          <w:tcPr>
            <w:tcW w:w="3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(2)</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Interest Expense, net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606</w:t>
            </w:r>
          </w:p>
        </w:tc>
        <w:tc>
          <w:tcPr>
            <w:tcW w:w="22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increase in interest expense between the periods is primarily attributable to the accrued interest recorded for the issuances between August 2013 and September 2014 of an aggregate of approximately $2.6 million of 10% convertible promissory notes pursuant to the 2013 Unit Private Placement and the 2014 Unit Private Placement. As a result of the significant inception-date discounts recorded in connection with the Unit Notes and the relatively short period between issuance and maturity over which the discount must be amortized, discount amortization increased by approximately $209,000 between the periods shown in the preceding table.</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Under the terms of the October 2012 Note Exchange and Purchase Agreement we entered with Platinum, we issued certain Senior Secured Convertible Promissory Notes and a related Exchange Warrant and Investment Warrants in October 2012, February 2013 and March 2013. We also issued a similar senior secured promissory note and related warrant to Platinum in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During the quarter ended September 30, 2014 we recognized non-cash income of $1,301,800 related to the net decrease in the estimated fair value of these non-cash liabilities since June 30, 2014, which resulted primarily from the decrease in the market price of our common stock in relation to the exercise price of the warrants. During the quarter ended September 30, 2013, we recognized non-cash income of $78,600 related to the net decrease in the estimated fair value of the warrant liabilities since June 30, 2013, which again resulted primarily from the decrease in the market price of our common stock in relation to the exercise price of the warrants.</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As described more completely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to the Condensed Consolidated Financial Statements included in Part 1, Item 1 of this Quarterly Report on Form 10-Q,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w:t>
      </w:r>
      <w:r>
        <w:rPr>
          <w:rFonts w:ascii="Arial" w:cs="Arial" w:eastAsia="Arial" w:hAnsi="Arial"/>
          <w:sz w:val="11"/>
          <w:szCs w:val="11"/>
          <w:i w:val="1"/>
          <w:iCs w:val="1"/>
          <w:color w:val="auto"/>
        </w:rPr>
        <w:t>Closing Date</w:t>
      </w:r>
      <w:r>
        <w:rPr>
          <w:rFonts w:ascii="Arial" w:cs="Arial" w:eastAsia="Arial" w:hAnsi="Arial"/>
          <w:sz w:val="11"/>
          <w:szCs w:val="11"/>
          <w:color w:val="auto"/>
        </w:rPr>
        <w:t>) of either (i) a Private Financing or a Public Offering, each as defined in the agreement. We expect to further amend the agreement to extend the Closing Date until November 30, 2014. Upon consummation of a Private Financing, the Senior Notes will convert into that number of unregistered shares of our common stock equal to the Outstanding Balance on the Closing Date, divided by $10.00 per share. Upon consummation of a Public Offering, the Senior Notes will convert into shares of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resulted in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15"/>
        </w:trPr>
        <w:tc>
          <w:tcPr>
            <w:tcW w:w="8160" w:type="dxa"/>
            <w:vAlign w:val="bottom"/>
            <w:gridSpan w:val="3"/>
          </w:tcPr>
          <w:p>
            <w:pPr>
              <w:spacing w:after="0"/>
              <w:rPr>
                <w:rFonts w:ascii="Arial" w:cs="Arial" w:eastAsia="Arial" w:hAnsi="Arial"/>
                <w:sz w:val="10"/>
                <w:szCs w:val="10"/>
                <w:i w:val="1"/>
                <w:iCs w:val="1"/>
                <w:color w:val="0000EE"/>
              </w:rPr>
            </w:pPr>
            <w:hyperlink w:anchor="page2">
              <w:r>
                <w:rPr>
                  <w:rFonts w:ascii="Arial" w:cs="Arial" w:eastAsia="Arial" w:hAnsi="Arial"/>
                  <w:sz w:val="10"/>
                  <w:szCs w:val="10"/>
                  <w:i w:val="1"/>
                  <w:iCs w:val="1"/>
                  <w:color w:val="0000EE"/>
                </w:rPr>
                <w:t>Table of Contents</w:t>
              </w:r>
            </w:hyperlink>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Comparison of Six Months Ended September 30, 2014 and 2013</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gridSpan w:val="3"/>
          </w:tcPr>
          <w:p>
            <w:pPr>
              <w:spacing w:after="0"/>
              <w:rPr>
                <w:sz w:val="20"/>
                <w:szCs w:val="20"/>
                <w:color w:val="auto"/>
              </w:rPr>
            </w:pPr>
            <w:r>
              <w:rPr>
                <w:rFonts w:ascii="Arial" w:cs="Arial" w:eastAsia="Arial" w:hAnsi="Arial"/>
                <w:sz w:val="12"/>
                <w:szCs w:val="12"/>
                <w:color w:val="auto"/>
              </w:rPr>
              <w:t>The following table summarizes the results of our operations for the six months ended September 30, 2014 and 2013 (amounts in thousands).</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2"/>
                <w:szCs w:val="12"/>
                <w:b w:val="1"/>
                <w:bCs w:val="1"/>
                <w:color w:val="auto"/>
              </w:rPr>
              <w:t>Six Months Ended September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2"/>
                <w:szCs w:val="12"/>
                <w:b w:val="1"/>
                <w:bCs w:val="1"/>
                <w:color w:val="auto"/>
              </w:rPr>
              <w:t>2014</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ind w:right="107"/>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w:t>
            </w:r>
          </w:p>
        </w:tc>
        <w:tc>
          <w:tcPr>
            <w:tcW w:w="1020" w:type="dxa"/>
            <w:vAlign w:val="bottom"/>
            <w:shd w:val="clear" w:color="auto" w:fill="CCEEFF"/>
          </w:tcPr>
          <w:p>
            <w:pPr>
              <w:jc w:val="right"/>
              <w:ind w:right="905"/>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90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Operating expenses:</w:t>
            </w: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1,032</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General and administrative</w:t>
            </w:r>
          </w:p>
        </w:tc>
        <w:tc>
          <w:tcPr>
            <w:tcW w:w="10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1,353</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Total operating expenses</w:t>
            </w:r>
          </w:p>
        </w:tc>
        <w:tc>
          <w:tcPr>
            <w:tcW w:w="10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2,385</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75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(2,385)</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(2,515)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(1,391)</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Change in warrant liabilities</w:t>
            </w: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(425)</w:t>
            </w:r>
          </w:p>
        </w:tc>
        <w:tc>
          <w:tcPr>
            <w:tcW w:w="10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1,884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on extinguishment of debt</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(2,371)</w:t>
            </w: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75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10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(6,572)</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Income taxes</w:t>
            </w:r>
          </w:p>
        </w:tc>
        <w:tc>
          <w:tcPr>
            <w:tcW w:w="102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(2)</w:t>
            </w:r>
          </w:p>
        </w:tc>
        <w:tc>
          <w:tcPr>
            <w:tcW w:w="102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5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020" w:type="dxa"/>
            <w:vAlign w:val="bottom"/>
          </w:tcPr>
          <w:p>
            <w:pPr>
              <w:jc w:val="right"/>
              <w:ind w:right="905"/>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(6,574)</w:t>
            </w:r>
          </w:p>
        </w:tc>
        <w:tc>
          <w:tcPr>
            <w:tcW w:w="1020" w:type="dxa"/>
            <w:vAlign w:val="bottom"/>
          </w:tcPr>
          <w:p>
            <w:pPr>
              <w:jc w:val="right"/>
              <w:ind w:right="907"/>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reported no revenue for the six months ended September 30, 2014 or 2013. We have successfully completed our Phase I development of AV-101, our novel, orally-available, non-sedating prodrug candidate for the treatment of depression, epilepsy, pain Parkinson’s disease. Our NIH grant related to AV-101 expired in its normal course on June 30, 2012 and has not been extended or renewed. On November 6, 2014, we signed a Letter of Intent to enter into a Cooperative Research and Development Agreement with the NIMH to collaborate on a NIMH-sponsored Phase 2 clinical study of AV-101 in Major Depressive Disorder. We presently have no other revenue generating arrangements.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expense totaled $1,032,000 for the six months ended September 30, 2014, a decrease of 24% compared to $1,365,000 for the six months ended September 30, 2013. The following table indicates the primary components of research and development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80" w:type="dxa"/>
            <w:vAlign w:val="bottom"/>
            <w:gridSpan w:val="5"/>
          </w:tcPr>
          <w:p>
            <w:pPr>
              <w:jc w:val="right"/>
              <w:ind w:right="920"/>
              <w:spacing w:after="0"/>
              <w:rPr>
                <w:sz w:val="20"/>
                <w:szCs w:val="20"/>
                <w:color w:val="auto"/>
              </w:rPr>
            </w:pPr>
            <w:r>
              <w:rPr>
                <w:rFonts w:ascii="Arial" w:cs="Arial" w:eastAsia="Arial" w:hAnsi="Arial"/>
                <w:sz w:val="12"/>
                <w:szCs w:val="12"/>
                <w:color w:val="auto"/>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color w:val="auto"/>
              </w:rPr>
              <w:t>2014</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44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450</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199</w:t>
            </w: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4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Consulting services</w:t>
            </w:r>
          </w:p>
        </w:tc>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62</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4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134</w:t>
            </w: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4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AV-101</w:t>
            </w:r>
          </w:p>
        </w:tc>
        <w:tc>
          <w:tcPr>
            <w:tcW w:w="4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200"/>
              <w:spacing w:after="0"/>
              <w:rPr>
                <w:sz w:val="20"/>
                <w:szCs w:val="20"/>
                <w:color w:val="auto"/>
              </w:rPr>
            </w:pPr>
            <w:r>
              <w:rPr>
                <w:rFonts w:ascii="Arial" w:cs="Arial" w:eastAsia="Arial" w:hAnsi="Arial"/>
                <w:sz w:val="12"/>
                <w:szCs w:val="12"/>
                <w:color w:val="auto"/>
              </w:rPr>
              <w:t>All other including CardioSafe and LiverSafe</w:t>
            </w:r>
          </w:p>
        </w:tc>
        <w:tc>
          <w:tcPr>
            <w:tcW w:w="4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Rent</w:t>
            </w:r>
          </w:p>
        </w:tc>
        <w:tc>
          <w:tcPr>
            <w:tcW w:w="414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110</w:t>
            </w: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Borders>
              <w:top w:val="single" w:sz="8" w:color="CCEEFF"/>
            </w:tcBorders>
          </w:tcPr>
          <w:p>
            <w:pPr>
              <w:spacing w:after="0"/>
              <w:rPr>
                <w:sz w:val="12"/>
                <w:szCs w:val="12"/>
                <w:color w:val="auto"/>
              </w:rPr>
            </w:pPr>
          </w:p>
        </w:tc>
        <w:tc>
          <w:tcPr>
            <w:tcW w:w="414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Total Research and Development Expense</w:t>
            </w:r>
          </w:p>
        </w:tc>
        <w:tc>
          <w:tcPr>
            <w:tcW w:w="44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1,031</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1,365</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4000" w:type="dxa"/>
            <w:vAlign w:val="bottom"/>
            <w:tcBorders>
              <w:top w:val="single" w:sz="8" w:color="CCEEFF"/>
            </w:tcBorders>
          </w:tcPr>
          <w:p>
            <w:pPr>
              <w:spacing w:after="0"/>
              <w:rPr>
                <w:sz w:val="24"/>
                <w:szCs w:val="24"/>
                <w:color w:val="auto"/>
              </w:rPr>
            </w:pPr>
          </w:p>
        </w:tc>
        <w:tc>
          <w:tcPr>
            <w:tcW w:w="4140" w:type="dxa"/>
            <w:vAlign w:val="bottom"/>
            <w:tcBorders>
              <w:top w:val="single" w:sz="8" w:color="CCEEFF"/>
            </w:tcBorders>
          </w:tcPr>
          <w:p>
            <w:pPr>
              <w:jc w:val="right"/>
              <w:ind w:right="2260"/>
              <w:spacing w:after="0"/>
              <w:rPr>
                <w:sz w:val="20"/>
                <w:szCs w:val="20"/>
                <w:color w:val="auto"/>
              </w:rPr>
            </w:pPr>
            <w:r>
              <w:rPr>
                <w:rFonts w:ascii="Arial" w:cs="Arial" w:eastAsia="Arial" w:hAnsi="Arial"/>
                <w:sz w:val="12"/>
                <w:szCs w:val="12"/>
                <w:color w:val="auto"/>
              </w:rPr>
              <w:t>-27-</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00" w:type="dxa"/>
            <w:vAlign w:val="bottom"/>
            <w:tcBorders>
              <w:bottom w:val="single" w:sz="8" w:color="808080"/>
            </w:tcBorders>
          </w:tcPr>
          <w:p>
            <w:pPr>
              <w:spacing w:after="0"/>
              <w:rPr>
                <w:sz w:val="6"/>
                <w:szCs w:val="6"/>
                <w:color w:val="auto"/>
              </w:rPr>
            </w:pPr>
          </w:p>
        </w:tc>
        <w:tc>
          <w:tcPr>
            <w:tcW w:w="41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30" w:name="page31"/>
    <w:bookmarkEnd w:id="30"/>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salaries and benefits are essentially even between the periods, reflecting stable headcount and pay rates between periods. To conserve cash resources, during both 2013 and 2014, our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has accepted a voluntary salary reduction to substantially less than his contractual pay rate.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increase in non-cash stock based compensation between periods reflects the ratable amortization of new option grants made to scientific staff and consultants in October 2013 and March 2014 as well as amortization of a grant of warrants to our CSO in March 2014. The stock options are being amortized over their four-year vesting period; the warrants granted to the CSO are being amortized over a three-year vesting period, but are subject to certain vesting acceleration events.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sponsored research project budget under the collaboration agreement with Dr. Gordon Keller’s laboratory at UHN ended on September 30, 2013. We are currently in discussions with Dr. Keller and UHN regarding the scope of our 2014/2015 sponsored research projects and budget under the agreement, and we anticipate finalizing such project definitions and budgets in the near term.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Consulting services reflects fees paid or accrued for scientific services rendered to us by third-parties.</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Stem cell technology license expense reflects both recurring annual fees as well as costs for patent prosecution and protection that we are required to fund under the terms of certain of our license agreements. We recognize these costs as they are invoiced to us by the licensors and they do not occur ratably throughout the year or between years. Certain of our technology licensors invoiced us for significant legal fees for patent protection and prosecution during 2013.</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AV-101 expenses in both periods presented reflect the costs associated with monitoring for and responding to potential feedback related to the clinical trial and preparing other reports required under the terms of our prior NIH grant, primarily through our contract research collaborator, Cato Research Ltd.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2014 increase in rent expense reflects increased rental costs related to our relocation to expanded facilities in late-July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General and administrative expense was $1,353,000 for the six months ended September 30, 2014, an increase of 18% compared with $1,150,000 for the six months ended September 30, 2013. The following table indicates the primary components of general and administrative expenses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76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2"/>
                <w:szCs w:val="12"/>
                <w:color w:val="auto"/>
              </w:rPr>
              <w:t>Six Months Ended September 30,</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2014</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color w:val="auto"/>
              </w:rPr>
              <w:t>2013</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30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276</w:t>
            </w:r>
          </w:p>
        </w:tc>
        <w:tc>
          <w:tcPr>
            <w:tcW w:w="1040" w:type="dxa"/>
            <w:vAlign w:val="bottom"/>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210</w:t>
            </w:r>
          </w:p>
        </w:tc>
        <w:tc>
          <w:tcPr>
            <w:tcW w:w="10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506</w:t>
            </w:r>
          </w:p>
        </w:tc>
        <w:tc>
          <w:tcPr>
            <w:tcW w:w="104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64</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71</w:t>
            </w:r>
          </w:p>
        </w:tc>
        <w:tc>
          <w:tcPr>
            <w:tcW w:w="10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w:t>
            </w: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78</w:t>
            </w:r>
          </w:p>
        </w:tc>
        <w:tc>
          <w:tcPr>
            <w:tcW w:w="10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50</w:t>
            </w:r>
          </w:p>
        </w:tc>
        <w:tc>
          <w:tcPr>
            <w:tcW w:w="10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30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1,353</w:t>
            </w:r>
          </w:p>
        </w:tc>
        <w:tc>
          <w:tcPr>
            <w:tcW w:w="1040" w:type="dxa"/>
            <w:vAlign w:val="bottom"/>
          </w:tcPr>
          <w:p>
            <w:pPr>
              <w:jc w:val="right"/>
              <w:ind w:right="927"/>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60" w:type="dxa"/>
            <w:vAlign w:val="bottom"/>
            <w:vMerge w:val="restart"/>
          </w:tcPr>
          <w:p>
            <w:pPr>
              <w:jc w:val="right"/>
              <w:ind w:right="2260"/>
              <w:spacing w:after="0"/>
              <w:rPr>
                <w:sz w:val="20"/>
                <w:szCs w:val="20"/>
                <w:color w:val="auto"/>
              </w:rPr>
            </w:pPr>
            <w:r>
              <w:rPr>
                <w:rFonts w:ascii="Arial" w:cs="Arial" w:eastAsia="Arial" w:hAnsi="Arial"/>
                <w:sz w:val="12"/>
                <w:szCs w:val="12"/>
                <w:color w:val="auto"/>
              </w:rPr>
              <w:t>-28-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26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1" w:name="page32"/>
    <w:bookmarkEnd w:id="31"/>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decrease in administrative salaries and benefits expense reflects the impact of the voluntary resignations of two administrative employees in August and November 2013 who have not been replaced. Pay rates for administrative employees remained stable between the periods presented. To conserve cash resources, during both 2013 and 2014,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has accepted a voluntary salary reduction to substantially less than his contractual pay rate.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Stock compensation expense which reflects the ratable amortization of non-cash stock-based compensation expense over the requisite service period of the grants, decreased moderately. Amortization of stock-based compensation expense related to certain option grants made during 2009 and 2010 has ceased as the awards became fully-vested, partially offset by the amortization of expense related to option grants made in October 2013 and March 2014 and the impact of warrant grants made to the independent members of our Board of Directors and an officer in March 2014.</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Consulting services primarily reflects fees paid or accrued for independent members of our Board of Directors.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increase in legal, accounting and other professional fees primarily reflects the impact of (i) a consulting agreement for strategic advisory and business development services pursuant to which we issued 10,000 restricted shares of our common stock valued at $134,000 and have paid or accrued $70,000 as compensation for such professional services through September 2014; (ii) legal and other costs related to the 1:20 reverse split of our common stock in August 2014 and legal and filing fees for our private placement Unit financing offerings; and (iii) costs related to temporary employee fees for part-time administrative services.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Outsourced investor relations service expenses are essentially flat between periods. Travel expenses related to roadshow meetings with potential investors in our prospective registered public offering account for the increase compared to 2013.</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2014 increase in rent and utilities reflects increased costs related to our relocation to expanded facilities in late-July 2013.</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Warrant modification expense reflects the impact of a program of strategic reductions in certain warrant exercise prices as an incentive for the exercise of such warrants that we conducted during June 2013 and July 2013, and from which we used the proceeds of the warrant exercises as a source of short-term working capital.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decrease in other expenses relates to one-time relocation costs incurred in connection with our relocation to expanded facilities in late-July 2013.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2" w:name="page33"/>
    <w:bookmarkEnd w:id="32"/>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and Other Expenses, Net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Interest expense, net totaled $1,391,000 for the six months ended September 30, 2014, an increase of 117% compared to the $640,000 reported for the six months ended September 30, 2013. The following table summarizes the primary components of interest expense for each of the periods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80" w:type="dxa"/>
            <w:vAlign w:val="bottom"/>
            <w:gridSpan w:val="5"/>
          </w:tcPr>
          <w:p>
            <w:pPr>
              <w:jc w:val="right"/>
              <w:ind w:right="920"/>
              <w:spacing w:after="0"/>
              <w:rPr>
                <w:sz w:val="20"/>
                <w:szCs w:val="20"/>
                <w:color w:val="auto"/>
              </w:rPr>
            </w:pPr>
            <w:r>
              <w:rPr>
                <w:rFonts w:ascii="Arial" w:cs="Arial" w:eastAsia="Arial" w:hAnsi="Arial"/>
                <w:sz w:val="12"/>
                <w:szCs w:val="12"/>
                <w:color w:val="auto"/>
              </w:rPr>
              <w:t>Six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2"/>
                <w:szCs w:val="12"/>
                <w:color w:val="auto"/>
              </w:rPr>
              <w:t>2014</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592</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Amortization of discount on promissory notes</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799</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1,396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654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Interest Income</w:t>
            </w:r>
          </w:p>
        </w:tc>
        <w:tc>
          <w:tcPr>
            <w:tcW w:w="340" w:type="dxa"/>
            <w:vAlign w:val="bottom"/>
          </w:tcPr>
          <w:p>
            <w:pPr>
              <w:spacing w:after="0"/>
              <w:rPr>
                <w:sz w:val="12"/>
                <w:szCs w:val="1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(5)</w:t>
            </w:r>
          </w:p>
        </w:tc>
        <w:tc>
          <w:tcPr>
            <w:tcW w:w="34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1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tcPr>
          <w:p>
            <w:pPr>
              <w:spacing w:after="0"/>
              <w:rPr>
                <w:sz w:val="20"/>
                <w:szCs w:val="20"/>
                <w:color w:val="auto"/>
              </w:rPr>
            </w:pPr>
            <w:r>
              <w:rPr>
                <w:rFonts w:ascii="Arial" w:cs="Arial" w:eastAsia="Arial" w:hAnsi="Arial"/>
                <w:sz w:val="12"/>
                <w:szCs w:val="12"/>
                <w:color w:val="auto"/>
              </w:rPr>
              <w:t>Interest Expense, net</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1,391</w:t>
            </w:r>
          </w:p>
        </w:tc>
        <w:tc>
          <w:tcPr>
            <w:tcW w:w="22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increase in interest expense between the periods is primarily attributable to the accrued interest recorded for the issuances between August 2013 and September 2014 of an aggregate of approximately $2.6 million of 10% convertible promissory notes pursuant to the 2013 Unit Private Placement and the 2014 Unit Private Placement. Primarily as a result of the significant inception-date discounts recorded in connection with the Unit Notes and the relatively short period between issuance and maturity over which the discount must be amortized, discount amortization increased by $597,000 between the periods shown in the preceding table.</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Under the terms of the October 2012 Note Exchange and Purchase Agreement we entered with Platinum, we issued certain Senior Secured Convertible Promissory Notes and a related Exchange Warrant and Investment Warrants in October 2012, February 2013 and March 2013. We also issued a similar senior secured promissory note and related warrant to Platinum in July 2013. Upon Platinum’s exchange of the shares of our Series A preferred stock held by Platinum into shares of our common stock, we will also be required to issue a Series A Exchange Warrant to Platinum. We determined that the various warrants included certain exercise price adjustment features requiring us to treat the warrants as liabilities. Accordingly, we recorded a non-cash warrant liability at its estimated fair value as of the date of warrant issuance or contract execution. During the six months ended September 30, 2014 we recognized non-cash expense of $425,400 related to the net increase in the estimated fair value of these non-cash liabilities since March 31, 2014, which resulted primarily from the increase in the market price of our common stock in relation to the exercise price of the warrants. During the six months ended September 30, 2013, we recognized non-cash income of $1,883,500 related to the net decrease in the estimated fair value of the warrant liabilities since March 31, 2013, which resulted primarily from the decrease in the market price of our common stock in relation to the exercise price of the warrants.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described more fully in Note 7,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8,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 the Condensed Consolidated Financial Statements included in Item 1 of this Quarterly Report on Form 10-Q, effective May 31, 2014, we entered into agreements with substantially all holders of our 2013/2014 Unit Notes and 2013/2014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8,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 the Condensed Consolidated Financial Statements included in Item 1 of this Quarterly Report on Form 10-Q.</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As described more completely in Note 7,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to the Condensed Consolidated Financial Statements included in Part 1, Item 1 of this Quarterly Report on Form 10-Q,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w:t>
      </w:r>
      <w:r>
        <w:rPr>
          <w:rFonts w:ascii="Arial" w:cs="Arial" w:eastAsia="Arial" w:hAnsi="Arial"/>
          <w:sz w:val="11"/>
          <w:szCs w:val="11"/>
          <w:i w:val="1"/>
          <w:iCs w:val="1"/>
          <w:color w:val="auto"/>
        </w:rPr>
        <w:t>Closing Date</w:t>
      </w:r>
      <w:r>
        <w:rPr>
          <w:rFonts w:ascii="Arial" w:cs="Arial" w:eastAsia="Arial" w:hAnsi="Arial"/>
          <w:sz w:val="11"/>
          <w:szCs w:val="11"/>
          <w:color w:val="auto"/>
        </w:rPr>
        <w:t>) of either (i) a Private Financing or a Public Offering, each as defined in the agreement. We expect to further amend the agreement to extend the Closing Date until November 30, 2014. Upon consummation of a Private Financing, the Senior Notes will convert into that number of unregistered shares of our common stock equal to the Outstanding Balance on the Closing Date, divided by $10.00 per share. Upon consummation of a Public Offering, the Senior Notes will convert into shares of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resulted in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3" w:name="page34"/>
    <w:bookmarkEnd w:id="33"/>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Since our inception in May 1998 through September 30, 2014, we have financed our operations and technology acquisitions primarily through the issuance and sale of equity and debt securities, including convertible promissory notes and short-term promissory notes, for cash proceeds of approximately $27.7 million, as well as from an aggregate of approximately $16.4 million of government research grant awards, strategic collaboration payments and other revenues. Additionally, we have issued equity securities with an approximate value at issuance of $13.0 million in non-cash settlements of certain liabilities, including liabilities for professional services rendered to us or as compensation for such services. At September 30, 2014, we did not have sufficient cash and cash equivalents to enable us to fund our planned operations, including expected cash expenditures of approximately $7.5 million through the next twelve months. In April 2013, we entered into a Securities Purchase Agreement (as amended, </w:t>
      </w:r>
      <w:r>
        <w:rPr>
          <w:rFonts w:ascii="Arial" w:cs="Arial" w:eastAsia="Arial" w:hAnsi="Arial"/>
          <w:sz w:val="11"/>
          <w:szCs w:val="11"/>
          <w:i w:val="1"/>
          <w:iCs w:val="1"/>
          <w:color w:val="auto"/>
        </w:rPr>
        <w:t>Securities Purchase Agreement</w:t>
      </w:r>
      <w:r>
        <w:rPr>
          <w:rFonts w:ascii="Arial" w:cs="Arial" w:eastAsia="Arial" w:hAnsi="Arial"/>
          <w:sz w:val="11"/>
          <w:szCs w:val="11"/>
          <w:color w:val="auto"/>
        </w:rPr>
        <w:t>) with Autilion AG, a company organized and existing under the laws of Switzerland (</w:t>
      </w:r>
      <w:r>
        <w:rPr>
          <w:rFonts w:ascii="Arial" w:cs="Arial" w:eastAsia="Arial" w:hAnsi="Arial"/>
          <w:sz w:val="11"/>
          <w:szCs w:val="11"/>
          <w:i w:val="1"/>
          <w:iCs w:val="1"/>
          <w:color w:val="auto"/>
        </w:rPr>
        <w:t>Autilion</w:t>
      </w:r>
      <w:r>
        <w:rPr>
          <w:rFonts w:ascii="Arial" w:cs="Arial" w:eastAsia="Arial" w:hAnsi="Arial"/>
          <w:sz w:val="11"/>
          <w:szCs w:val="11"/>
          <w:color w:val="auto"/>
        </w:rPr>
        <w:t>), under which Autilion remains contractually obligated to purchase an aggregate of 3.6 million restricted shares of our common stock at a purchase price of $10.00 per share for aggregate cash proceeds to us of $36.0 million (</w:t>
      </w:r>
      <w:r>
        <w:rPr>
          <w:rFonts w:ascii="Arial" w:cs="Arial" w:eastAsia="Arial" w:hAnsi="Arial"/>
          <w:sz w:val="11"/>
          <w:szCs w:val="11"/>
          <w:i w:val="1"/>
          <w:iCs w:val="1"/>
          <w:color w:val="auto"/>
        </w:rPr>
        <w:t>Autilion Financing</w:t>
      </w:r>
      <w:r>
        <w:rPr>
          <w:rFonts w:ascii="Arial" w:cs="Arial" w:eastAsia="Arial" w:hAnsi="Arial"/>
          <w:sz w:val="11"/>
          <w:szCs w:val="11"/>
          <w:color w:val="auto"/>
        </w:rPr>
        <w:t xml:space="preserve"> or </w:t>
      </w:r>
      <w:r>
        <w:rPr>
          <w:rFonts w:ascii="Arial" w:cs="Arial" w:eastAsia="Arial" w:hAnsi="Arial"/>
          <w:sz w:val="11"/>
          <w:szCs w:val="11"/>
          <w:i w:val="1"/>
          <w:iCs w:val="1"/>
          <w:color w:val="auto"/>
        </w:rPr>
        <w:t>Private Financing</w:t>
      </w:r>
      <w:r>
        <w:rPr>
          <w:rFonts w:ascii="Arial" w:cs="Arial" w:eastAsia="Arial" w:hAnsi="Arial"/>
          <w:sz w:val="11"/>
          <w:szCs w:val="11"/>
          <w:color w:val="auto"/>
        </w:rPr>
        <w:t>). To date, Autilion has completed only a nominal closing under the Securities Purchase Agreement. Autilion is currently in default under the Securities Purchase Agreement, and no assurances can be provided that Autilion will complete an additional closing under the Securities Purchase Agreement. In the event that Autilion does not complete a material portion of the Autilion Financing pursuant to the Securities Purchase Agreement in the near term, we will need to obtain approximately $7.5 million from alternative financing sources to execute our business plan over the next 12 months. We have filed a Registration Statement on Form S-1 with the SEC (File No. 333-195901) (</w:t>
      </w:r>
      <w:r>
        <w:rPr>
          <w:rFonts w:ascii="Arial" w:cs="Arial" w:eastAsia="Arial" w:hAnsi="Arial"/>
          <w:sz w:val="11"/>
          <w:szCs w:val="11"/>
          <w:i w:val="1"/>
          <w:iCs w:val="1"/>
          <w:color w:val="auto"/>
        </w:rPr>
        <w:t>Registration Statement</w:t>
      </w:r>
      <w:r>
        <w:rPr>
          <w:rFonts w:ascii="Arial" w:cs="Arial" w:eastAsia="Arial" w:hAnsi="Arial"/>
          <w:sz w:val="11"/>
          <w:szCs w:val="11"/>
          <w:color w:val="auto"/>
        </w:rPr>
        <w:t>) to register up to 1.5 million shares of our common stock, and warrants to purchase up to 1.5 million shares of our common stock, in a public offering (</w:t>
      </w:r>
      <w:r>
        <w:rPr>
          <w:rFonts w:ascii="Arial" w:cs="Arial" w:eastAsia="Arial" w:hAnsi="Arial"/>
          <w:sz w:val="11"/>
          <w:szCs w:val="11"/>
          <w:i w:val="1"/>
          <w:iCs w:val="1"/>
          <w:color w:val="auto"/>
        </w:rPr>
        <w:t>Public Offering)</w:t>
      </w:r>
      <w:r>
        <w:rPr>
          <w:rFonts w:ascii="Arial" w:cs="Arial" w:eastAsia="Arial" w:hAnsi="Arial"/>
          <w:sz w:val="11"/>
          <w:szCs w:val="11"/>
          <w:color w:val="auto"/>
        </w:rPr>
        <w:t xml:space="preserve">. The Registration Statement has been declared effective by the SEC, however we have not yet sold any of our securities pursuant to the Registration Statement. No assurances can be provided that we will complete the Public Offering in the near term, on acceptable terms, or at all. In the remainder of this discussion the Private Financing and Public Offering are referred to as a </w:t>
      </w:r>
      <w:r>
        <w:rPr>
          <w:rFonts w:ascii="Arial" w:cs="Arial" w:eastAsia="Arial" w:hAnsi="Arial"/>
          <w:sz w:val="11"/>
          <w:szCs w:val="11"/>
          <w:i w:val="1"/>
          <w:iCs w:val="1"/>
          <w:color w:val="auto"/>
        </w:rPr>
        <w:t>Qualified Financing</w:t>
      </w:r>
      <w:r>
        <w:rPr>
          <w:rFonts w:ascii="Arial" w:cs="Arial" w:eastAsia="Arial" w:hAnsi="Arial"/>
          <w:sz w:val="11"/>
          <w:szCs w:val="11"/>
          <w:color w:val="auto"/>
        </w:rPr>
        <w: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continue to meet our cash needs and fund our working capital requirements after September 30, 2014 and prior to the completion of a Qualified Financing, through November 17, 2014, we entered into securities purchase agreements with accredited investors and institutions pursuant to which we sold to such accredited investors in private placement transactions units, for aggregate proceeds of $165,000, consisting of: (i) 10% subordinate convertible promissory notes in the aggregate face amount of $165,000 maturing on March 31, 2015; (ii) an aggregate of 8,250 restricted shares of our common stock; and (iii) warrants exercisable through December 31, 2016 to purchase an aggregate of 8,250 restricted shares of our common stock at an exercise price of $10.00 per share.</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If and as necessary, we may supplement the expected proceeds from a Qualified Financing through a combination of additional private placements of our securities, which may include both debt and equity securities, stem cell technology-based research and development collaborations, stem cell technology and drug candidate license fees, and government grant awards. Notwithstanding the foregoing, substantial additional financing may not be available to us on a timely basis, on acceptable terms, or at all. If we are unable to complete a Qualified Financing or otherwise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Further, in July 2014 and as subsequently amended in September 2014, we entered into an Amended and Restated Note Conversion Agreement and Warrant Amendment with Platinum,, wherein Platinum has agreed to convert into our unregistered equity securities all Senior Secured Convertible Promissory Notes (</w:t>
      </w:r>
      <w:r>
        <w:rPr>
          <w:rFonts w:ascii="Arial" w:cs="Arial" w:eastAsia="Arial" w:hAnsi="Arial"/>
          <w:sz w:val="12"/>
          <w:szCs w:val="12"/>
          <w:i w:val="1"/>
          <w:iCs w:val="1"/>
          <w:color w:val="auto"/>
        </w:rPr>
        <w:t>Senior Notes</w:t>
      </w:r>
      <w:r>
        <w:rPr>
          <w:rFonts w:ascii="Arial" w:cs="Arial" w:eastAsia="Arial" w:hAnsi="Arial"/>
          <w:sz w:val="12"/>
          <w:szCs w:val="12"/>
          <w:color w:val="auto"/>
        </w:rPr>
        <w:t>) currently held by Platinum, in the aggregate amount of approximately $4.2 million at September 30, 2014, including accrued but unpaid interest thereon (</w:t>
      </w:r>
      <w:r>
        <w:rPr>
          <w:rFonts w:ascii="Arial" w:cs="Arial" w:eastAsia="Arial" w:hAnsi="Arial"/>
          <w:sz w:val="12"/>
          <w:szCs w:val="12"/>
          <w:i w:val="1"/>
          <w:iCs w:val="1"/>
          <w:color w:val="auto"/>
        </w:rPr>
        <w:t>Outstanding Balance</w:t>
      </w:r>
      <w:r>
        <w:rPr>
          <w:rFonts w:ascii="Arial" w:cs="Arial" w:eastAsia="Arial" w:hAnsi="Arial"/>
          <w:sz w:val="12"/>
          <w:szCs w:val="12"/>
          <w:color w:val="auto"/>
        </w:rPr>
        <w:t>), upon our consummation on or before October 31, 2014 (</w:t>
      </w:r>
      <w:r>
        <w:rPr>
          <w:rFonts w:ascii="Arial" w:cs="Arial" w:eastAsia="Arial" w:hAnsi="Arial"/>
          <w:sz w:val="12"/>
          <w:szCs w:val="12"/>
          <w:i w:val="1"/>
          <w:iCs w:val="1"/>
          <w:color w:val="auto"/>
        </w:rPr>
        <w:t>Closing Date</w:t>
      </w:r>
      <w:r>
        <w:rPr>
          <w:rFonts w:ascii="Arial" w:cs="Arial" w:eastAsia="Arial" w:hAnsi="Arial"/>
          <w:sz w:val="12"/>
          <w:szCs w:val="12"/>
          <w:color w:val="auto"/>
        </w:rPr>
        <w:t>), of either (i) the Private Financing or (ii) a Public Offering that results in gross proceeds to us of at least $10.0 million or more. We expect to further amend the agreement to extend the Closing Date until November 30, 2014. Upon consummation of a Private Financing, the Senior Notes will convert into that number of unregistered shares of our Common Stock equal to the Outstanding Balance on the Closing Date, divided by $10.00 per share. In the event the Public Offering results in gross proceeds to us of at least $10 million, the Senior Notes will convert into shares of Series B Convertible Preferred Stock with an aggregate liquidation preference equal to the Outstanding Balance on the Closing Date. Eliminating the necessity to repay in cash the Senior Notes otherwise maturing between October 2015 and July 2016 significantly improves our liquidity and reduces our intermediate-term cash requirements.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4" w:name="page35"/>
    <w:bookmarkEnd w:id="34"/>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the Autilion Financing is completed in an amount exceeding $13.0 million, and we issue over 1.3 million shares of our restricted common stock in connection with such funding, Autilion will control in excess of 50% of our issued and outstanding common stock, resulting in a change in control of the Company. The issuance of 1.5 million shares of our common stock in our proposed Public Offering pursuant to the Registration Statement may also result in a change in control of the Company, although we do not anticipate that a single investor would control all of the shares issued in connection with the Public Offering. In the event that either a Private Financing or Public Offering is consummated, our existing stockholders will experience significant dilution.</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and Cash Equivalents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2"/>
                <w:szCs w:val="12"/>
                <w:b w:val="1"/>
                <w:bCs w:val="1"/>
                <w:color w:val="auto"/>
              </w:rPr>
              <w:t>Six Months Ended</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2"/>
                <w:szCs w:val="12"/>
                <w:b w:val="1"/>
                <w:bCs w:val="1"/>
                <w:color w:val="auto"/>
              </w:rPr>
              <w:t>September 30,</w:t>
            </w: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rPr>
              <w:t>2014</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1000" w:type="dxa"/>
            <w:vAlign w:val="bottom"/>
            <w:shd w:val="clear" w:color="auto" w:fill="CCEEFF"/>
          </w:tcPr>
          <w:p>
            <w:pPr>
              <w:jc w:val="right"/>
              <w:ind w:right="887"/>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(1,533)</w:t>
            </w: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Net cash used in investing activities</w:t>
            </w:r>
          </w:p>
        </w:tc>
        <w:tc>
          <w:tcPr>
            <w:tcW w:w="10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0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1,533</w:t>
            </w:r>
          </w:p>
        </w:tc>
        <w:tc>
          <w:tcPr>
            <w:tcW w:w="4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top w:val="single" w:sz="8" w:color="CCEEFF"/>
            </w:tcBorders>
            <w:gridSpan w:val="2"/>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decrease in cash and cash equivalents</w:t>
            </w:r>
          </w:p>
        </w:tc>
        <w:tc>
          <w:tcPr>
            <w:tcW w:w="10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period</w:t>
            </w:r>
          </w:p>
        </w:tc>
        <w:tc>
          <w:tcPr>
            <w:tcW w:w="10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gridSpan w:val="2"/>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40" w:type="dxa"/>
            <w:vAlign w:val="bottom"/>
            <w:gridSpan w:val="2"/>
          </w:tcPr>
          <w:p>
            <w:pPr>
              <w:spacing w:after="0"/>
              <w:rPr>
                <w:sz w:val="20"/>
                <w:szCs w:val="20"/>
                <w:color w:val="auto"/>
              </w:rPr>
            </w:pPr>
            <w:r>
              <w:rPr>
                <w:rFonts w:ascii="Arial" w:cs="Arial" w:eastAsia="Arial" w:hAnsi="Arial"/>
                <w:sz w:val="12"/>
                <w:szCs w:val="12"/>
                <w:color w:val="auto"/>
              </w:rPr>
              <w:t>Cash and cash equivalents at end of period</w:t>
            </w:r>
          </w:p>
        </w:tc>
        <w:tc>
          <w:tcPr>
            <w:tcW w:w="1000" w:type="dxa"/>
            <w:vAlign w:val="bottom"/>
          </w:tcPr>
          <w:p>
            <w:pPr>
              <w:jc w:val="right"/>
              <w:ind w:right="887"/>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81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Off-Balance Sheet Arrangements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16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gridSpan w:val="3"/>
          </w:tcPr>
          <w:p>
            <w:pPr>
              <w:spacing w:after="0"/>
              <w:rPr>
                <w:sz w:val="20"/>
                <w:szCs w:val="20"/>
                <w:color w:val="auto"/>
              </w:rPr>
            </w:pPr>
            <w:r>
              <w:rPr>
                <w:rFonts w:ascii="Arial" w:cs="Arial" w:eastAsia="Arial" w:hAnsi="Arial"/>
                <w:sz w:val="12"/>
                <w:szCs w:val="12"/>
                <w:color w:val="auto"/>
              </w:rPr>
              <w:t>We have no off-balance sheet arrangements.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Item 4.</w:t>
            </w:r>
          </w:p>
        </w:tc>
        <w:tc>
          <w:tcPr>
            <w:tcW w:w="7400" w:type="dxa"/>
            <w:vAlign w:val="bottom"/>
          </w:tcPr>
          <w:p>
            <w:pPr>
              <w:ind w:left="400"/>
              <w:spacing w:after="0"/>
              <w:rPr>
                <w:sz w:val="20"/>
                <w:szCs w:val="20"/>
                <w:color w:val="auto"/>
              </w:rPr>
            </w:pPr>
            <w:r>
              <w:rPr>
                <w:rFonts w:ascii="Arial" w:cs="Arial" w:eastAsia="Arial" w:hAnsi="Arial"/>
                <w:sz w:val="12"/>
                <w:szCs w:val="12"/>
                <w:b w:val="1"/>
                <w:bCs w:val="1"/>
                <w:color w:val="auto"/>
              </w:rPr>
              <w:t>CONTROLS AND PROCEDURES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There was no change in our internal control over financial reporting (as defined in Rule 13a-15(f) of the Exchange Act) that occurred during the fiscal quarter to which this Quarterly Report on Form 10-Q relates that has materially affected, or is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not involved in any legal proceedings nor do we know of any legal proceedings which are threatened or contemplated that would have a material adverse impact on our financial position.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other information set forth in this Report, you should carefully consider the factors discussed in Part I, Item 1A. “Risk Factors” set forth in our Annual Report on Form 10-K filed with the Securities and Exchange Commission for the fiscal year ended March 31, 2014, which could materially affect our business, financial condition or future results. The risks described in our Form 10-K are not the only risks facing our Company. Additional risks and uncertainties not currently known to us or that we currently deem to be immaterial may also materially adversely affect our business, financial condition and/or operating results.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5" w:name="page36"/>
    <w:bookmarkEnd w:id="35"/>
    <w:p>
      <w:pPr>
        <w:ind w:left="8"/>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Sale of Units in 2014 Unit Private Placement</w:t>
      </w:r>
    </w:p>
    <w:p>
      <w:pPr>
        <w:spacing w:after="0" w:line="172"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 xml:space="preserve">Between August 20, 2014 and November 17, 2014, we entered into private placement subscription agreements with accredited investors pursuant to which we sold to such investors 2014 Units, as described more completely in Note 8, </w:t>
      </w:r>
      <w:r>
        <w:rPr>
          <w:rFonts w:ascii="Arial" w:cs="Arial" w:eastAsia="Arial" w:hAnsi="Arial"/>
          <w:sz w:val="12"/>
          <w:szCs w:val="12"/>
          <w:i w:val="1"/>
          <w:iCs w:val="1"/>
          <w:color w:val="auto"/>
        </w:rPr>
        <w:t>Capital Stock</w:t>
      </w:r>
      <w:r>
        <w:rPr>
          <w:rFonts w:ascii="Arial" w:cs="Arial" w:eastAsia="Arial" w:hAnsi="Arial"/>
          <w:sz w:val="12"/>
          <w:szCs w:val="12"/>
          <w:color w:val="auto"/>
        </w:rPr>
        <w:t>, in the Condensed Consolidated Financial Statements included in Item 1 of this Quarterly Report on Form 10-Q, consisting of (i) 2014 Unit Notes in the aggregate face amount of $315,000; (ii) an aggregate of 15,750 shares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of 2014 Unit Stock; and (iii) 2014 Unit Warrants to purchase an aggregate of 15,750 restricted shares of our common stock at an exercise price of $10.00 per share. We received cash proceeds of $315,000 from the sales of these 2014 Units, which we expect to use for general corporate purposes. The 2014 Units were offered and sold in transactions exempt from registration under the Securities Act of 1933, as amended (the </w:t>
      </w:r>
      <w:r>
        <w:rPr>
          <w:rFonts w:ascii="Arial" w:cs="Arial" w:eastAsia="Arial" w:hAnsi="Arial"/>
          <w:sz w:val="12"/>
          <w:szCs w:val="12"/>
          <w:i w:val="1"/>
          <w:iCs w:val="1"/>
          <w:color w:val="auto"/>
        </w:rPr>
        <w:t>Securities Act</w:t>
      </w:r>
      <w:r>
        <w:rPr>
          <w:rFonts w:ascii="Arial" w:cs="Arial" w:eastAsia="Arial" w:hAnsi="Arial"/>
          <w:sz w:val="12"/>
          <w:szCs w:val="12"/>
          <w:color w:val="auto"/>
        </w:rPr>
        <w:t>), in reliance on Section 4(2) thereof and Rule 506 of Regulation D thereunder.</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2"/>
                <w:szCs w:val="12"/>
                <w:color w:val="auto"/>
              </w:rPr>
              <w:t>None.</w:t>
            </w:r>
          </w:p>
        </w:tc>
        <w:tc>
          <w:tcPr>
            <w:tcW w:w="120" w:type="dxa"/>
            <w:vAlign w:val="bottom"/>
          </w:tcPr>
          <w:p>
            <w:pPr>
              <w:spacing w:after="0"/>
              <w:rPr>
                <w:sz w:val="13"/>
                <w:szCs w:val="13"/>
                <w:color w:val="auto"/>
              </w:rPr>
            </w:pPr>
          </w:p>
        </w:tc>
        <w:tc>
          <w:tcPr>
            <w:tcW w:w="10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Item 6. EXHIBITS</w:t>
            </w:r>
          </w:p>
        </w:tc>
        <w:tc>
          <w:tcPr>
            <w:tcW w:w="12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Exhibit Number</w:t>
            </w:r>
          </w:p>
        </w:tc>
        <w:tc>
          <w:tcPr>
            <w:tcW w:w="120" w:type="dxa"/>
            <w:vAlign w:val="bottom"/>
          </w:tcPr>
          <w:p>
            <w:pPr>
              <w:spacing w:after="0"/>
              <w:rPr>
                <w:sz w:val="24"/>
                <w:szCs w:val="24"/>
                <w:color w:val="auto"/>
              </w:rPr>
            </w:pPr>
          </w:p>
        </w:tc>
        <w:tc>
          <w:tcPr>
            <w:tcW w:w="10340" w:type="dxa"/>
            <w:vAlign w:val="bottom"/>
          </w:tcPr>
          <w:p>
            <w:pPr>
              <w:ind w:left="48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3.5</w:t>
            </w:r>
          </w:p>
        </w:tc>
        <w:tc>
          <w:tcPr>
            <w:tcW w:w="120" w:type="dxa"/>
            <w:vAlign w:val="bottom"/>
            <w:shd w:val="clear" w:color="auto" w:fill="CCEEFF"/>
          </w:tcPr>
          <w:p>
            <w:pPr>
              <w:spacing w:after="0"/>
              <w:rPr>
                <w:sz w:val="12"/>
                <w:szCs w:val="12"/>
                <w:color w:val="auto"/>
              </w:rPr>
            </w:pPr>
          </w:p>
        </w:tc>
        <w:tc>
          <w:tcPr>
            <w:tcW w:w="10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9"/>
              </w:rPr>
              <w:t>Certificate of Change of VistaGen Therapeutics, Inc., dated August 11, 2014 and incorporated by reference from Exhibit 3.1 to the Company’s Current Report on Form 8-K filed on August 14, 2014.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10.110</w:t>
            </w:r>
          </w:p>
        </w:tc>
        <w:tc>
          <w:tcPr>
            <w:tcW w:w="1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2"/>
              </w:rPr>
              <w:t>Amendment No. 1 to Amended and Restated Note Conversion Agreement and Warrant Amendment, by and between VistaGen Therapeutics, Inc. and Platinum Long Term Growth VII, LLC, dated September 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2"/>
                <w:szCs w:val="12"/>
                <w:color w:val="auto"/>
              </w:rPr>
              <w:t>2014 and incorporated by reference from Exhibit 3.1 to the Company’s Current Report on Form 8-K filed on September 4, 2014.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10.111</w:t>
            </w:r>
          </w:p>
        </w:tc>
        <w:tc>
          <w:tcPr>
            <w:tcW w:w="120" w:type="dxa"/>
            <w:vAlign w:val="bottom"/>
            <w:shd w:val="clear" w:color="auto" w:fill="CCEEFF"/>
          </w:tcPr>
          <w:p>
            <w:pPr>
              <w:spacing w:after="0"/>
              <w:rPr>
                <w:sz w:val="11"/>
                <w:szCs w:val="11"/>
                <w:color w:val="auto"/>
              </w:rPr>
            </w:pPr>
          </w:p>
        </w:tc>
        <w:tc>
          <w:tcPr>
            <w:tcW w:w="10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2"/>
              </w:rPr>
              <w:t>Amendment No. 2 to Amended and Restated Note Conversion Agreement and Warrant Amendment, by and between VistaGen Therapeutics, Inc. and Platinum Long Term Growth VII, LLC, dated September 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2"/>
                <w:szCs w:val="12"/>
                <w:color w:val="auto"/>
              </w:rPr>
              <w:t>2014 and incorporated by reference from Exhibit 3.1 to the Company’s Current Report on Form 8-K filed on October 3, 2014.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31.1</w:t>
            </w:r>
          </w:p>
        </w:tc>
        <w:tc>
          <w:tcPr>
            <w:tcW w:w="120" w:type="dxa"/>
            <w:vAlign w:val="bottom"/>
            <w:shd w:val="clear" w:color="auto" w:fill="CCEEFF"/>
          </w:tcPr>
          <w:p>
            <w:pPr>
              <w:spacing w:after="0"/>
              <w:rPr>
                <w:sz w:val="12"/>
                <w:szCs w:val="12"/>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2"/>
                <w:szCs w:val="12"/>
                <w:color w:val="auto"/>
                <w:w w:val="96"/>
              </w:rPr>
              <w:t>Certification of the Principal Executive Officer required by Rule 13a-14(a) under the Securities Exchange Act of 1934, as amended, as adopted pursuant to Section 302 of the Sarbanes-Oxley Act of 2002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2"/>
                <w:szCs w:val="12"/>
                <w:color w:val="auto"/>
              </w:rPr>
              <w:t>31.2</w:t>
            </w:r>
          </w:p>
        </w:tc>
        <w:tc>
          <w:tcPr>
            <w:tcW w:w="120" w:type="dxa"/>
            <w:vAlign w:val="bottom"/>
            <w:shd w:val="clear" w:color="auto" w:fill="CCEEFF"/>
          </w:tcPr>
          <w:p>
            <w:pPr>
              <w:spacing w:after="0"/>
              <w:rPr>
                <w:sz w:val="12"/>
                <w:szCs w:val="12"/>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2"/>
                <w:szCs w:val="12"/>
                <w:color w:val="auto"/>
                <w:w w:val="96"/>
              </w:rPr>
              <w:t>Certification of the Principal Financial Officer required by Rule 13a-14(a) under the Securities Exchange Act of 1934, as amended, as adopted pursuant to Section 302 of the Sarbanes-Oxley Act of 2002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148" w:right="20" w:hanging="1148"/>
        <w:spacing w:after="0" w:line="276" w:lineRule="auto"/>
        <w:tabs>
          <w:tab w:leader="none" w:pos="1148" w:val="left"/>
        </w:tabs>
        <w:numPr>
          <w:ilvl w:val="0"/>
          <w:numId w:val="7"/>
        </w:numPr>
        <w:rPr>
          <w:rFonts w:ascii="Arial" w:cs="Arial" w:eastAsia="Arial" w:hAnsi="Arial"/>
          <w:sz w:val="12"/>
          <w:szCs w:val="12"/>
          <w:color w:val="auto"/>
        </w:rPr>
      </w:pPr>
      <w:r>
        <w:rPr>
          <w:rFonts w:ascii="Arial" w:cs="Arial" w:eastAsia="Arial" w:hAnsi="Arial"/>
          <w:sz w:val="12"/>
          <w:szCs w:val="12"/>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292340" cy="182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10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101.INS</w:t>
            </w:r>
          </w:p>
        </w:tc>
        <w:tc>
          <w:tcPr>
            <w:tcW w:w="10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XBRL Instance Document</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101.SCH</w:t>
            </w:r>
          </w:p>
        </w:tc>
        <w:tc>
          <w:tcPr>
            <w:tcW w:w="10700" w:type="dxa"/>
            <w:vAlign w:val="bottom"/>
          </w:tcPr>
          <w:p>
            <w:pPr>
              <w:ind w:left="360"/>
              <w:spacing w:after="0"/>
              <w:rPr>
                <w:sz w:val="20"/>
                <w:szCs w:val="20"/>
                <w:color w:val="auto"/>
              </w:rPr>
            </w:pPr>
            <w:r>
              <w:rPr>
                <w:rFonts w:ascii="Arial" w:cs="Arial" w:eastAsia="Arial" w:hAnsi="Arial"/>
                <w:sz w:val="12"/>
                <w:szCs w:val="12"/>
                <w:color w:val="auto"/>
              </w:rPr>
              <w:t>XBRL Taxonomy Extension Schema</w:t>
            </w: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101.CAL</w:t>
            </w:r>
          </w:p>
        </w:tc>
        <w:tc>
          <w:tcPr>
            <w:tcW w:w="10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XBRL Taxonomy Extension Calculation Linkbase</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101.DEF</w:t>
            </w:r>
          </w:p>
        </w:tc>
        <w:tc>
          <w:tcPr>
            <w:tcW w:w="10700" w:type="dxa"/>
            <w:vAlign w:val="bottom"/>
          </w:tcPr>
          <w:p>
            <w:pPr>
              <w:ind w:left="360"/>
              <w:spacing w:after="0"/>
              <w:rPr>
                <w:sz w:val="20"/>
                <w:szCs w:val="20"/>
                <w:color w:val="auto"/>
              </w:rPr>
            </w:pPr>
            <w:r>
              <w:rPr>
                <w:rFonts w:ascii="Arial" w:cs="Arial" w:eastAsia="Arial" w:hAnsi="Arial"/>
                <w:sz w:val="12"/>
                <w:szCs w:val="12"/>
                <w:color w:val="auto"/>
              </w:rPr>
              <w:t>XBRL Taxonomy Extension Definition Linkbase</w:t>
            </w:r>
          </w:p>
        </w:tc>
      </w:tr>
      <w:tr>
        <w:trPr>
          <w:trHeight w:val="144"/>
        </w:trPr>
        <w:tc>
          <w:tcPr>
            <w:tcW w:w="780" w:type="dxa"/>
            <w:vAlign w:val="bottom"/>
            <w:shd w:val="clear" w:color="auto" w:fill="CCEEFF"/>
          </w:tcPr>
          <w:p>
            <w:pPr>
              <w:spacing w:after="0"/>
              <w:rPr>
                <w:sz w:val="20"/>
                <w:szCs w:val="20"/>
                <w:color w:val="auto"/>
              </w:rPr>
            </w:pPr>
            <w:r>
              <w:rPr>
                <w:rFonts w:ascii="Arial" w:cs="Arial" w:eastAsia="Arial" w:hAnsi="Arial"/>
                <w:sz w:val="12"/>
                <w:szCs w:val="12"/>
                <w:color w:val="auto"/>
              </w:rPr>
              <w:t>101.LAB</w:t>
            </w:r>
          </w:p>
        </w:tc>
        <w:tc>
          <w:tcPr>
            <w:tcW w:w="107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XBRL Taxonomy Extension Label Linkbase</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101.PRE</w:t>
            </w:r>
          </w:p>
        </w:tc>
        <w:tc>
          <w:tcPr>
            <w:tcW w:w="10700" w:type="dxa"/>
            <w:vAlign w:val="bottom"/>
          </w:tcPr>
          <w:p>
            <w:pPr>
              <w:ind w:left="360"/>
              <w:spacing w:after="0"/>
              <w:rPr>
                <w:sz w:val="20"/>
                <w:szCs w:val="20"/>
                <w:color w:val="auto"/>
              </w:rPr>
            </w:pPr>
            <w:r>
              <w:rPr>
                <w:rFonts w:ascii="Arial" w:cs="Arial" w:eastAsia="Arial" w:hAnsi="Arial"/>
                <w:sz w:val="12"/>
                <w:szCs w:val="12"/>
                <w:color w:val="auto"/>
              </w:rPr>
              <w:t>XBRL Taxonomy Extension Presentation Linkbase</w:t>
            </w:r>
          </w:p>
        </w:tc>
      </w:tr>
    </w:tbl>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6" w:name="page37"/>
    <w:bookmarkEnd w:id="36"/>
    <w:p>
      <w:pPr>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pacing w:after="0" w:line="145"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VISTAGEN THERAPEUTICS,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340" w:type="dxa"/>
            <w:vAlign w:val="bottom"/>
          </w:tcPr>
          <w:p>
            <w:pPr>
              <w:spacing w:after="0"/>
              <w:rPr>
                <w:sz w:val="12"/>
                <w:szCs w:val="12"/>
                <w:color w:val="auto"/>
              </w:rPr>
            </w:pPr>
          </w:p>
        </w:tc>
        <w:tc>
          <w:tcPr>
            <w:tcW w:w="3300" w:type="dxa"/>
            <w:vAlign w:val="bottom"/>
            <w:gridSpan w:val="3"/>
          </w:tcPr>
          <w:p>
            <w:pPr>
              <w:spacing w:after="0"/>
              <w:rPr>
                <w:sz w:val="20"/>
                <w:szCs w:val="20"/>
                <w:color w:val="auto"/>
              </w:rPr>
            </w:pPr>
            <w:r>
              <w:rPr>
                <w:rFonts w:ascii="Arial" w:cs="Arial" w:eastAsia="Arial" w:hAnsi="Arial"/>
                <w:sz w:val="12"/>
                <w:szCs w:val="12"/>
                <w:color w:val="auto"/>
              </w:rPr>
              <w:t>/s/ Shawn K. Singh</w:t>
            </w:r>
          </w:p>
        </w:tc>
      </w:tr>
      <w:tr>
        <w:trPr>
          <w:trHeight w:val="20"/>
        </w:trPr>
        <w:tc>
          <w:tcPr>
            <w:tcW w:w="5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42"/>
        </w:trPr>
        <w:tc>
          <w:tcPr>
            <w:tcW w:w="5340" w:type="dxa"/>
            <w:vAlign w:val="bottom"/>
          </w:tcPr>
          <w:p>
            <w:pPr>
              <w:spacing w:after="0"/>
              <w:rPr>
                <w:sz w:val="12"/>
                <w:szCs w:val="12"/>
                <w:color w:val="auto"/>
              </w:rPr>
            </w:pPr>
          </w:p>
        </w:tc>
        <w:tc>
          <w:tcPr>
            <w:tcW w:w="3300" w:type="dxa"/>
            <w:vAlign w:val="bottom"/>
            <w:gridSpan w:val="3"/>
          </w:tcPr>
          <w:p>
            <w:pPr>
              <w:spacing w:after="0"/>
              <w:rPr>
                <w:sz w:val="20"/>
                <w:szCs w:val="20"/>
                <w:color w:val="auto"/>
              </w:rPr>
            </w:pPr>
            <w:r>
              <w:rPr>
                <w:rFonts w:ascii="Arial" w:cs="Arial" w:eastAsia="Arial" w:hAnsi="Arial"/>
                <w:sz w:val="12"/>
                <w:szCs w:val="12"/>
                <w:color w:val="auto"/>
              </w:rPr>
              <w:t>Shawn K. Singh, J.D.</w:t>
            </w:r>
          </w:p>
        </w:tc>
      </w:tr>
      <w:tr>
        <w:trPr>
          <w:trHeight w:val="153"/>
        </w:trPr>
        <w:tc>
          <w:tcPr>
            <w:tcW w:w="5340" w:type="dxa"/>
            <w:vAlign w:val="bottom"/>
          </w:tcPr>
          <w:p>
            <w:pPr>
              <w:spacing w:after="0"/>
              <w:rPr>
                <w:sz w:val="13"/>
                <w:szCs w:val="13"/>
                <w:color w:val="auto"/>
              </w:rPr>
            </w:pPr>
          </w:p>
        </w:tc>
        <w:tc>
          <w:tcPr>
            <w:tcW w:w="3300" w:type="dxa"/>
            <w:vAlign w:val="bottom"/>
            <w:gridSpan w:val="3"/>
          </w:tcPr>
          <w:p>
            <w:pPr>
              <w:spacing w:after="0"/>
              <w:rPr>
                <w:sz w:val="20"/>
                <w:szCs w:val="20"/>
                <w:color w:val="auto"/>
              </w:rPr>
            </w:pPr>
            <w:r>
              <w:rPr>
                <w:rFonts w:ascii="Arial" w:cs="Arial" w:eastAsia="Arial" w:hAnsi="Arial"/>
                <w:sz w:val="12"/>
                <w:szCs w:val="12"/>
                <w:i w:val="1"/>
                <w:iCs w:val="1"/>
                <w:color w:val="auto"/>
              </w:rPr>
              <w:t>Chief Executive Officer (Principal Executive Officer)</w:t>
            </w:r>
          </w:p>
        </w:tc>
      </w:tr>
      <w:tr>
        <w:trPr>
          <w:trHeight w:val="261"/>
        </w:trPr>
        <w:tc>
          <w:tcPr>
            <w:tcW w:w="5340" w:type="dxa"/>
            <w:vAlign w:val="bottom"/>
          </w:tcPr>
          <w:p>
            <w:pPr>
              <w:spacing w:after="0"/>
              <w:rPr>
                <w:sz w:val="22"/>
                <w:szCs w:val="22"/>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9"/>
              </w:rPr>
              <w:t>/s/ Jerrold D. Dotson</w:t>
            </w:r>
          </w:p>
        </w:tc>
        <w:tc>
          <w:tcPr>
            <w:tcW w:w="2300" w:type="dxa"/>
            <w:vAlign w:val="bottom"/>
          </w:tcPr>
          <w:p>
            <w:pPr>
              <w:spacing w:after="0"/>
              <w:rPr>
                <w:sz w:val="22"/>
                <w:szCs w:val="22"/>
                <w:color w:val="auto"/>
              </w:rPr>
            </w:pPr>
          </w:p>
        </w:tc>
      </w:tr>
      <w:tr>
        <w:trPr>
          <w:trHeight w:val="142"/>
        </w:trPr>
        <w:tc>
          <w:tcPr>
            <w:tcW w:w="5340" w:type="dxa"/>
            <w:vAlign w:val="bottom"/>
          </w:tcPr>
          <w:p>
            <w:pPr>
              <w:spacing w:after="0"/>
              <w:rPr>
                <w:sz w:val="12"/>
                <w:szCs w:val="12"/>
                <w:color w:val="auto"/>
              </w:rPr>
            </w:pPr>
          </w:p>
        </w:tc>
        <w:tc>
          <w:tcPr>
            <w:tcW w:w="3300" w:type="dxa"/>
            <w:vAlign w:val="bottom"/>
            <w:gridSpan w:val="3"/>
          </w:tcPr>
          <w:p>
            <w:pPr>
              <w:spacing w:after="0"/>
              <w:rPr>
                <w:sz w:val="20"/>
                <w:szCs w:val="20"/>
                <w:color w:val="auto"/>
              </w:rPr>
            </w:pPr>
            <w:r>
              <w:rPr>
                <w:rFonts w:ascii="Arial" w:cs="Arial" w:eastAsia="Arial" w:hAnsi="Arial"/>
                <w:sz w:val="12"/>
                <w:szCs w:val="12"/>
                <w:color w:val="auto"/>
              </w:rPr>
              <w:t>Jerrold D. Dotson</w:t>
            </w:r>
          </w:p>
        </w:tc>
      </w:tr>
      <w:tr>
        <w:trPr>
          <w:trHeight w:val="153"/>
        </w:trPr>
        <w:tc>
          <w:tcPr>
            <w:tcW w:w="5340" w:type="dxa"/>
            <w:vAlign w:val="bottom"/>
          </w:tcPr>
          <w:p>
            <w:pPr>
              <w:spacing w:after="0"/>
              <w:rPr>
                <w:sz w:val="20"/>
                <w:szCs w:val="20"/>
                <w:color w:val="auto"/>
              </w:rPr>
            </w:pPr>
            <w:r>
              <w:rPr>
                <w:rFonts w:ascii="Arial" w:cs="Arial" w:eastAsia="Arial" w:hAnsi="Arial"/>
                <w:sz w:val="12"/>
                <w:szCs w:val="12"/>
                <w:color w:val="auto"/>
              </w:rPr>
              <w:t>Dated: November 19, 2014</w:t>
            </w:r>
          </w:p>
        </w:tc>
        <w:tc>
          <w:tcPr>
            <w:tcW w:w="3300" w:type="dxa"/>
            <w:vAlign w:val="bottom"/>
            <w:gridSpan w:val="3"/>
          </w:tcPr>
          <w:p>
            <w:pPr>
              <w:spacing w:after="0"/>
              <w:rPr>
                <w:sz w:val="20"/>
                <w:szCs w:val="20"/>
                <w:color w:val="auto"/>
              </w:rPr>
            </w:pPr>
            <w:r>
              <w:rPr>
                <w:rFonts w:ascii="Arial" w:cs="Arial" w:eastAsia="Arial" w:hAnsi="Arial"/>
                <w:sz w:val="12"/>
                <w:szCs w:val="12"/>
                <w:i w:val="1"/>
                <w:iCs w:val="1"/>
                <w:color w:val="auto"/>
                <w:w w:val="94"/>
              </w:rPr>
              <w:t>Chief Financial Officer (Principal Financial and Accounting Officer</w:t>
            </w:r>
          </w:p>
        </w:tc>
      </w:tr>
    </w:tbl>
    <w:p>
      <w:pPr>
        <w:sectPr>
          <w:pgSz w:w="11900" w:h="16838" w:orient="portrait"/>
          <w:cols w:equalWidth="0" w:num="1">
            <w:col w:w="10239"/>
          </w:cols>
          <w:pgMar w:left="220" w:top="128"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Shawn K. Singh, certify that;</w:t>
      </w:r>
    </w:p>
    <w:p>
      <w:pPr>
        <w:spacing w:after="0" w:line="168"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VistaGen Therapeutics, Inc.;</w:t>
      </w:r>
    </w:p>
    <w:p>
      <w:pPr>
        <w:spacing w:after="0" w:line="168" w:lineRule="exact"/>
        <w:rPr>
          <w:rFonts w:ascii="Arial" w:cs="Arial" w:eastAsia="Arial" w:hAnsi="Arial"/>
          <w:sz w:val="12"/>
          <w:szCs w:val="12"/>
          <w:color w:val="auto"/>
        </w:rPr>
      </w:pPr>
    </w:p>
    <w:p>
      <w:pPr>
        <w:ind w:left="8" w:hanging="8"/>
        <w:spacing w:after="0" w:line="276" w:lineRule="auto"/>
        <w:tabs>
          <w:tab w:leader="none" w:pos="457"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2" w:lineRule="exact"/>
        <w:rPr>
          <w:rFonts w:ascii="Arial" w:cs="Arial" w:eastAsia="Arial" w:hAnsi="Arial"/>
          <w:sz w:val="12"/>
          <w:szCs w:val="12"/>
          <w:color w:val="auto"/>
        </w:rPr>
      </w:pPr>
    </w:p>
    <w:p>
      <w:pPr>
        <w:ind w:left="8" w:right="20" w:hanging="8"/>
        <w:spacing w:after="0" w:line="276" w:lineRule="auto"/>
        <w:tabs>
          <w:tab w:leader="none" w:pos="441"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489"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 w:firstLine="208"/>
        <w:spacing w:after="0" w:line="276" w:lineRule="auto"/>
        <w:tabs>
          <w:tab w:leader="none" w:pos="819"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firstLine="208"/>
        <w:spacing w:after="0" w:line="276" w:lineRule="auto"/>
        <w:tabs>
          <w:tab w:leader="none" w:pos="756" w:val="left"/>
        </w:tabs>
        <w:numPr>
          <w:ilvl w:val="1"/>
          <w:numId w:val="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20" w:firstLine="208"/>
        <w:spacing w:after="0" w:line="276" w:lineRule="auto"/>
        <w:tabs>
          <w:tab w:leader="none" w:pos="749"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firstLine="208"/>
        <w:spacing w:after="0" w:line="276" w:lineRule="auto"/>
        <w:tabs>
          <w:tab w:leader="none" w:pos="674"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hanging="8"/>
        <w:spacing w:after="0" w:line="276" w:lineRule="auto"/>
        <w:tabs>
          <w:tab w:leader="none" w:pos="527"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 w:firstLine="208"/>
        <w:spacing w:after="0" w:line="276" w:lineRule="auto"/>
        <w:tabs>
          <w:tab w:leader="none" w:pos="643"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8" w:hanging="432"/>
        <w:spacing w:after="0"/>
        <w:tabs>
          <w:tab w:leader="none" w:pos="648"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740" w:type="dxa"/>
            <w:vAlign w:val="bottom"/>
          </w:tcPr>
          <w:p>
            <w:pPr>
              <w:spacing w:after="0"/>
              <w:rPr>
                <w:sz w:val="20"/>
                <w:szCs w:val="20"/>
                <w:color w:val="auto"/>
              </w:rPr>
            </w:pPr>
            <w:r>
              <w:rPr>
                <w:rFonts w:ascii="Arial" w:cs="Arial" w:eastAsia="Arial" w:hAnsi="Arial"/>
                <w:sz w:val="12"/>
                <w:szCs w:val="12"/>
                <w:color w:val="auto"/>
              </w:rPr>
              <w:t>November 19, 2014</w:t>
            </w:r>
          </w:p>
        </w:tc>
        <w:tc>
          <w:tcPr>
            <w:tcW w:w="1320" w:type="dxa"/>
            <w:vAlign w:val="bottom"/>
            <w:gridSpan w:val="2"/>
          </w:tcPr>
          <w:p>
            <w:pPr>
              <w:spacing w:after="0"/>
              <w:rPr>
                <w:sz w:val="20"/>
                <w:szCs w:val="20"/>
                <w:color w:val="auto"/>
              </w:rPr>
            </w:pPr>
            <w:r>
              <w:rPr>
                <w:rFonts w:ascii="Arial" w:cs="Arial" w:eastAsia="Arial" w:hAnsi="Arial"/>
                <w:sz w:val="12"/>
                <w:szCs w:val="12"/>
                <w:color w:val="auto"/>
              </w:rPr>
              <w:t>/s/ Shawn K. Singh</w:t>
            </w:r>
          </w:p>
        </w:tc>
      </w:tr>
      <w:tr>
        <w:trPr>
          <w:trHeight w:val="20"/>
        </w:trPr>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2"/>
        </w:trPr>
        <w:tc>
          <w:tcPr>
            <w:tcW w:w="5740" w:type="dxa"/>
            <w:vAlign w:val="bottom"/>
          </w:tcPr>
          <w:p>
            <w:pPr>
              <w:spacing w:after="0"/>
              <w:rPr>
                <w:sz w:val="12"/>
                <w:szCs w:val="12"/>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rPr>
              <w:t>Shawn K. Singh, JD</w:t>
            </w:r>
          </w:p>
        </w:tc>
      </w:tr>
      <w:tr>
        <w:trPr>
          <w:trHeight w:val="153"/>
        </w:trPr>
        <w:tc>
          <w:tcPr>
            <w:tcW w:w="5740" w:type="dxa"/>
            <w:vAlign w:val="bottom"/>
          </w:tcPr>
          <w:p>
            <w:pPr>
              <w:spacing w:after="0"/>
              <w:rPr>
                <w:sz w:val="13"/>
                <w:szCs w:val="13"/>
                <w:color w:val="auto"/>
              </w:rPr>
            </w:pPr>
          </w:p>
        </w:tc>
        <w:tc>
          <w:tcPr>
            <w:tcW w:w="1320" w:type="dxa"/>
            <w:vAlign w:val="bottom"/>
            <w:gridSpan w:val="2"/>
          </w:tcPr>
          <w:p>
            <w:pPr>
              <w:spacing w:after="0"/>
              <w:rPr>
                <w:sz w:val="20"/>
                <w:szCs w:val="20"/>
                <w:color w:val="auto"/>
              </w:rPr>
            </w:pPr>
            <w:r>
              <w:rPr>
                <w:rFonts w:ascii="Arial" w:cs="Arial" w:eastAsia="Arial" w:hAnsi="Arial"/>
                <w:sz w:val="12"/>
                <w:szCs w:val="12"/>
                <w:color w:val="auto"/>
                <w:w w:val="92"/>
              </w:rPr>
              <w:t>Principal Executive Officer</w:t>
            </w:r>
          </w:p>
        </w:tc>
      </w:tr>
    </w:tbl>
    <w:p>
      <w:pPr>
        <w:sectPr>
          <w:pgSz w:w="11900" w:h="16838" w:orient="portrait"/>
          <w:cols w:equalWidth="0" w:num="1">
            <w:col w:w="11488"/>
          </w:cols>
          <w:pgMar w:left="212" w:top="127" w:right="199" w:bottom="1440" w:gutter="0" w:footer="0" w:header="0"/>
        </w:sectPr>
      </w:pPr>
    </w:p>
    <w:bookmarkStart w:id="38" w:name="page39"/>
    <w:bookmarkEnd w:id="38"/>
    <w:p>
      <w:pPr>
        <w:jc w:val="right"/>
        <w:spacing w:after="0"/>
        <w:rPr>
          <w:sz w:val="20"/>
          <w:szCs w:val="20"/>
          <w:color w:val="auto"/>
        </w:rPr>
      </w:pPr>
      <w:r>
        <w:rPr>
          <w:rFonts w:ascii="Arial" w:cs="Arial" w:eastAsia="Arial" w:hAnsi="Arial"/>
          <w:sz w:val="12"/>
          <w:szCs w:val="12"/>
          <w:b w:val="1"/>
          <w:bCs w:val="1"/>
          <w:color w:val="auto"/>
        </w:rPr>
        <w:t>EXHIBIT 31.2</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Jerrold D. Dotson, certify that:</w:t>
      </w:r>
    </w:p>
    <w:p>
      <w:pPr>
        <w:spacing w:after="0" w:line="168" w:lineRule="exact"/>
        <w:rPr>
          <w:sz w:val="20"/>
          <w:szCs w:val="20"/>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VistaGen Therapeutics, Inc.;</w:t>
      </w:r>
    </w:p>
    <w:p>
      <w:pPr>
        <w:spacing w:after="0" w:line="168" w:lineRule="exact"/>
        <w:rPr>
          <w:rFonts w:ascii="Arial" w:cs="Arial" w:eastAsia="Arial" w:hAnsi="Arial"/>
          <w:sz w:val="12"/>
          <w:szCs w:val="12"/>
          <w:color w:val="auto"/>
        </w:rPr>
      </w:pPr>
    </w:p>
    <w:p>
      <w:pPr>
        <w:ind w:left="8" w:hanging="8"/>
        <w:spacing w:after="0" w:line="276" w:lineRule="auto"/>
        <w:tabs>
          <w:tab w:leader="none" w:pos="457"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2" w:lineRule="exact"/>
        <w:rPr>
          <w:rFonts w:ascii="Arial" w:cs="Arial" w:eastAsia="Arial" w:hAnsi="Arial"/>
          <w:sz w:val="12"/>
          <w:szCs w:val="12"/>
          <w:color w:val="auto"/>
        </w:rPr>
      </w:pPr>
    </w:p>
    <w:p>
      <w:pPr>
        <w:ind w:left="8" w:right="20" w:hanging="8"/>
        <w:spacing w:after="0" w:line="276" w:lineRule="auto"/>
        <w:tabs>
          <w:tab w:leader="none" w:pos="441"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489"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8" w:firstLine="208"/>
        <w:spacing w:after="0" w:line="276" w:lineRule="auto"/>
        <w:tabs>
          <w:tab w:leader="none" w:pos="819" w:val="left"/>
        </w:tabs>
        <w:numPr>
          <w:ilvl w:val="1"/>
          <w:numId w:val="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firstLine="208"/>
        <w:spacing w:after="0" w:line="276" w:lineRule="auto"/>
        <w:tabs>
          <w:tab w:leader="none" w:pos="756" w:val="left"/>
        </w:tabs>
        <w:numPr>
          <w:ilvl w:val="1"/>
          <w:numId w:val="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20" w:firstLine="208"/>
        <w:spacing w:after="0" w:line="276" w:lineRule="auto"/>
        <w:tabs>
          <w:tab w:leader="none" w:pos="749" w:val="left"/>
        </w:tabs>
        <w:numPr>
          <w:ilvl w:val="1"/>
          <w:numId w:val="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firstLine="208"/>
        <w:spacing w:after="0" w:line="276" w:lineRule="auto"/>
        <w:tabs>
          <w:tab w:leader="none" w:pos="674" w:val="left"/>
        </w:tabs>
        <w:numPr>
          <w:ilvl w:val="1"/>
          <w:numId w:val="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2"/>
          <w:szCs w:val="12"/>
          <w:color w:val="auto"/>
        </w:rPr>
      </w:pPr>
    </w:p>
    <w:p>
      <w:pPr>
        <w:ind w:left="8" w:hanging="8"/>
        <w:spacing w:after="0" w:line="276" w:lineRule="auto"/>
        <w:tabs>
          <w:tab w:leader="none" w:pos="527"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8" w:firstLine="208"/>
        <w:spacing w:after="0" w:line="276" w:lineRule="auto"/>
        <w:tabs>
          <w:tab w:leader="none" w:pos="643" w:val="left"/>
        </w:tabs>
        <w:numPr>
          <w:ilvl w:val="1"/>
          <w:numId w:val="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8" w:hanging="432"/>
        <w:spacing w:after="0"/>
        <w:tabs>
          <w:tab w:leader="none" w:pos="648" w:val="left"/>
        </w:tabs>
        <w:numPr>
          <w:ilvl w:val="1"/>
          <w:numId w:val="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tabs>
          <w:tab w:leader="none" w:pos="5728" w:val="left"/>
        </w:tabs>
        <w:rPr>
          <w:sz w:val="20"/>
          <w:szCs w:val="20"/>
          <w:color w:val="auto"/>
        </w:rPr>
      </w:pPr>
      <w:r>
        <w:rPr>
          <w:rFonts w:ascii="Arial" w:cs="Arial" w:eastAsia="Arial" w:hAnsi="Arial"/>
          <w:sz w:val="12"/>
          <w:szCs w:val="12"/>
          <w:color w:val="auto"/>
        </w:rPr>
        <w:t>November 19, 2014</w:t>
      </w:r>
      <w:r>
        <w:rPr>
          <w:sz w:val="20"/>
          <w:szCs w:val="20"/>
          <w:color w:val="auto"/>
        </w:rPr>
        <w:tab/>
      </w:r>
      <w:r>
        <w:rPr>
          <w:rFonts w:ascii="Arial" w:cs="Arial" w:eastAsia="Arial" w:hAnsi="Arial"/>
          <w:sz w:val="10"/>
          <w:szCs w:val="10"/>
          <w:u w:val="single" w:color="auto"/>
          <w:color w:val="auto"/>
        </w:rPr>
        <w:t>/s/ Jerrold D. Dotson</w:t>
      </w:r>
    </w:p>
    <w:p>
      <w:pPr>
        <w:spacing w:after="0" w:line="150"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Jerrold D. Dotson</w:t>
      </w:r>
    </w:p>
    <w:p>
      <w:pPr>
        <w:spacing w:after="0" w:line="15" w:lineRule="exact"/>
        <w:rPr>
          <w:sz w:val="20"/>
          <w:szCs w:val="20"/>
          <w:color w:val="auto"/>
        </w:rPr>
      </w:pPr>
    </w:p>
    <w:p>
      <w:pPr>
        <w:ind w:left="5748"/>
        <w:spacing w:after="0"/>
        <w:rPr>
          <w:sz w:val="20"/>
          <w:szCs w:val="20"/>
          <w:color w:val="auto"/>
        </w:rPr>
      </w:pPr>
      <w:r>
        <w:rPr>
          <w:rFonts w:ascii="Arial" w:cs="Arial" w:eastAsia="Arial" w:hAnsi="Arial"/>
          <w:sz w:val="12"/>
          <w:szCs w:val="12"/>
          <w:color w:val="auto"/>
        </w:rPr>
        <w:t>Principal Financial Officer</w:t>
      </w:r>
    </w:p>
    <w:p>
      <w:pPr>
        <w:sectPr>
          <w:pgSz w:w="11900" w:h="16838" w:orient="portrait"/>
          <w:cols w:equalWidth="0" w:num="1">
            <w:col w:w="11488"/>
          </w:cols>
          <w:pgMar w:left="212" w:top="127" w:right="199" w:bottom="1440" w:gutter="0" w:footer="0" w:header="0"/>
        </w:sectPr>
      </w:pPr>
    </w:p>
    <w:bookmarkStart w:id="39" w:name="page40"/>
    <w:bookmarkEnd w:id="39"/>
    <w:p>
      <w:pPr>
        <w:jc w:val="right"/>
        <w:spacing w:after="0"/>
        <w:rPr>
          <w:sz w:val="20"/>
          <w:szCs w:val="20"/>
          <w:color w:val="auto"/>
        </w:rPr>
      </w:pPr>
      <w:r>
        <w:rPr>
          <w:rFonts w:ascii="Arial" w:cs="Arial" w:eastAsia="Arial" w:hAnsi="Arial"/>
          <w:sz w:val="12"/>
          <w:szCs w:val="12"/>
          <w:b w:val="1"/>
          <w:bCs w:val="1"/>
          <w:color w:val="auto"/>
        </w:rPr>
        <w:t>EXHIBIT 32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connection with the Quarterly Report on Form 10-Q of VistaGen Therapeutics, Inc. (the “</w:t>
      </w:r>
      <w:r>
        <w:rPr>
          <w:rFonts w:ascii="Arial" w:cs="Arial" w:eastAsia="Arial" w:hAnsi="Arial"/>
          <w:sz w:val="12"/>
          <w:szCs w:val="12"/>
          <w:i w:val="1"/>
          <w:iCs w:val="1"/>
          <w:color w:val="auto"/>
        </w:rPr>
        <w:t>Company</w:t>
      </w:r>
      <w:r>
        <w:rPr>
          <w:rFonts w:ascii="Arial" w:cs="Arial" w:eastAsia="Arial" w:hAnsi="Arial"/>
          <w:sz w:val="12"/>
          <w:szCs w:val="12"/>
          <w:color w:val="auto"/>
        </w:rPr>
        <w:t>”) for the quarter ended September 30, 2014 as filed with the Securities and Exchange Commission on the date hereof (the “</w:t>
      </w:r>
      <w:r>
        <w:rPr>
          <w:rFonts w:ascii="Arial" w:cs="Arial" w:eastAsia="Arial" w:hAnsi="Arial"/>
          <w:sz w:val="12"/>
          <w:szCs w:val="12"/>
          <w:i w:val="1"/>
          <w:iCs w:val="1"/>
          <w:color w:val="auto"/>
        </w:rPr>
        <w:t>Report</w:t>
      </w:r>
      <w:r>
        <w:rPr>
          <w:rFonts w:ascii="Arial" w:cs="Arial" w:eastAsia="Arial" w:hAnsi="Arial"/>
          <w:sz w:val="12"/>
          <w:szCs w:val="12"/>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41" w:lineRule="exact"/>
        <w:rPr>
          <w:sz w:val="20"/>
          <w:szCs w:val="20"/>
          <w:color w:val="auto"/>
        </w:rPr>
      </w:pPr>
    </w:p>
    <w:p>
      <w:pPr>
        <w:ind w:left="420" w:hanging="146"/>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Report fully complies with the requirement of Section 13(a) or Section 15 (d) of the Securities Exchange Act of 1934, and</w:t>
      </w:r>
    </w:p>
    <w:p>
      <w:pPr>
        <w:spacing w:after="0" w:line="168" w:lineRule="exact"/>
        <w:rPr>
          <w:rFonts w:ascii="Arial" w:cs="Arial" w:eastAsia="Arial" w:hAnsi="Arial"/>
          <w:sz w:val="12"/>
          <w:szCs w:val="12"/>
          <w:color w:val="auto"/>
        </w:rPr>
      </w:pPr>
    </w:p>
    <w:p>
      <w:pPr>
        <w:ind w:left="420" w:hanging="146"/>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November 19, 2014</w:t>
      </w:r>
    </w:p>
    <w:p>
      <w:pPr>
        <w:spacing w:after="0" w:line="33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Principal Financial Officer</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decimal"/>
      <w:start w:val="32"/>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2020-01-30T17:15:19Z</dcterms:created>
  <dcterms:modified xsi:type="dcterms:W3CDTF">2020-01-30T17:15:19Z</dcterms:modified>
</cp:coreProperties>
</file>