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1420"/>
        <w:spacing w:after="0"/>
        <w:tabs>
          <w:tab w:leader="none" w:pos="4760" w:val="left"/>
          <w:tab w:leader="none" w:pos="5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2401570</wp:posOffset>
            </wp:positionH>
            <wp:positionV relativeFrom="paragraph">
              <wp:posOffset>-7620</wp:posOffset>
            </wp:positionV>
            <wp:extent cx="1409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001-37761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440" w:type="dxa"/>
            <w:vAlign w:val="bottom"/>
          </w:tcPr>
          <w:p>
            <w:pPr>
              <w:spacing w:after="0"/>
              <w:rPr>
                <w:sz w:val="19"/>
                <w:szCs w:val="19"/>
                <w:color w:val="auto"/>
              </w:rPr>
            </w:pPr>
          </w:p>
        </w:tc>
        <w:tc>
          <w:tcPr>
            <w:tcW w:w="284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0"/>
              </w:rPr>
              <w:t>Nevada</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3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1440" w:type="dxa"/>
            <w:vAlign w:val="bottom"/>
          </w:tcPr>
          <w:p>
            <w:pPr>
              <w:spacing w:after="0"/>
              <w:rPr>
                <w:sz w:val="18"/>
                <w:szCs w:val="18"/>
                <w:color w:val="auto"/>
              </w:rPr>
            </w:pPr>
          </w:p>
        </w:tc>
        <w:tc>
          <w:tcPr>
            <w:tcW w:w="2840" w:type="dxa"/>
            <w:vAlign w:val="bottom"/>
            <w:gridSpan w:val="2"/>
          </w:tcPr>
          <w:p>
            <w:pPr>
              <w:jc w:val="center"/>
              <w:ind w:right="210"/>
              <w:spacing w:after="0"/>
              <w:rPr>
                <w:sz w:val="20"/>
                <w:szCs w:val="20"/>
                <w:color w:val="auto"/>
              </w:rPr>
            </w:pPr>
            <w:r>
              <w:rPr>
                <w:rFonts w:ascii="Arial" w:cs="Arial" w:eastAsia="Arial" w:hAnsi="Arial"/>
                <w:sz w:val="18"/>
                <w:szCs w:val="18"/>
                <w:i w:val="1"/>
                <w:iCs w:val="1"/>
                <w:color w:val="auto"/>
                <w:w w:val="93"/>
              </w:rPr>
              <w:t>(State or other jurisdiction of</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jc w:val="center"/>
              <w:ind w:right="3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1440" w:type="dxa"/>
            <w:vAlign w:val="bottom"/>
          </w:tcPr>
          <w:p>
            <w:pPr>
              <w:spacing w:after="0"/>
              <w:rPr>
                <w:sz w:val="20"/>
                <w:szCs w:val="20"/>
                <w:color w:val="auto"/>
              </w:rPr>
            </w:pPr>
          </w:p>
        </w:tc>
        <w:tc>
          <w:tcPr>
            <w:tcW w:w="2840" w:type="dxa"/>
            <w:vAlign w:val="bottom"/>
            <w:gridSpan w:val="2"/>
          </w:tcPr>
          <w:p>
            <w:pPr>
              <w:jc w:val="center"/>
              <w:ind w:right="210"/>
              <w:spacing w:after="0"/>
              <w:rPr>
                <w:sz w:val="20"/>
                <w:szCs w:val="20"/>
                <w:color w:val="auto"/>
              </w:rPr>
            </w:pPr>
            <w:r>
              <w:rPr>
                <w:rFonts w:ascii="Arial" w:cs="Arial" w:eastAsia="Arial" w:hAnsi="Arial"/>
                <w:sz w:val="18"/>
                <w:szCs w:val="18"/>
                <w:i w:val="1"/>
                <w:iCs w:val="1"/>
                <w:color w:val="auto"/>
                <w:w w:val="94"/>
              </w:rPr>
              <w:t>incorporation or organization)</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Pr>
          <w:p>
            <w:pPr>
              <w:jc w:val="center"/>
              <w:ind w:right="35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343 Allerton Avenue</w:t>
            </w:r>
          </w:p>
        </w:tc>
        <w:tc>
          <w:tcPr>
            <w:tcW w:w="1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20"/>
        </w:trPr>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7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South San Francisco, CA 94080</w:t>
            </w:r>
          </w:p>
        </w:tc>
        <w:tc>
          <w:tcPr>
            <w:tcW w:w="18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230"/>
        </w:trPr>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20" w:type="dxa"/>
            <w:vAlign w:val="bottom"/>
            <w:gridSpan w:val="6"/>
          </w:tcPr>
          <w:p>
            <w:pPr>
              <w:jc w:val="center"/>
              <w:ind w:right="1750"/>
              <w:spacing w:after="0"/>
              <w:rPr>
                <w:sz w:val="20"/>
                <w:szCs w:val="20"/>
                <w:color w:val="auto"/>
              </w:rPr>
            </w:pPr>
            <w:r>
              <w:rPr>
                <w:rFonts w:ascii="Arial" w:cs="Arial" w:eastAsia="Arial" w:hAnsi="Arial"/>
                <w:sz w:val="18"/>
                <w:szCs w:val="18"/>
                <w:i w:val="1"/>
                <w:iCs w:val="1"/>
                <w:color w:val="auto"/>
                <w:w w:val="91"/>
              </w:rPr>
              <w:t>(Address of principal executive offices including zip code)</w:t>
            </w:r>
          </w:p>
        </w:tc>
      </w:tr>
      <w:tr>
        <w:trPr>
          <w:trHeight w:val="418"/>
        </w:trPr>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(650) 577-3600</w:t>
            </w:r>
          </w:p>
        </w:tc>
        <w:tc>
          <w:tcPr>
            <w:tcW w:w="1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20" w:type="dxa"/>
            <w:vAlign w:val="bottom"/>
            <w:gridSpan w:val="6"/>
          </w:tcPr>
          <w:p>
            <w:pPr>
              <w:jc w:val="center"/>
              <w:ind w:right="1770"/>
              <w:spacing w:after="0"/>
              <w:rPr>
                <w:sz w:val="20"/>
                <w:szCs w:val="20"/>
                <w:color w:val="auto"/>
              </w:rPr>
            </w:pPr>
            <w:r>
              <w:rPr>
                <w:rFonts w:ascii="Arial" w:cs="Arial" w:eastAsia="Arial" w:hAnsi="Arial"/>
                <w:sz w:val="18"/>
                <w:szCs w:val="18"/>
                <w:i w:val="1"/>
                <w:iCs w:val="1"/>
                <w:color w:val="auto"/>
                <w:w w:val="90"/>
              </w:rPr>
              <w:t>(Registrant</w:t>
            </w:r>
            <w:r>
              <w:rPr>
                <w:rFonts w:ascii="Arial" w:cs="Arial" w:eastAsia="Arial" w:hAnsi="Arial"/>
                <w:sz w:val="18"/>
                <w:szCs w:val="18"/>
                <w:color w:val="auto"/>
                <w:w w:val="90"/>
              </w:rPr>
              <w:t>’</w:t>
            </w:r>
            <w:r>
              <w:rPr>
                <w:rFonts w:ascii="Arial" w:cs="Arial" w:eastAsia="Arial" w:hAnsi="Arial"/>
                <w:sz w:val="18"/>
                <w:szCs w:val="18"/>
                <w:i w:val="1"/>
                <w:iCs w:val="1"/>
                <w:color w:val="auto"/>
                <w:w w:val="90"/>
              </w:rPr>
              <w:t>s telephone number, including area code)</w:t>
            </w:r>
          </w:p>
        </w:tc>
      </w:tr>
      <w:tr>
        <w:trPr>
          <w:trHeight w:val="432"/>
        </w:trPr>
        <w:tc>
          <w:tcPr>
            <w:tcW w:w="428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91"/>
        </w:trPr>
        <w:tc>
          <w:tcPr>
            <w:tcW w:w="1440" w:type="dxa"/>
            <w:vAlign w:val="bottom"/>
          </w:tcPr>
          <w:p>
            <w:pPr>
              <w:spacing w:after="0"/>
              <w:rPr>
                <w:sz w:val="24"/>
                <w:szCs w:val="24"/>
                <w:color w:val="auto"/>
              </w:rPr>
            </w:pPr>
          </w:p>
        </w:tc>
        <w:tc>
          <w:tcPr>
            <w:tcW w:w="2840" w:type="dxa"/>
            <w:vAlign w:val="bottom"/>
            <w:gridSpan w:val="2"/>
          </w:tcPr>
          <w:p>
            <w:pPr>
              <w:jc w:val="center"/>
              <w:ind w:right="1450"/>
              <w:spacing w:after="0"/>
              <w:rPr>
                <w:sz w:val="20"/>
                <w:szCs w:val="20"/>
                <w:color w:val="auto"/>
              </w:rPr>
            </w:pPr>
            <w:r>
              <w:rPr>
                <w:rFonts w:ascii="Arial" w:cs="Arial" w:eastAsia="Arial" w:hAnsi="Arial"/>
                <w:sz w:val="18"/>
                <w:szCs w:val="18"/>
                <w:color w:val="auto"/>
                <w:w w:val="90"/>
              </w:rPr>
              <w:t>Title of each class</w:t>
            </w:r>
          </w:p>
        </w:tc>
        <w:tc>
          <w:tcPr>
            <w:tcW w:w="280" w:type="dxa"/>
            <w:vAlign w:val="bottom"/>
          </w:tcPr>
          <w:p>
            <w:pPr>
              <w:spacing w:after="0"/>
              <w:rPr>
                <w:sz w:val="24"/>
                <w:szCs w:val="24"/>
                <w:color w:val="auto"/>
              </w:rPr>
            </w:pPr>
          </w:p>
        </w:tc>
        <w:tc>
          <w:tcPr>
            <w:tcW w:w="2440" w:type="dxa"/>
            <w:vAlign w:val="bottom"/>
            <w:gridSpan w:val="2"/>
          </w:tcPr>
          <w:p>
            <w:pPr>
              <w:jc w:val="center"/>
              <w:ind w:right="1080"/>
              <w:spacing w:after="0"/>
              <w:rPr>
                <w:sz w:val="20"/>
                <w:szCs w:val="20"/>
                <w:color w:val="auto"/>
              </w:rPr>
            </w:pPr>
            <w:r>
              <w:rPr>
                <w:rFonts w:ascii="Arial" w:cs="Arial" w:eastAsia="Arial" w:hAnsi="Arial"/>
                <w:sz w:val="18"/>
                <w:szCs w:val="18"/>
                <w:color w:val="auto"/>
                <w:w w:val="92"/>
              </w:rPr>
              <w:t>Trading Symbol(s)</w:t>
            </w:r>
          </w:p>
        </w:tc>
        <w:tc>
          <w:tcPr>
            <w:tcW w:w="33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80" w:type="dxa"/>
            <w:vAlign w:val="bottom"/>
          </w:tcPr>
          <w:p>
            <w:pPr>
              <w:spacing w:after="0"/>
              <w:rPr>
                <w:sz w:val="20"/>
                <w:szCs w:val="20"/>
                <w:color w:val="auto"/>
              </w:rPr>
            </w:pPr>
          </w:p>
        </w:tc>
        <w:tc>
          <w:tcPr>
            <w:tcW w:w="2440" w:type="dxa"/>
            <w:vAlign w:val="bottom"/>
            <w:gridSpan w:val="2"/>
          </w:tcPr>
          <w:p>
            <w:pPr>
              <w:jc w:val="center"/>
              <w:ind w:right="1060"/>
              <w:spacing w:after="0"/>
              <w:rPr>
                <w:sz w:val="20"/>
                <w:szCs w:val="20"/>
                <w:color w:val="auto"/>
              </w:rPr>
            </w:pPr>
            <w:r>
              <w:rPr>
                <w:rFonts w:ascii="Arial" w:cs="Arial" w:eastAsia="Arial" w:hAnsi="Arial"/>
                <w:sz w:val="18"/>
                <w:szCs w:val="18"/>
                <w:color w:val="auto"/>
                <w:w w:val="99"/>
              </w:rPr>
              <w:t>VTGN</w:t>
            </w:r>
          </w:p>
        </w:tc>
        <w:tc>
          <w:tcPr>
            <w:tcW w:w="18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7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380" w:type="dxa"/>
            <w:vAlign w:val="bottom"/>
          </w:tcPr>
          <w:p>
            <w:pPr>
              <w:ind w:left="172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9, 2022, 206,527,955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60" w:type="dxa"/>
            <w:vAlign w:val="bottom"/>
            <w:gridSpan w:val="2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gridSpan w:val="10"/>
          </w:tcPr>
          <w:p>
            <w:pPr>
              <w:jc w:val="center"/>
              <w:ind w:right="3680"/>
              <w:spacing w:after="0"/>
              <w:rPr>
                <w:sz w:val="20"/>
                <w:szCs w:val="20"/>
                <w:color w:val="auto"/>
              </w:rPr>
            </w:pPr>
            <w:r>
              <w:rPr>
                <w:rFonts w:ascii="Arial" w:cs="Arial" w:eastAsia="Arial" w:hAnsi="Arial"/>
                <w:sz w:val="18"/>
                <w:szCs w:val="18"/>
                <w:b w:val="1"/>
                <w:bCs w:val="1"/>
                <w:color w:val="auto"/>
                <w:w w:val="91"/>
              </w:rPr>
              <w:t>VistaGen Therapeutics, Inc.</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10"/>
          </w:tcPr>
          <w:p>
            <w:pPr>
              <w:jc w:val="center"/>
              <w:ind w:right="3680"/>
              <w:spacing w:after="0"/>
              <w:rPr>
                <w:sz w:val="20"/>
                <w:szCs w:val="20"/>
                <w:color w:val="auto"/>
              </w:rPr>
            </w:pPr>
            <w:r>
              <w:rPr>
                <w:rFonts w:ascii="Arial" w:cs="Arial" w:eastAsia="Arial" w:hAnsi="Arial"/>
                <w:sz w:val="18"/>
                <w:szCs w:val="18"/>
                <w:b w:val="1"/>
                <w:bCs w:val="1"/>
                <w:color w:val="auto"/>
                <w:w w:val="93"/>
              </w:rPr>
              <w:t>Quarterly Report on Form 10-Q</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40" w:type="dxa"/>
            <w:vAlign w:val="bottom"/>
            <w:gridSpan w:val="13"/>
          </w:tcPr>
          <w:p>
            <w:pPr>
              <w:jc w:val="center"/>
              <w:ind w:right="2840"/>
              <w:spacing w:after="0"/>
              <w:rPr>
                <w:sz w:val="20"/>
                <w:szCs w:val="20"/>
                <w:color w:val="auto"/>
              </w:rPr>
            </w:pPr>
            <w:r>
              <w:rPr>
                <w:rFonts w:ascii="Arial" w:cs="Arial" w:eastAsia="Arial" w:hAnsi="Arial"/>
                <w:sz w:val="18"/>
                <w:szCs w:val="18"/>
                <w:b w:val="1"/>
                <w:bCs w:val="1"/>
                <w:color w:val="auto"/>
                <w:w w:val="91"/>
              </w:rPr>
              <w:t>for the Quarter Ended December 31, 2021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gridSpan w:val="10"/>
          </w:tcPr>
          <w:p>
            <w:pPr>
              <w:jc w:val="center"/>
              <w:ind w:right="368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60" w:type="dxa"/>
            <w:vAlign w:val="bottom"/>
            <w:gridSpan w:val="8"/>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400" w:type="dxa"/>
            <w:vAlign w:val="bottom"/>
            <w:gridSpan w:val="4"/>
            <w:vMerge w:val="restart"/>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60" w:type="dxa"/>
            <w:vAlign w:val="bottom"/>
            <w:tcBorders>
              <w:bottom w:val="single" w:sz="8" w:color="0000EE"/>
            </w:tcBorders>
            <w:gridSpan w:val="8"/>
            <w:vMerge w:val="continue"/>
          </w:tcPr>
          <w:p>
            <w:pPr>
              <w:spacing w:after="0"/>
              <w:rPr>
                <w:sz w:val="17"/>
                <w:szCs w:val="17"/>
                <w:color w:val="auto"/>
              </w:rPr>
            </w:pPr>
          </w:p>
        </w:tc>
        <w:tc>
          <w:tcPr>
            <w:tcW w:w="3400" w:type="dxa"/>
            <w:vAlign w:val="bottom"/>
            <w:gridSpan w:val="4"/>
            <w:vMerge w:val="continue"/>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 w:type="dxa"/>
            <w:vAlign w:val="bottom"/>
          </w:tcPr>
          <w:p>
            <w:pPr>
              <w:spacing w:after="0"/>
              <w:rPr>
                <w:sz w:val="24"/>
                <w:szCs w:val="24"/>
                <w:color w:val="auto"/>
              </w:rPr>
            </w:pPr>
          </w:p>
        </w:tc>
        <w:tc>
          <w:tcPr>
            <w:tcW w:w="48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Condensed Consolidated Financial Statements (Unaudited)</w:t>
              </w:r>
            </w:hyperlink>
          </w:p>
        </w:tc>
        <w:tc>
          <w:tcPr>
            <w:tcW w:w="566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December 31, 2021 and March 31, 2021</w:t>
              </w:r>
            </w:hyperlink>
          </w:p>
        </w:tc>
        <w:tc>
          <w:tcPr>
            <w:tcW w:w="3840" w:type="dxa"/>
            <w:vAlign w:val="bottom"/>
            <w:gridSpan w:val="7"/>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900" w:type="dxa"/>
            <w:vAlign w:val="bottom"/>
            <w:gridSpan w:val="23"/>
          </w:tcPr>
          <w:p>
            <w:pPr>
              <w:spacing w:after="0" w:line="19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Operations and Comprehensive Loss for the three and nine months ended December 31,</w:t>
              </w:r>
            </w:hyperlink>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0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2021 and 2020</w:t>
              </w:r>
            </w:hyperlink>
          </w:p>
        </w:tc>
        <w:tc>
          <w:tcPr>
            <w:tcW w:w="700" w:type="dxa"/>
            <w:vAlign w:val="bottom"/>
            <w:gridSpan w:val="2"/>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900" w:type="dxa"/>
            <w:vAlign w:val="bottom"/>
            <w:gridSpan w:val="2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nine months ended December 31, 2021 and 2020</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Changes in Stockholders’ Equity (Deficit) for the nine months ended December 31, 2021 and</w:t>
              </w:r>
            </w:hyperlink>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4"/>
          </w:tcPr>
          <w:p>
            <w:pPr>
              <w:ind w:left="660"/>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2020</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the Condensed Consolidated Financial Statements</w:t>
              </w:r>
            </w:hyperlink>
          </w:p>
        </w:tc>
        <w:tc>
          <w:tcPr>
            <w:tcW w:w="5640" w:type="dxa"/>
            <w:vAlign w:val="bottom"/>
            <w:gridSpan w:val="8"/>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480" w:type="dxa"/>
            <w:vAlign w:val="bottom"/>
            <w:gridSpan w:val="2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0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4. Controls and Procedures</w:t>
              </w:r>
            </w:hyperlink>
          </w:p>
        </w:tc>
        <w:tc>
          <w:tcPr>
            <w:tcW w:w="3460" w:type="dxa"/>
            <w:vAlign w:val="bottom"/>
            <w:gridSpan w:val="5"/>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37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20" w:type="dxa"/>
            <w:vAlign w:val="bottom"/>
            <w:gridSpan w:val="11"/>
          </w:tcPr>
          <w:p>
            <w:pPr>
              <w:jc w:val="center"/>
              <w:ind w:right="3560"/>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 OTHER INFORMATION</w:t>
              </w:r>
            </w:hyperlink>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Item 1. Legal Proceedings</w:t>
              </w:r>
            </w:hyperlink>
          </w:p>
        </w:tc>
        <w:tc>
          <w:tcPr>
            <w:tcW w:w="2340" w:type="dxa"/>
            <w:vAlign w:val="bottom"/>
            <w:gridSpan w:val="4"/>
          </w:tcPr>
          <w:p>
            <w:pPr>
              <w:spacing w:after="0"/>
              <w:rPr>
                <w:sz w:val="24"/>
                <w:szCs w:val="24"/>
                <w:color w:val="auto"/>
              </w:rPr>
            </w:pPr>
          </w:p>
        </w:tc>
        <w:tc>
          <w:tcPr>
            <w:tcW w:w="2760" w:type="dxa"/>
            <w:vAlign w:val="bottom"/>
            <w:tcBorders>
              <w:top w:val="single" w:sz="8" w:color="0000EE"/>
            </w:tcBorders>
            <w:gridSpan w:val="5"/>
          </w:tcPr>
          <w:p>
            <w:pPr>
              <w:spacing w:after="0"/>
              <w:rPr>
                <w:sz w:val="24"/>
                <w:szCs w:val="24"/>
                <w:color w:val="auto"/>
              </w:rPr>
            </w:pPr>
          </w:p>
        </w:tc>
        <w:tc>
          <w:tcPr>
            <w:tcW w:w="3560" w:type="dxa"/>
            <w:vAlign w:val="bottom"/>
            <w:gridSpan w:val="6"/>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Item 1A. Risk Factors</w:t>
              </w:r>
            </w:hyperlink>
          </w:p>
        </w:tc>
        <w:tc>
          <w:tcPr>
            <w:tcW w:w="8960" w:type="dxa"/>
            <w:vAlign w:val="bottom"/>
            <w:gridSpan w:val="17"/>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39</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Item 2. Unregistered Sales of Equity Securities and Use of Proceeds</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72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Item 3. Defaults Upon Senior Secured Securities</w:t>
              </w:r>
            </w:hyperlink>
          </w:p>
        </w:tc>
        <w:tc>
          <w:tcPr>
            <w:tcW w:w="1380" w:type="dxa"/>
            <w:vAlign w:val="bottom"/>
            <w:tcBorders>
              <w:top w:val="single" w:sz="8" w:color="0000EE"/>
            </w:tcBorders>
            <w:gridSpan w:val="4"/>
          </w:tcPr>
          <w:p>
            <w:pPr>
              <w:spacing w:after="0"/>
              <w:rPr>
                <w:sz w:val="17"/>
                <w:szCs w:val="17"/>
                <w:color w:val="auto"/>
              </w:rPr>
            </w:pPr>
          </w:p>
        </w:tc>
        <w:tc>
          <w:tcPr>
            <w:tcW w:w="5660" w:type="dxa"/>
            <w:vAlign w:val="bottom"/>
            <w:gridSpan w:val="9"/>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72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Item 6. Exhibits</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72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380" w:type="dxa"/>
            <w:vAlign w:val="bottom"/>
            <w:gridSpan w:val="1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10480" w:type="dxa"/>
            <w:vAlign w:val="bottom"/>
            <w:gridSpan w:val="2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SIGNATURES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8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rPr>
              <w:t>VISTAGEN THERAPEUTICS,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9"/>
              </w:rPr>
              <w:t>(Amounts in Dollars, except share amounts)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(Note 2)</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jc w:val="center"/>
              <w:ind w:right="1310"/>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83,700,200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103,108,300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Receivable from collaboration partner</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40,600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2,936,600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835,100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contract acquisition costs - current portion</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86,770,300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104,117,500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452,800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367,400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use asset - operating lease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2,756,800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3,219,600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Deferred offering costs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321,800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294,900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133,500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Security deposits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47,800</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90,536,100</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108,281,300</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jc w:val="center"/>
              <w:ind w:right="1310"/>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1,948,700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838,300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2,627,500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1,562,700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 - current portion</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1,420,200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1,420,200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Operating lease obligation - current portion</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424,100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364,800</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Financing lease obligation -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6,420,800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4,189,000</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 Stock</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6,272,700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revenue - non-current portion</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1,420,300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2,490,300</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obligation - non-current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2,717,200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3,350,800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4,137,500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12,113,800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10,558,300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16,302,800</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Preferred stock, $0.001 par value; 10,000,000 shares authorized at December 31, 2021 and March 31,</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280" w:type="dxa"/>
            <w:vAlign w:val="bottom"/>
          </w:tcPr>
          <w:p>
            <w:pPr>
              <w:ind w:left="180"/>
              <w:spacing w:after="0"/>
              <w:rPr>
                <w:sz w:val="20"/>
                <w:szCs w:val="20"/>
                <w:color w:val="auto"/>
              </w:rPr>
            </w:pPr>
            <w:r>
              <w:rPr>
                <w:rFonts w:ascii="Arial" w:cs="Arial" w:eastAsia="Arial" w:hAnsi="Arial"/>
                <w:sz w:val="18"/>
                <w:szCs w:val="18"/>
                <w:color w:val="auto"/>
              </w:rPr>
              <w:t>2021:</w:t>
            </w:r>
          </w:p>
        </w:tc>
        <w:tc>
          <w:tcPr>
            <w:tcW w:w="6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80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Series A Preferred, 500,000 shares authorized at December 31, 2021 and March 31, 2021; no shares and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500,000 shares issued and outstanding at December 31, 2021 and March 31, 2021, respectively</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02"/>
        </w:trPr>
        <w:tc>
          <w:tcPr>
            <w:tcW w:w="80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2"/>
              </w:rPr>
              <w:t>Series B Preferred; 4,000,000 shares authorized at December 31, 2021 and March 31, 2021; no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500"/>
              <w:spacing w:after="0"/>
              <w:rPr>
                <w:sz w:val="20"/>
                <w:szCs w:val="20"/>
                <w:color w:val="auto"/>
              </w:rPr>
            </w:pPr>
            <w:r>
              <w:rPr>
                <w:rFonts w:ascii="Arial" w:cs="Arial" w:eastAsia="Arial" w:hAnsi="Arial"/>
                <w:sz w:val="18"/>
                <w:szCs w:val="18"/>
                <w:color w:val="auto"/>
                <w:w w:val="91"/>
              </w:rPr>
              <w:t>and 1,131,669 shares issued and outstanding at December 31, 2021 and March 31, 2021, respectively</w:t>
            </w:r>
          </w:p>
        </w:tc>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r>
      <w:tr>
        <w:trPr>
          <w:trHeight w:val="202"/>
        </w:trPr>
        <w:tc>
          <w:tcPr>
            <w:tcW w:w="80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Series C Preferred; 3,000,000 shares authorized at December 31, 2021 and March 31, 2021; no shares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1"/>
              </w:rPr>
              <w:t>and 2,318,012 shares issued and outstanding at December 31, 2021 and March 31, 2021, respectively</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r>
      <w:tr>
        <w:trPr>
          <w:trHeight w:val="202"/>
        </w:trPr>
        <w:tc>
          <w:tcPr>
            <w:tcW w:w="80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2"/>
              </w:rPr>
              <w:t>Series D Preferred; 2,000,000 shares authorized at December 31, 2021 and March 31, 2021; no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500"/>
              <w:spacing w:after="0"/>
              <w:rPr>
                <w:sz w:val="20"/>
                <w:szCs w:val="20"/>
                <w:color w:val="auto"/>
              </w:rPr>
            </w:pPr>
            <w:r>
              <w:rPr>
                <w:rFonts w:ascii="Arial" w:cs="Arial" w:eastAsia="Arial" w:hAnsi="Arial"/>
                <w:sz w:val="18"/>
                <w:szCs w:val="18"/>
                <w:color w:val="auto"/>
                <w:w w:val="93"/>
              </w:rPr>
              <w:t>and 402,149 shares issued and outstanding at December 31, 2021 and March 31, 2021, respectively</w:t>
            </w:r>
          </w:p>
        </w:tc>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$0.001 par value; 325,000,000 shares authorized at December 31, 2021 and March 31,</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2021; 206,644,870 shares and 180,751,234 shares issued at December 31, 2021 and March 31, 2021,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206,600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334,655,000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315,603,100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Treasury stock, at cost, 135,665 shares of common stock held at December 31, 2021 and March 31, 2021</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(3,968,100)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(3,968,100)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(250,915,700)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(219,841,600)</w:t>
            </w:r>
          </w:p>
        </w:tc>
      </w:tr>
      <w:tr>
        <w:trPr>
          <w:trHeight w:val="209"/>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79,977,800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91,978,500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90,536,100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108,281,300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08" w:right="339" w:bottom="609"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609"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Nine Months Ended December</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313,600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647,600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357,900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313,600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647,600</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7,966,800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3,496,100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23,637,100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7,585,500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2,931,300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2,116,800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8,518,800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4,776,900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10,898,100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5,612,900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32,155,900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12,362,400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(10,540,200)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(5,299,300)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(31,085,900)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(11,714,800)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(expenses), net: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(expense),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(10,535,100)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(5,298,700)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(31,070,600)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(11,720,700)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(10,535,100)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(5,298,700)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(31,074,000)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(11,723,300)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Accrued dividends on Series B Preferred stock</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(208,100)</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(353,600)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(945,100)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(1,036,600)</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(10,743,200)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(5,652,300)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(32,019,100)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(12,759,900)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8"/>
              </w:rPr>
              <w:t>Basic and diluted net loss attributable to common stockholders per common</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(0.05)</w:t>
            </w: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(0.07)</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(0.16)</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190"/>
        </w:trPr>
        <w:tc>
          <w:tcPr>
            <w:tcW w:w="5980" w:type="dxa"/>
            <w:vAlign w:val="bottom"/>
          </w:tcPr>
          <w:p>
            <w:pPr>
              <w:ind w:left="180"/>
              <w:spacing w:after="0" w:line="190" w:lineRule="exact"/>
              <w:rPr>
                <w:sz w:val="20"/>
                <w:szCs w:val="20"/>
                <w:color w:val="auto"/>
              </w:rPr>
            </w:pPr>
            <w:r>
              <w:rPr>
                <w:rFonts w:ascii="Arial" w:cs="Arial" w:eastAsia="Arial" w:hAnsi="Arial"/>
                <w:sz w:val="18"/>
                <w:szCs w:val="18"/>
                <w:color w:val="auto"/>
              </w:rPr>
              <w:t>share</w:t>
            </w:r>
          </w:p>
        </w:tc>
        <w:tc>
          <w:tcPr>
            <w:tcW w:w="16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Weighted average shares used in computing basic and diluted net loss</w:t>
            </w:r>
          </w:p>
        </w:tc>
        <w:tc>
          <w:tcPr>
            <w:tcW w:w="1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3"/>
              </w:rPr>
              <w:t>202,328,683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9"/>
              </w:rPr>
              <w:t>81,086,105</w:t>
            </w:r>
          </w:p>
        </w:tc>
        <w:tc>
          <w:tcPr>
            <w:tcW w:w="16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1"/>
              </w:rPr>
              <w:t>195,179,267</w:t>
            </w:r>
          </w:p>
        </w:tc>
        <w:tc>
          <w:tcPr>
            <w:tcW w:w="16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66,551,962</w:t>
            </w:r>
          </w:p>
        </w:tc>
        <w:tc>
          <w:tcPr>
            <w:tcW w:w="0" w:type="dxa"/>
            <w:vAlign w:val="bottom"/>
          </w:tcPr>
          <w:p>
            <w:pPr>
              <w:spacing w:after="0"/>
              <w:rPr>
                <w:sz w:val="1"/>
                <w:szCs w:val="1"/>
                <w:color w:val="auto"/>
              </w:rPr>
            </w:pPr>
          </w:p>
        </w:tc>
      </w:tr>
      <w:tr>
        <w:trPr>
          <w:trHeight w:val="190"/>
        </w:trPr>
        <w:tc>
          <w:tcPr>
            <w:tcW w:w="5980" w:type="dxa"/>
            <w:vAlign w:val="bottom"/>
          </w:tcPr>
          <w:p>
            <w:pPr>
              <w:ind w:left="340"/>
              <w:spacing w:after="0" w:line="190" w:lineRule="exact"/>
              <w:rPr>
                <w:sz w:val="20"/>
                <w:szCs w:val="20"/>
                <w:color w:val="auto"/>
              </w:rPr>
            </w:pPr>
            <w:r>
              <w:rPr>
                <w:rFonts w:ascii="Arial" w:cs="Arial" w:eastAsia="Arial" w:hAnsi="Arial"/>
                <w:sz w:val="18"/>
                <w:szCs w:val="18"/>
                <w:color w:val="auto"/>
              </w:rPr>
              <w:t>attributable to common stockholders per common share</w:t>
            </w: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Nine Months Ended December 31,</w:t>
            </w:r>
          </w:p>
        </w:tc>
      </w:tr>
      <w:tr>
        <w:trPr>
          <w:trHeight w:val="209"/>
        </w:trPr>
        <w:tc>
          <w:tcPr>
            <w:tcW w:w="80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(31,074,000)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(11,723,300)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114,900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77,300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2,078,700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1,815,900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Amortization of operating lease right of use asset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462,800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267,500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operating lease liability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(574,300)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(230,700)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Expense related to write-off of deferred offering costs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232,000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Receivable from collaboration partner</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40,600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(2,101,500)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Security deposits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(53,100)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sublicense revenue, net of deferred contract acquisition costs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(969,400)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4,068,300</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2,175,300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(1,066,400)</w:t>
            </w: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(29,668,000)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(6,791,600)</w:t>
            </w:r>
          </w:p>
        </w:tc>
      </w:tr>
      <w:tr>
        <w:trPr>
          <w:trHeight w:val="209"/>
        </w:trPr>
        <w:tc>
          <w:tcPr>
            <w:tcW w:w="80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property and investing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Purchases of laboratory and other equipment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(200,300)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(249,900)</w:t>
            </w: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(200,300)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(249,900)</w:t>
            </w:r>
          </w:p>
        </w:tc>
      </w:tr>
      <w:tr>
        <w:trPr>
          <w:trHeight w:val="210"/>
        </w:trPr>
        <w:tc>
          <w:tcPr>
            <w:tcW w:w="80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proceeds from issuance of common stock and Series D Preferred stock</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93,675,100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common stock and warrants, including option exercises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12,974,900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proceeds from exercise of warrants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6,207,400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808,500</w:t>
            </w: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Net proceeds from sale of common stock under At the Market (ATM) facility, including expenses treated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 deferred offering costs</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4,040,100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proceeds from sale of common stock under equity line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2,841,600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note under Payroll Protection Plan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Repayment of capital lease obligations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notes payable, including Payroll Protection Plan note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(504,600)</w:t>
            </w:r>
          </w:p>
        </w:tc>
      </w:tr>
      <w:tr>
        <w:trPr>
          <w:trHeight w:val="210"/>
        </w:trPr>
        <w:tc>
          <w:tcPr>
            <w:tcW w:w="800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10,460,200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110,017,500</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(19,408,100)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102,976,000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103,108,300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1,355,100</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83,700,200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104,331,100</w:t>
            </w:r>
          </w:p>
        </w:tc>
      </w:tr>
      <w:tr>
        <w:trPr>
          <w:trHeight w:val="197"/>
        </w:trPr>
        <w:tc>
          <w:tcPr>
            <w:tcW w:w="80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Insurance premiums settled by issuing note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322,200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945,100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1,036,600</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Accrued dividends on Series B Preferred settled upon conversion by issuance of 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7,217,800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124,600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13"/>
                <w:szCs w:val="13"/>
                <w:color w:val="auto"/>
              </w:rPr>
            </w:pPr>
          </w:p>
        </w:tc>
        <w:tc>
          <w:tcPr>
            <w:tcW w:w="114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w w:val="88"/>
              </w:rPr>
              <w:t>Series A Preferred</w:t>
            </w:r>
          </w:p>
        </w:tc>
        <w:tc>
          <w:tcPr>
            <w:tcW w:w="60" w:type="dxa"/>
            <w:vAlign w:val="bottom"/>
          </w:tcPr>
          <w:p>
            <w:pPr>
              <w:spacing w:after="0"/>
              <w:rPr>
                <w:sz w:val="13"/>
                <w:szCs w:val="13"/>
                <w:color w:val="auto"/>
              </w:rPr>
            </w:pPr>
          </w:p>
        </w:tc>
        <w:tc>
          <w:tcPr>
            <w:tcW w:w="1260" w:type="dxa"/>
            <w:vAlign w:val="bottom"/>
            <w:tcBorders>
              <w:right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w w:val="93"/>
              </w:rPr>
              <w:t>Series B Preferred</w:t>
            </w:r>
          </w:p>
        </w:tc>
        <w:tc>
          <w:tcPr>
            <w:tcW w:w="60" w:type="dxa"/>
            <w:vAlign w:val="bottom"/>
          </w:tcPr>
          <w:p>
            <w:pPr>
              <w:spacing w:after="0"/>
              <w:rPr>
                <w:sz w:val="13"/>
                <w:szCs w:val="13"/>
                <w:color w:val="auto"/>
              </w:rPr>
            </w:pPr>
          </w:p>
        </w:tc>
        <w:tc>
          <w:tcPr>
            <w:tcW w:w="1260" w:type="dxa"/>
            <w:vAlign w:val="bottom"/>
            <w:tcBorders>
              <w:right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w w:val="93"/>
              </w:rPr>
              <w:t>Series C Preferred</w:t>
            </w:r>
          </w:p>
        </w:tc>
        <w:tc>
          <w:tcPr>
            <w:tcW w:w="60" w:type="dxa"/>
            <w:vAlign w:val="bottom"/>
          </w:tcPr>
          <w:p>
            <w:pPr>
              <w:spacing w:after="0"/>
              <w:rPr>
                <w:sz w:val="13"/>
                <w:szCs w:val="13"/>
                <w:color w:val="auto"/>
              </w:rPr>
            </w:pPr>
          </w:p>
        </w:tc>
        <w:tc>
          <w:tcPr>
            <w:tcW w:w="1280" w:type="dxa"/>
            <w:vAlign w:val="bottom"/>
            <w:tcBorders>
              <w:right w:val="single" w:sz="8" w:color="auto"/>
            </w:tcBorders>
            <w:gridSpan w:val="4"/>
          </w:tcPr>
          <w:p>
            <w:pPr>
              <w:jc w:val="right"/>
              <w:ind w:right="117"/>
              <w:spacing w:after="0"/>
              <w:rPr>
                <w:sz w:val="20"/>
                <w:szCs w:val="20"/>
                <w:color w:val="auto"/>
              </w:rPr>
            </w:pPr>
            <w:r>
              <w:rPr>
                <w:rFonts w:ascii="Arial" w:cs="Arial" w:eastAsia="Arial" w:hAnsi="Arial"/>
                <w:sz w:val="13"/>
                <w:szCs w:val="13"/>
                <w:b w:val="1"/>
                <w:bCs w:val="1"/>
                <w:color w:val="auto"/>
                <w:w w:val="95"/>
              </w:rPr>
              <w:t>Series D Preferred</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7"/>
              </w:rPr>
              <w:t>Additional</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140" w:type="dxa"/>
            <w:vAlign w:val="bottom"/>
            <w:tcBorders>
              <w:right w:val="single" w:sz="8" w:color="auto"/>
            </w:tcBorders>
            <w:gridSpan w:val="4"/>
          </w:tcPr>
          <w:p>
            <w:pPr>
              <w:jc w:val="right"/>
              <w:ind w:right="460"/>
              <w:spacing w:after="0"/>
              <w:rPr>
                <w:sz w:val="20"/>
                <w:szCs w:val="20"/>
                <w:color w:val="auto"/>
              </w:rPr>
            </w:pPr>
            <w:r>
              <w:rPr>
                <w:rFonts w:ascii="Arial" w:cs="Arial" w:eastAsia="Arial" w:hAnsi="Arial"/>
                <w:sz w:val="13"/>
                <w:szCs w:val="13"/>
                <w:b w:val="1"/>
                <w:bCs w:val="1"/>
                <w:color w:val="auto"/>
              </w:rPr>
              <w:t>Stock</w:t>
            </w:r>
          </w:p>
        </w:tc>
        <w:tc>
          <w:tcPr>
            <w:tcW w:w="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rPr>
              <w:t>Stock</w:t>
            </w: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rPr>
              <w:t>Stock</w:t>
            </w: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8"/>
              </w:rPr>
              <w:t>Treasury</w:t>
            </w:r>
          </w:p>
        </w:tc>
        <w:tc>
          <w:tcPr>
            <w:tcW w:w="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8"/>
              </w:rPr>
              <w:t>Accumulated</w:t>
            </w:r>
          </w:p>
        </w:tc>
        <w:tc>
          <w:tcPr>
            <w:tcW w:w="9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10"/>
        </w:trPr>
        <w:tc>
          <w:tcPr>
            <w:tcW w:w="10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53"/>
        </w:trPr>
        <w:tc>
          <w:tcPr>
            <w:tcW w:w="102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2"/>
              </w:rPr>
              <w:t>Shares</w:t>
            </w:r>
          </w:p>
        </w:tc>
        <w:tc>
          <w:tcPr>
            <w:tcW w:w="5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5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5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52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3"/>
                <w:szCs w:val="13"/>
                <w:color w:val="auto"/>
              </w:rPr>
            </w:pPr>
          </w:p>
        </w:tc>
        <w:tc>
          <w:tcPr>
            <w:tcW w:w="80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Stock</w:t>
            </w:r>
          </w:p>
        </w:tc>
        <w:tc>
          <w:tcPr>
            <w:tcW w:w="6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top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Balances at</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rPr>
              <w:t>March 31,</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2020</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7"/>
              </w:rPr>
              <w:t>500,000</w:t>
            </w:r>
          </w:p>
        </w:tc>
        <w:tc>
          <w:tcPr>
            <w:tcW w:w="5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   500</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w w:val="96"/>
              </w:rPr>
              <w:t>1,160,240</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w w:val="92"/>
              </w:rPr>
              <w:t>$ 1,200</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w w:val="96"/>
              </w:rPr>
              <w:t>2,318,012</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w w:val="92"/>
              </w:rPr>
              <w:t>$ 2,300</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42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49,348,707</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  49,300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b w:val="1"/>
                <w:bCs w:val="1"/>
                <w:color w:val="auto"/>
                <w:w w:val="96"/>
              </w:rPr>
              <w:t>$ 200,092,800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95"/>
              </w:rPr>
              <w:t>$ (3,968,100)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91"/>
              </w:rPr>
              <w:t>$ (201,907,400)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  (5,729,400)</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Proceeds from</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7"/>
              </w:rPr>
              <w:t>sale of units of</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7"/>
              </w:rPr>
              <w:t>common stock</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and warrants</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for cash in</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private</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placement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125,000</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200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49,800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21"/>
        </w:trPr>
        <w:tc>
          <w:tcPr>
            <w:tcW w:w="1020" w:type="dxa"/>
            <w:vAlign w:val="bottom"/>
          </w:tcPr>
          <w:p>
            <w:pPr>
              <w:spacing w:after="0" w:line="121" w:lineRule="exact"/>
              <w:rPr>
                <w:sz w:val="20"/>
                <w:szCs w:val="20"/>
                <w:color w:val="auto"/>
              </w:rPr>
            </w:pPr>
            <w:r>
              <w:rPr>
                <w:rFonts w:ascii="Arial" w:cs="Arial" w:eastAsia="Arial" w:hAnsi="Arial"/>
                <w:sz w:val="13"/>
                <w:szCs w:val="13"/>
                <w:color w:val="auto"/>
                <w:w w:val="93"/>
              </w:rPr>
              <w:t>Net proceeds from</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80"/>
              <w:spacing w:after="0" w:line="135" w:lineRule="exact"/>
              <w:rPr>
                <w:sz w:val="20"/>
                <w:szCs w:val="20"/>
                <w:color w:val="auto"/>
              </w:rPr>
            </w:pPr>
            <w:r>
              <w:rPr>
                <w:rFonts w:ascii="Arial" w:cs="Arial" w:eastAsia="Arial" w:hAnsi="Arial"/>
                <w:sz w:val="13"/>
                <w:szCs w:val="13"/>
                <w:color w:val="auto"/>
              </w:rPr>
              <w:t>sale of</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80"/>
              <w:spacing w:after="0" w:line="135" w:lineRule="exact"/>
              <w:rPr>
                <w:sz w:val="20"/>
                <w:szCs w:val="20"/>
                <w:color w:val="auto"/>
              </w:rPr>
            </w:pPr>
            <w:r>
              <w:rPr>
                <w:rFonts w:ascii="Arial" w:cs="Arial" w:eastAsia="Arial" w:hAnsi="Arial"/>
                <w:sz w:val="13"/>
                <w:szCs w:val="13"/>
                <w:color w:val="auto"/>
                <w:w w:val="97"/>
              </w:rPr>
              <w:t>common stock</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80"/>
              <w:spacing w:after="0" w:line="135" w:lineRule="exact"/>
              <w:rPr>
                <w:sz w:val="20"/>
                <w:szCs w:val="20"/>
                <w:color w:val="auto"/>
              </w:rPr>
            </w:pPr>
            <w:r>
              <w:rPr>
                <w:rFonts w:ascii="Arial" w:cs="Arial" w:eastAsia="Arial" w:hAnsi="Arial"/>
                <w:sz w:val="13"/>
                <w:szCs w:val="13"/>
                <w:color w:val="auto"/>
              </w:rPr>
              <w:t>under equity</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rPr>
                <w:sz w:val="20"/>
                <w:szCs w:val="20"/>
                <w:color w:val="auto"/>
              </w:rPr>
            </w:pPr>
            <w:r>
              <w:rPr>
                <w:rFonts w:ascii="Arial" w:cs="Arial" w:eastAsia="Arial" w:hAnsi="Arial"/>
                <w:sz w:val="13"/>
                <w:szCs w:val="13"/>
                <w:color w:val="auto"/>
              </w:rPr>
              <w:t>line</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6,201,995</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6,200</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2,741,300</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2,747,500</w:t>
            </w: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Issuance of</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7"/>
              </w:rPr>
              <w:t>common stock</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5"/>
              </w:rPr>
              <w:t>at fair value for</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professional</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233,645</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200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124,800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125,000</w:t>
            </w:r>
          </w:p>
        </w:tc>
        <w:tc>
          <w:tcPr>
            <w:tcW w:w="0" w:type="dxa"/>
            <w:vAlign w:val="bottom"/>
          </w:tcPr>
          <w:p>
            <w:pPr>
              <w:spacing w:after="0"/>
              <w:rPr>
                <w:sz w:val="1"/>
                <w:szCs w:val="1"/>
                <w:color w:val="auto"/>
              </w:rPr>
            </w:pPr>
          </w:p>
        </w:tc>
      </w:tr>
      <w:tr>
        <w:trPr>
          <w:trHeight w:val="121"/>
        </w:trPr>
        <w:tc>
          <w:tcPr>
            <w:tcW w:w="1020" w:type="dxa"/>
            <w:vAlign w:val="bottom"/>
          </w:tcPr>
          <w:p>
            <w:pPr>
              <w:spacing w:after="0" w:line="121" w:lineRule="exact"/>
              <w:rPr>
                <w:sz w:val="20"/>
                <w:szCs w:val="20"/>
                <w:color w:val="auto"/>
              </w:rPr>
            </w:pPr>
            <w:r>
              <w:rPr>
                <w:rFonts w:ascii="Arial" w:cs="Arial" w:eastAsia="Arial" w:hAnsi="Arial"/>
                <w:sz w:val="13"/>
                <w:szCs w:val="13"/>
                <w:color w:val="auto"/>
              </w:rPr>
              <w:t>Sale of common</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80"/>
              <w:spacing w:after="0" w:line="135" w:lineRule="exact"/>
              <w:rPr>
                <w:sz w:val="20"/>
                <w:szCs w:val="20"/>
                <w:color w:val="auto"/>
              </w:rPr>
            </w:pPr>
            <w:r>
              <w:rPr>
                <w:rFonts w:ascii="Arial" w:cs="Arial" w:eastAsia="Arial" w:hAnsi="Arial"/>
                <w:sz w:val="13"/>
                <w:szCs w:val="13"/>
                <w:color w:val="auto"/>
                <w:w w:val="96"/>
              </w:rPr>
              <w:t>stock pursuant</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80"/>
              <w:spacing w:after="0" w:line="135" w:lineRule="exact"/>
              <w:rPr>
                <w:sz w:val="20"/>
                <w:szCs w:val="20"/>
                <w:color w:val="auto"/>
              </w:rPr>
            </w:pPr>
            <w:r>
              <w:rPr>
                <w:rFonts w:ascii="Arial" w:cs="Arial" w:eastAsia="Arial" w:hAnsi="Arial"/>
                <w:sz w:val="13"/>
                <w:szCs w:val="13"/>
                <w:color w:val="auto"/>
              </w:rPr>
              <w:t>to 2019</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80"/>
              <w:spacing w:after="0" w:line="135" w:lineRule="exact"/>
              <w:rPr>
                <w:sz w:val="20"/>
                <w:szCs w:val="20"/>
                <w:color w:val="auto"/>
              </w:rPr>
            </w:pPr>
            <w:r>
              <w:rPr>
                <w:rFonts w:ascii="Arial" w:cs="Arial" w:eastAsia="Arial" w:hAnsi="Arial"/>
                <w:sz w:val="13"/>
                <w:szCs w:val="13"/>
                <w:color w:val="auto"/>
              </w:rPr>
              <w:t>Employee</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80"/>
              <w:spacing w:after="0" w:line="135" w:lineRule="exact"/>
              <w:rPr>
                <w:sz w:val="20"/>
                <w:szCs w:val="20"/>
                <w:color w:val="auto"/>
              </w:rPr>
            </w:pPr>
            <w:r>
              <w:rPr>
                <w:rFonts w:ascii="Arial" w:cs="Arial" w:eastAsia="Arial" w:hAnsi="Arial"/>
                <w:sz w:val="13"/>
                <w:szCs w:val="13"/>
                <w:color w:val="auto"/>
                <w:w w:val="90"/>
              </w:rPr>
              <w:t>Stock Purchase</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rPr>
                <w:sz w:val="20"/>
                <w:szCs w:val="20"/>
                <w:color w:val="auto"/>
              </w:rPr>
            </w:pPr>
            <w:r>
              <w:rPr>
                <w:rFonts w:ascii="Arial" w:cs="Arial" w:eastAsia="Arial" w:hAnsi="Arial"/>
                <w:sz w:val="13"/>
                <w:szCs w:val="13"/>
                <w:color w:val="auto"/>
              </w:rPr>
              <w:t>Plan</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28,125</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12,600</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12,600</w:t>
            </w: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9"/>
              </w:rPr>
              <w:t>Expenses related</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to S-3</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registration</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statement for</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5"/>
              </w:rPr>
              <w:t>warrant shares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(29,400)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(29,400)</w:t>
            </w:r>
          </w:p>
        </w:tc>
        <w:tc>
          <w:tcPr>
            <w:tcW w:w="0" w:type="dxa"/>
            <w:vAlign w:val="bottom"/>
          </w:tcPr>
          <w:p>
            <w:pPr>
              <w:spacing w:after="0"/>
              <w:rPr>
                <w:sz w:val="1"/>
                <w:szCs w:val="1"/>
                <w:color w:val="auto"/>
              </w:rPr>
            </w:pPr>
          </w:p>
        </w:tc>
      </w:tr>
      <w:tr>
        <w:trPr>
          <w:trHeight w:val="121"/>
        </w:trPr>
        <w:tc>
          <w:tcPr>
            <w:tcW w:w="1020" w:type="dxa"/>
            <w:vAlign w:val="bottom"/>
          </w:tcPr>
          <w:p>
            <w:pPr>
              <w:spacing w:after="0" w:line="121" w:lineRule="exact"/>
              <w:rPr>
                <w:sz w:val="20"/>
                <w:szCs w:val="20"/>
                <w:color w:val="auto"/>
              </w:rPr>
            </w:pPr>
            <w:r>
              <w:rPr>
                <w:rFonts w:ascii="Arial" w:cs="Arial" w:eastAsia="Arial" w:hAnsi="Arial"/>
                <w:sz w:val="13"/>
                <w:szCs w:val="13"/>
                <w:color w:val="auto"/>
              </w:rPr>
              <w:t>Accrued</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80"/>
              <w:spacing w:after="0" w:line="135" w:lineRule="exact"/>
              <w:rPr>
                <w:sz w:val="20"/>
                <w:szCs w:val="20"/>
                <w:color w:val="auto"/>
              </w:rPr>
            </w:pPr>
            <w:r>
              <w:rPr>
                <w:rFonts w:ascii="Arial" w:cs="Arial" w:eastAsia="Arial" w:hAnsi="Arial"/>
                <w:sz w:val="13"/>
                <w:szCs w:val="13"/>
                <w:color w:val="auto"/>
              </w:rPr>
              <w:t>dividends on</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80"/>
              <w:spacing w:after="0" w:line="135" w:lineRule="exact"/>
              <w:rPr>
                <w:sz w:val="20"/>
                <w:szCs w:val="20"/>
                <w:color w:val="auto"/>
              </w:rPr>
            </w:pPr>
            <w:r>
              <w:rPr>
                <w:rFonts w:ascii="Arial" w:cs="Arial" w:eastAsia="Arial" w:hAnsi="Arial"/>
                <w:sz w:val="13"/>
                <w:szCs w:val="13"/>
                <w:color w:val="auto"/>
              </w:rPr>
              <w:t>Series B</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rPr>
                <w:sz w:val="20"/>
                <w:szCs w:val="20"/>
                <w:color w:val="auto"/>
              </w:rPr>
            </w:pPr>
            <w:r>
              <w:rPr>
                <w:rFonts w:ascii="Arial" w:cs="Arial" w:eastAsia="Arial" w:hAnsi="Arial"/>
                <w:sz w:val="13"/>
                <w:szCs w:val="13"/>
                <w:color w:val="auto"/>
                <w:w w:val="92"/>
              </w:rPr>
              <w:t>Preferred stock</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3"/>
                <w:szCs w:val="13"/>
                <w:color w:val="auto"/>
              </w:rPr>
              <w:t>(335,800)</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(335,800)</w:t>
            </w: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Stock-based</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compensation</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expense</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674,600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674,600</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Net loss for the</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quarter ended</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June 30, 2020</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(3,126,800)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(3,126,800)</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020" w:type="dxa"/>
            <w:vAlign w:val="bottom"/>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Balances at June</w:t>
            </w: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7"/>
              </w:rPr>
              <w:t>500,000</w:t>
            </w:r>
          </w:p>
        </w:tc>
        <w:tc>
          <w:tcPr>
            <w:tcW w:w="580" w:type="dxa"/>
            <w:vAlign w:val="bottom"/>
            <w:tcBorders>
              <w:right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500</w:t>
            </w: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w w:val="96"/>
              </w:rPr>
              <w:t>1,160,240</w:t>
            </w:r>
          </w:p>
        </w:tc>
        <w:tc>
          <w:tcPr>
            <w:tcW w:w="5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1,200</w:t>
            </w: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w w:val="96"/>
              </w:rPr>
              <w:t>2,318,012</w:t>
            </w:r>
          </w:p>
        </w:tc>
        <w:tc>
          <w:tcPr>
            <w:tcW w:w="5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2,300</w:t>
            </w: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9"/>
                <w:szCs w:val="9"/>
                <w:color w:val="auto"/>
              </w:rPr>
            </w:pPr>
          </w:p>
        </w:tc>
        <w:tc>
          <w:tcPr>
            <w:tcW w:w="4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55,937,472</w:t>
            </w:r>
          </w:p>
        </w:tc>
        <w:tc>
          <w:tcPr>
            <w:tcW w:w="6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55,900</w:t>
            </w:r>
          </w:p>
        </w:tc>
        <w:tc>
          <w:tcPr>
            <w:tcW w:w="9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203,330,700</w:t>
            </w:r>
          </w:p>
        </w:tc>
        <w:tc>
          <w:tcPr>
            <w:tcW w:w="8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(3,968,100)</w:t>
            </w:r>
          </w:p>
        </w:tc>
        <w:tc>
          <w:tcPr>
            <w:tcW w:w="9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(205,034,200)</w:t>
            </w:r>
          </w:p>
        </w:tc>
        <w:tc>
          <w:tcPr>
            <w:tcW w:w="9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(5,611,700)</w:t>
            </w:r>
          </w:p>
        </w:tc>
        <w:tc>
          <w:tcPr>
            <w:tcW w:w="0" w:type="dxa"/>
            <w:vAlign w:val="bottom"/>
          </w:tcPr>
          <w:p>
            <w:pPr>
              <w:spacing w:after="0"/>
              <w:rPr>
                <w:sz w:val="1"/>
                <w:szCs w:val="1"/>
                <w:color w:val="auto"/>
              </w:rPr>
            </w:pPr>
          </w:p>
        </w:tc>
      </w:tr>
      <w:tr>
        <w:trPr>
          <w:trHeight w:val="140"/>
        </w:trPr>
        <w:tc>
          <w:tcPr>
            <w:tcW w:w="102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b w:val="1"/>
                <w:bCs w:val="1"/>
                <w:color w:val="auto"/>
              </w:rPr>
              <w:t>30, 2020</w:t>
            </w:r>
          </w:p>
        </w:tc>
        <w:tc>
          <w:tcPr>
            <w:tcW w:w="560" w:type="dxa"/>
            <w:vAlign w:val="bottom"/>
            <w:gridSpan w:val="2"/>
            <w:vMerge w:val="continue"/>
            <w:shd w:val="clear" w:color="auto" w:fill="CCEEFF"/>
          </w:tcPr>
          <w:p>
            <w:pPr>
              <w:spacing w:after="0"/>
              <w:rPr>
                <w:sz w:val="12"/>
                <w:szCs w:val="12"/>
                <w:color w:val="auto"/>
              </w:rPr>
            </w:pPr>
          </w:p>
        </w:tc>
        <w:tc>
          <w:tcPr>
            <w:tcW w:w="580" w:type="dxa"/>
            <w:vAlign w:val="bottom"/>
            <w:tcBorders>
              <w:right w:val="single" w:sz="8" w:color="auto"/>
            </w:tcBorders>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520" w:type="dxa"/>
            <w:vAlign w:val="bottom"/>
            <w:tcBorders>
              <w:right w:val="single" w:sz="8" w:color="auto"/>
            </w:tcBorders>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520" w:type="dxa"/>
            <w:vAlign w:val="bottom"/>
            <w:tcBorders>
              <w:right w:val="single" w:sz="8" w:color="auto"/>
            </w:tcBorders>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660" w:type="dxa"/>
            <w:vAlign w:val="bottom"/>
            <w:gridSpan w:val="3"/>
            <w:vMerge w:val="continue"/>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820" w:type="dxa"/>
            <w:vAlign w:val="bottom"/>
            <w:gridSpan w:val="3"/>
            <w:vMerge w:val="continue"/>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90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2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auto"/>
              <w:right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CCEEFF"/>
              <w:right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CCEEFF"/>
              <w:right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right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Net proceeds from</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sale of</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7"/>
              </w:rPr>
              <w:t>common stock</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in public</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offering</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17,868,250</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17,900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12,887,200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12,905,100</w:t>
            </w:r>
          </w:p>
        </w:tc>
        <w:tc>
          <w:tcPr>
            <w:tcW w:w="0" w:type="dxa"/>
            <w:vAlign w:val="bottom"/>
          </w:tcPr>
          <w:p>
            <w:pPr>
              <w:spacing w:after="0"/>
              <w:rPr>
                <w:sz w:val="1"/>
                <w:szCs w:val="1"/>
                <w:color w:val="auto"/>
              </w:rPr>
            </w:pPr>
          </w:p>
        </w:tc>
      </w:tr>
      <w:tr>
        <w:trPr>
          <w:trHeight w:val="121"/>
        </w:trPr>
        <w:tc>
          <w:tcPr>
            <w:tcW w:w="1020" w:type="dxa"/>
            <w:vAlign w:val="bottom"/>
          </w:tcPr>
          <w:p>
            <w:pPr>
              <w:spacing w:after="0" w:line="121" w:lineRule="exact"/>
              <w:rPr>
                <w:sz w:val="20"/>
                <w:szCs w:val="20"/>
                <w:color w:val="auto"/>
              </w:rPr>
            </w:pPr>
            <w:r>
              <w:rPr>
                <w:rFonts w:ascii="Arial" w:cs="Arial" w:eastAsia="Arial" w:hAnsi="Arial"/>
                <w:sz w:val="13"/>
                <w:szCs w:val="13"/>
                <w:color w:val="auto"/>
                <w:w w:val="93"/>
              </w:rPr>
              <w:t>Net proceeds from</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80"/>
              <w:spacing w:after="0" w:line="135" w:lineRule="exact"/>
              <w:rPr>
                <w:sz w:val="20"/>
                <w:szCs w:val="20"/>
                <w:color w:val="auto"/>
              </w:rPr>
            </w:pPr>
            <w:r>
              <w:rPr>
                <w:rFonts w:ascii="Arial" w:cs="Arial" w:eastAsia="Arial" w:hAnsi="Arial"/>
                <w:sz w:val="13"/>
                <w:szCs w:val="13"/>
                <w:color w:val="auto"/>
              </w:rPr>
              <w:t>exercise of</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rPr>
                <w:sz w:val="20"/>
                <w:szCs w:val="20"/>
                <w:color w:val="auto"/>
              </w:rPr>
            </w:pPr>
            <w:r>
              <w:rPr>
                <w:rFonts w:ascii="Arial" w:cs="Arial" w:eastAsia="Arial" w:hAnsi="Arial"/>
                <w:sz w:val="13"/>
                <w:szCs w:val="13"/>
                <w:color w:val="auto"/>
              </w:rPr>
              <w:t>warrants</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228,000</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200</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113,800</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114,000</w:t>
            </w: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Net proceeds from</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sale of</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7"/>
              </w:rPr>
              <w:t>common stock</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under equity</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line</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100,000</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49,200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49,300</w:t>
            </w:r>
          </w:p>
        </w:tc>
        <w:tc>
          <w:tcPr>
            <w:tcW w:w="0" w:type="dxa"/>
            <w:vAlign w:val="bottom"/>
          </w:tcPr>
          <w:p>
            <w:pPr>
              <w:spacing w:after="0"/>
              <w:rPr>
                <w:sz w:val="1"/>
                <w:szCs w:val="1"/>
                <w:color w:val="auto"/>
              </w:rPr>
            </w:pPr>
          </w:p>
        </w:tc>
      </w:tr>
      <w:tr>
        <w:trPr>
          <w:trHeight w:val="121"/>
        </w:trPr>
        <w:tc>
          <w:tcPr>
            <w:tcW w:w="1020" w:type="dxa"/>
            <w:vAlign w:val="bottom"/>
          </w:tcPr>
          <w:p>
            <w:pPr>
              <w:spacing w:after="0" w:line="121" w:lineRule="exact"/>
              <w:rPr>
                <w:sz w:val="20"/>
                <w:szCs w:val="20"/>
                <w:color w:val="auto"/>
              </w:rPr>
            </w:pPr>
            <w:r>
              <w:rPr>
                <w:rFonts w:ascii="Arial" w:cs="Arial" w:eastAsia="Arial" w:hAnsi="Arial"/>
                <w:sz w:val="13"/>
                <w:szCs w:val="13"/>
                <w:color w:val="auto"/>
              </w:rPr>
              <w:t>Accrued</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80"/>
              <w:spacing w:after="0" w:line="135" w:lineRule="exact"/>
              <w:rPr>
                <w:sz w:val="20"/>
                <w:szCs w:val="20"/>
                <w:color w:val="auto"/>
              </w:rPr>
            </w:pPr>
            <w:r>
              <w:rPr>
                <w:rFonts w:ascii="Arial" w:cs="Arial" w:eastAsia="Arial" w:hAnsi="Arial"/>
                <w:sz w:val="13"/>
                <w:szCs w:val="13"/>
                <w:color w:val="auto"/>
              </w:rPr>
              <w:t>dividends on</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80"/>
              <w:spacing w:after="0" w:line="135" w:lineRule="exact"/>
              <w:rPr>
                <w:sz w:val="20"/>
                <w:szCs w:val="20"/>
                <w:color w:val="auto"/>
              </w:rPr>
            </w:pPr>
            <w:r>
              <w:rPr>
                <w:rFonts w:ascii="Arial" w:cs="Arial" w:eastAsia="Arial" w:hAnsi="Arial"/>
                <w:sz w:val="13"/>
                <w:szCs w:val="13"/>
                <w:color w:val="auto"/>
              </w:rPr>
              <w:t>Series B</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rPr>
                <w:sz w:val="20"/>
                <w:szCs w:val="20"/>
                <w:color w:val="auto"/>
              </w:rPr>
            </w:pPr>
            <w:r>
              <w:rPr>
                <w:rFonts w:ascii="Arial" w:cs="Arial" w:eastAsia="Arial" w:hAnsi="Arial"/>
                <w:sz w:val="13"/>
                <w:szCs w:val="13"/>
                <w:color w:val="auto"/>
                <w:w w:val="92"/>
              </w:rPr>
              <w:t>Preferred stock</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3"/>
                <w:szCs w:val="13"/>
                <w:color w:val="auto"/>
              </w:rPr>
              <w:t>(347,200)</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(347,200)</w:t>
            </w: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Stock-based</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compensation</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expense</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410,900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410,900</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Net loss for the</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quarter ended</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6"/>
              </w:rPr>
              <w:t>September 30,</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2020</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(3,297,800)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(3,297,800)</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020" w:type="dxa"/>
            <w:vAlign w:val="bottom"/>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Balances at</w:t>
            </w: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w w:val="92"/>
              </w:rPr>
              <w:t>September 30,</w:t>
            </w: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7"/>
              </w:rPr>
              <w:t>500,000</w:t>
            </w:r>
          </w:p>
        </w:tc>
        <w:tc>
          <w:tcPr>
            <w:tcW w:w="580" w:type="dxa"/>
            <w:vAlign w:val="bottom"/>
            <w:tcBorders>
              <w:right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500</w:t>
            </w:r>
          </w:p>
        </w:tc>
        <w:tc>
          <w:tcPr>
            <w:tcW w:w="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w w:val="96"/>
              </w:rPr>
              <w:t>1,160,240</w:t>
            </w:r>
          </w:p>
        </w:tc>
        <w:tc>
          <w:tcPr>
            <w:tcW w:w="5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1,200</w:t>
            </w:r>
          </w:p>
        </w:tc>
        <w:tc>
          <w:tcPr>
            <w:tcW w:w="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w w:val="96"/>
              </w:rPr>
              <w:t>2,318,012</w:t>
            </w:r>
          </w:p>
        </w:tc>
        <w:tc>
          <w:tcPr>
            <w:tcW w:w="5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2,300</w:t>
            </w:r>
          </w:p>
        </w:tc>
        <w:tc>
          <w:tcPr>
            <w:tcW w:w="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74,133,722</w:t>
            </w:r>
          </w:p>
        </w:tc>
        <w:tc>
          <w:tcPr>
            <w:tcW w:w="6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74,100</w:t>
            </w:r>
          </w:p>
        </w:tc>
        <w:tc>
          <w:tcPr>
            <w:tcW w:w="9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216,444,600</w:t>
            </w:r>
          </w:p>
        </w:tc>
        <w:tc>
          <w:tcPr>
            <w:tcW w:w="8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(3,968,100)</w:t>
            </w:r>
          </w:p>
        </w:tc>
        <w:tc>
          <w:tcPr>
            <w:tcW w:w="9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(208,332,000)</w:t>
            </w:r>
          </w:p>
        </w:tc>
        <w:tc>
          <w:tcPr>
            <w:tcW w:w="9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4,222,600</w:t>
            </w:r>
          </w:p>
        </w:tc>
        <w:tc>
          <w:tcPr>
            <w:tcW w:w="0" w:type="dxa"/>
            <w:vAlign w:val="bottom"/>
          </w:tcPr>
          <w:p>
            <w:pPr>
              <w:spacing w:after="0"/>
              <w:rPr>
                <w:sz w:val="1"/>
                <w:szCs w:val="1"/>
                <w:color w:val="auto"/>
              </w:rPr>
            </w:pPr>
          </w:p>
        </w:tc>
      </w:tr>
      <w:tr>
        <w:trPr>
          <w:trHeight w:val="140"/>
        </w:trPr>
        <w:tc>
          <w:tcPr>
            <w:tcW w:w="102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b w:val="1"/>
                <w:bCs w:val="1"/>
                <w:color w:val="auto"/>
              </w:rPr>
              <w:t>2020</w:t>
            </w:r>
          </w:p>
        </w:tc>
        <w:tc>
          <w:tcPr>
            <w:tcW w:w="560" w:type="dxa"/>
            <w:vAlign w:val="bottom"/>
            <w:gridSpan w:val="2"/>
            <w:vMerge w:val="continue"/>
            <w:shd w:val="clear" w:color="auto" w:fill="CCEEFF"/>
          </w:tcPr>
          <w:p>
            <w:pPr>
              <w:spacing w:after="0"/>
              <w:rPr>
                <w:sz w:val="12"/>
                <w:szCs w:val="12"/>
                <w:color w:val="auto"/>
              </w:rPr>
            </w:pPr>
          </w:p>
        </w:tc>
        <w:tc>
          <w:tcPr>
            <w:tcW w:w="580" w:type="dxa"/>
            <w:vAlign w:val="bottom"/>
            <w:tcBorders>
              <w:right w:val="single" w:sz="8" w:color="auto"/>
            </w:tcBorders>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520" w:type="dxa"/>
            <w:vAlign w:val="bottom"/>
            <w:tcBorders>
              <w:right w:val="single" w:sz="8" w:color="auto"/>
            </w:tcBorders>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520" w:type="dxa"/>
            <w:vAlign w:val="bottom"/>
            <w:tcBorders>
              <w:right w:val="single" w:sz="8" w:color="auto"/>
            </w:tcBorders>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660" w:type="dxa"/>
            <w:vAlign w:val="bottom"/>
            <w:gridSpan w:val="3"/>
            <w:vMerge w:val="continue"/>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820" w:type="dxa"/>
            <w:vAlign w:val="bottom"/>
            <w:gridSpan w:val="3"/>
            <w:vMerge w:val="continue"/>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90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2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auto"/>
              <w:right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CCEEFF"/>
              <w:right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CCEEFF"/>
              <w:right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right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Net proceeds from</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sale of</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7"/>
              </w:rPr>
              <w:t>common stock</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and Series D</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2"/>
              </w:rPr>
              <w:t>Preferred stock</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in public</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offering</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2,000,000</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8"/>
              </w:rPr>
              <w:t>2,000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63,000,000</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63,000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93,582,900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93,647,900</w:t>
            </w:r>
          </w:p>
        </w:tc>
        <w:tc>
          <w:tcPr>
            <w:tcW w:w="0" w:type="dxa"/>
            <w:vAlign w:val="bottom"/>
          </w:tcPr>
          <w:p>
            <w:pPr>
              <w:spacing w:after="0"/>
              <w:rPr>
                <w:sz w:val="1"/>
                <w:szCs w:val="1"/>
                <w:color w:val="auto"/>
              </w:rPr>
            </w:pPr>
          </w:p>
        </w:tc>
      </w:tr>
      <w:tr>
        <w:trPr>
          <w:trHeight w:val="121"/>
        </w:trPr>
        <w:tc>
          <w:tcPr>
            <w:tcW w:w="1020" w:type="dxa"/>
            <w:vAlign w:val="bottom"/>
          </w:tcPr>
          <w:p>
            <w:pPr>
              <w:spacing w:after="0" w:line="121" w:lineRule="exact"/>
              <w:rPr>
                <w:sz w:val="20"/>
                <w:szCs w:val="20"/>
                <w:color w:val="auto"/>
              </w:rPr>
            </w:pPr>
            <w:r>
              <w:rPr>
                <w:rFonts w:ascii="Arial" w:cs="Arial" w:eastAsia="Arial" w:hAnsi="Arial"/>
                <w:sz w:val="13"/>
                <w:szCs w:val="13"/>
                <w:color w:val="auto"/>
                <w:w w:val="93"/>
              </w:rPr>
              <w:t>Net proceeds from</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80"/>
              <w:spacing w:after="0" w:line="135" w:lineRule="exact"/>
              <w:rPr>
                <w:sz w:val="20"/>
                <w:szCs w:val="20"/>
                <w:color w:val="auto"/>
              </w:rPr>
            </w:pPr>
            <w:r>
              <w:rPr>
                <w:rFonts w:ascii="Arial" w:cs="Arial" w:eastAsia="Arial" w:hAnsi="Arial"/>
                <w:sz w:val="13"/>
                <w:szCs w:val="13"/>
                <w:color w:val="auto"/>
              </w:rPr>
              <w:t>exercise of</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rPr>
                <w:sz w:val="20"/>
                <w:szCs w:val="20"/>
                <w:color w:val="auto"/>
              </w:rPr>
            </w:pPr>
            <w:r>
              <w:rPr>
                <w:rFonts w:ascii="Arial" w:cs="Arial" w:eastAsia="Arial" w:hAnsi="Arial"/>
                <w:sz w:val="13"/>
                <w:szCs w:val="13"/>
                <w:color w:val="auto"/>
              </w:rPr>
              <w:t>warrants</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1,447,782</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1,400</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722,500</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723,900</w:t>
            </w: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Accrued</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dividends on</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Series B</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Preferred stock</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(353,600)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(353,600)</w:t>
            </w:r>
          </w:p>
        </w:tc>
        <w:tc>
          <w:tcPr>
            <w:tcW w:w="0" w:type="dxa"/>
            <w:vAlign w:val="bottom"/>
          </w:tcPr>
          <w:p>
            <w:pPr>
              <w:spacing w:after="0"/>
              <w:rPr>
                <w:sz w:val="1"/>
                <w:szCs w:val="1"/>
                <w:color w:val="auto"/>
              </w:rPr>
            </w:pPr>
          </w:p>
        </w:tc>
      </w:tr>
      <w:tr>
        <w:trPr>
          <w:trHeight w:val="121"/>
        </w:trPr>
        <w:tc>
          <w:tcPr>
            <w:tcW w:w="1020" w:type="dxa"/>
            <w:vAlign w:val="bottom"/>
          </w:tcPr>
          <w:p>
            <w:pPr>
              <w:spacing w:after="0" w:line="121" w:lineRule="exact"/>
              <w:rPr>
                <w:sz w:val="20"/>
                <w:szCs w:val="20"/>
                <w:color w:val="auto"/>
              </w:rPr>
            </w:pPr>
            <w:r>
              <w:rPr>
                <w:rFonts w:ascii="Arial" w:cs="Arial" w:eastAsia="Arial" w:hAnsi="Arial"/>
                <w:sz w:val="13"/>
                <w:szCs w:val="13"/>
                <w:color w:val="auto"/>
              </w:rPr>
              <w:t>Stock-based</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80"/>
              <w:spacing w:after="0" w:line="135" w:lineRule="exact"/>
              <w:rPr>
                <w:sz w:val="20"/>
                <w:szCs w:val="20"/>
                <w:color w:val="auto"/>
              </w:rPr>
            </w:pPr>
            <w:r>
              <w:rPr>
                <w:rFonts w:ascii="Arial" w:cs="Arial" w:eastAsia="Arial" w:hAnsi="Arial"/>
                <w:sz w:val="13"/>
                <w:szCs w:val="13"/>
                <w:color w:val="auto"/>
              </w:rPr>
              <w:t>compensation</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rPr>
                <w:sz w:val="20"/>
                <w:szCs w:val="20"/>
                <w:color w:val="auto"/>
              </w:rPr>
            </w:pPr>
            <w:r>
              <w:rPr>
                <w:rFonts w:ascii="Arial" w:cs="Arial" w:eastAsia="Arial" w:hAnsi="Arial"/>
                <w:sz w:val="13"/>
                <w:szCs w:val="13"/>
                <w:color w:val="auto"/>
              </w:rPr>
              <w:t>expense</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730,400</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730,400</w:t>
            </w: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Conversion of</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Series B</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2"/>
              </w:rPr>
              <w:t>Preferred stock</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to common</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1"/>
              </w:rPr>
              <w:t>and payment of</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accrued</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dividends in</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common stock</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(28,571)</w:t>
            </w:r>
          </w:p>
        </w:tc>
        <w:tc>
          <w:tcPr>
            <w:tcW w:w="5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188,633</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200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124,500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124,600</w:t>
            </w:r>
          </w:p>
        </w:tc>
        <w:tc>
          <w:tcPr>
            <w:tcW w:w="0" w:type="dxa"/>
            <w:vAlign w:val="bottom"/>
          </w:tcPr>
          <w:p>
            <w:pPr>
              <w:spacing w:after="0"/>
              <w:rPr>
                <w:sz w:val="1"/>
                <w:szCs w:val="1"/>
                <w:color w:val="auto"/>
              </w:rPr>
            </w:pPr>
          </w:p>
        </w:tc>
      </w:tr>
      <w:tr>
        <w:trPr>
          <w:trHeight w:val="63"/>
        </w:trPr>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823" w:right="339" w:bottom="0" w:gutter="0" w:footer="0" w:header="0"/>
        </w:sectPr>
      </w:pPr>
    </w:p>
    <w:bookmarkStart w:id="6" w:name="page7"/>
    <w:bookmarkEnd w:id="6"/>
    <w:p>
      <w:pPr>
        <w:spacing w:after="0"/>
        <w:rPr>
          <w:sz w:val="20"/>
          <w:szCs w:val="20"/>
          <w:color w:val="auto"/>
        </w:rPr>
      </w:pPr>
      <w:r>
        <w:rPr>
          <w:rFonts w:ascii="Arial" w:cs="Arial" w:eastAsia="Arial" w:hAnsi="Arial"/>
          <w:sz w:val="13"/>
          <w:szCs w:val="13"/>
          <w:color w:val="auto"/>
        </w:rPr>
        <w:t>Sale of common</w:t>
      </w:r>
    </w:p>
    <w:p>
      <w:pPr>
        <w:ind w:left="180"/>
        <w:spacing w:after="0"/>
        <w:rPr>
          <w:sz w:val="20"/>
          <w:szCs w:val="20"/>
          <w:color w:val="auto"/>
        </w:rPr>
      </w:pPr>
      <w:r>
        <w:rPr>
          <w:rFonts w:ascii="Arial" w:cs="Arial" w:eastAsia="Arial" w:hAnsi="Arial"/>
          <w:sz w:val="10"/>
          <w:szCs w:val="10"/>
          <w:color w:val="auto"/>
        </w:rPr>
        <w:t>stock pursuant</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 2019</w:t>
      </w:r>
    </w:p>
    <w:p>
      <w:pPr>
        <w:ind w:left="180"/>
        <w:spacing w:after="0" w:line="216" w:lineRule="auto"/>
        <w:rPr>
          <w:sz w:val="20"/>
          <w:szCs w:val="20"/>
          <w:color w:val="auto"/>
        </w:rPr>
      </w:pPr>
      <w:r>
        <w:rPr>
          <w:rFonts w:ascii="Arial" w:cs="Arial" w:eastAsia="Arial" w:hAnsi="Arial"/>
          <w:sz w:val="13"/>
          <w:szCs w:val="13"/>
          <w:color w:val="auto"/>
        </w:rPr>
        <w:t>Employee</w:t>
      </w:r>
    </w:p>
    <w:p>
      <w:pPr>
        <w:ind w:left="180"/>
        <w:spacing w:after="0"/>
        <w:rPr>
          <w:sz w:val="20"/>
          <w:szCs w:val="20"/>
          <w:color w:val="auto"/>
        </w:rPr>
      </w:pPr>
      <w:r>
        <w:rPr>
          <w:rFonts w:ascii="Arial" w:cs="Arial" w:eastAsia="Arial" w:hAnsi="Arial"/>
          <w:sz w:val="10"/>
          <w:szCs w:val="10"/>
          <w:color w:val="auto"/>
        </w:rPr>
        <w:t>Stock Purchase</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Plan</w:t>
      </w:r>
    </w:p>
    <w:p>
      <w:pPr>
        <w:ind w:left="180" w:right="60" w:hanging="161"/>
        <w:spacing w:after="0" w:line="306" w:lineRule="auto"/>
        <w:rPr>
          <w:sz w:val="20"/>
          <w:szCs w:val="20"/>
          <w:color w:val="auto"/>
        </w:rPr>
      </w:pPr>
      <w:r>
        <w:rPr>
          <w:rFonts w:ascii="Arial" w:cs="Arial" w:eastAsia="Arial" w:hAnsi="Arial"/>
          <w:sz w:val="10"/>
          <w:szCs w:val="10"/>
          <w:color w:val="auto"/>
        </w:rPr>
        <w:t>Net loss for the quarter ended December 31, 2020</w:t>
      </w:r>
    </w:p>
    <w:p>
      <w:pPr>
        <w:spacing w:after="0" w:line="88" w:lineRule="exact"/>
        <w:rPr>
          <w:sz w:val="20"/>
          <w:szCs w:val="20"/>
          <w:color w:val="auto"/>
        </w:rPr>
      </w:pPr>
    </w:p>
    <w:p>
      <w:pPr>
        <w:ind w:left="180" w:right="40" w:hanging="161"/>
        <w:spacing w:after="0" w:line="232" w:lineRule="auto"/>
        <w:rPr>
          <w:sz w:val="20"/>
          <w:szCs w:val="20"/>
          <w:color w:val="auto"/>
        </w:rPr>
      </w:pPr>
      <w:r>
        <w:rPr>
          <w:rFonts w:ascii="Arial" w:cs="Arial" w:eastAsia="Arial" w:hAnsi="Arial"/>
          <w:sz w:val="13"/>
          <w:szCs w:val="13"/>
          <w:b w:val="1"/>
          <w:bCs w:val="1"/>
          <w:color w:val="auto"/>
        </w:rPr>
        <w:t>Balances at December 31,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40" w:type="dxa"/>
        <w:tblCellMar>
          <w:top w:w="0" w:type="dxa"/>
          <w:left w:w="0" w:type="dxa"/>
          <w:bottom w:w="0" w:type="dxa"/>
          <w:right w:w="0" w:type="dxa"/>
        </w:tblCellMar>
      </w:tblPr>
      <w:tr>
        <w:trPr>
          <w:trHeight w:val="160"/>
        </w:trPr>
        <w:tc>
          <w:tcPr>
            <w:tcW w:w="300" w:type="dxa"/>
            <w:vAlign w:val="bottom"/>
          </w:tcPr>
          <w:p>
            <w:pPr>
              <w:jc w:val="right"/>
              <w:ind w:right="218"/>
              <w:spacing w:after="0"/>
              <w:rPr>
                <w:sz w:val="20"/>
                <w:szCs w:val="20"/>
                <w:color w:val="auto"/>
              </w:rPr>
            </w:pPr>
            <w:r>
              <w:rPr>
                <w:rFonts w:ascii="Arial" w:cs="Arial" w:eastAsia="Arial" w:hAnsi="Arial"/>
                <w:sz w:val="8"/>
                <w:szCs w:val="8"/>
                <w:color w:val="auto"/>
                <w:w w:val="73"/>
              </w:rPr>
              <w:t>-</w:t>
            </w:r>
          </w:p>
        </w:tc>
        <w:tc>
          <w:tcPr>
            <w:tcW w:w="66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7"/>
              <w:spacing w:after="0"/>
              <w:rPr>
                <w:sz w:val="20"/>
                <w:szCs w:val="20"/>
                <w:color w:val="auto"/>
              </w:rPr>
            </w:pPr>
            <w:r>
              <w:rPr>
                <w:rFonts w:ascii="Arial" w:cs="Arial" w:eastAsia="Arial" w:hAnsi="Arial"/>
                <w:sz w:val="13"/>
                <w:szCs w:val="13"/>
                <w:color w:val="auto"/>
              </w:rPr>
              <w:t>30,000</w:t>
            </w:r>
          </w:p>
        </w:tc>
        <w:tc>
          <w:tcPr>
            <w:tcW w:w="700" w:type="dxa"/>
            <w:vAlign w:val="bottom"/>
          </w:tcPr>
          <w:p>
            <w:pPr>
              <w:jc w:val="right"/>
              <w:ind w:right="217"/>
              <w:spacing w:after="0"/>
              <w:rPr>
                <w:sz w:val="20"/>
                <w:szCs w:val="20"/>
                <w:color w:val="auto"/>
              </w:rPr>
            </w:pPr>
            <w:r>
              <w:rPr>
                <w:rFonts w:ascii="Arial" w:cs="Arial" w:eastAsia="Arial" w:hAnsi="Arial"/>
                <w:sz w:val="13"/>
                <w:szCs w:val="13"/>
                <w:color w:val="auto"/>
              </w:rPr>
              <w:t>100</w:t>
            </w:r>
          </w:p>
        </w:tc>
        <w:tc>
          <w:tcPr>
            <w:tcW w:w="1000" w:type="dxa"/>
            <w:vAlign w:val="bottom"/>
          </w:tcPr>
          <w:p>
            <w:pPr>
              <w:jc w:val="right"/>
              <w:ind w:right="317"/>
              <w:spacing w:after="0"/>
              <w:rPr>
                <w:sz w:val="20"/>
                <w:szCs w:val="20"/>
                <w:color w:val="auto"/>
              </w:rPr>
            </w:pPr>
            <w:r>
              <w:rPr>
                <w:rFonts w:ascii="Arial" w:cs="Arial" w:eastAsia="Arial" w:hAnsi="Arial"/>
                <w:sz w:val="13"/>
                <w:szCs w:val="13"/>
                <w:color w:val="auto"/>
              </w:rPr>
              <w:t>13,500</w:t>
            </w:r>
          </w:p>
        </w:tc>
        <w:tc>
          <w:tcPr>
            <w:tcW w:w="88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-92075</wp:posOffset>
            </wp:positionV>
            <wp:extent cx="7132320" cy="1208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3"/>
                <w:szCs w:val="13"/>
                <w:color w:val="auto"/>
              </w:rPr>
              <w:t>(5,298,700)</w:t>
            </w: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(5,298,700)</w:t>
            </w:r>
          </w:p>
        </w:tc>
      </w:tr>
      <w:tr>
        <w:trPr>
          <w:trHeight w:val="124"/>
        </w:trPr>
        <w:tc>
          <w:tcPr>
            <w:tcW w:w="4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358"/>
        </w:trPr>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7"/>
              </w:rPr>
              <w:t>500,000</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500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6"/>
              </w:rPr>
              <w:t>1,131,669</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2"/>
              </w:rPr>
              <w:t>$ 1,100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6"/>
              </w:rPr>
              <w:t>2,318,012</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2"/>
              </w:rPr>
              <w:t>$ 2,300</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2,000,000</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6"/>
              </w:rPr>
              <w:t>$ 2,000</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6"/>
              </w:rPr>
              <w:t>138,800,137</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6"/>
              </w:rPr>
              <w:t>$ 138,800</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6"/>
              </w:rPr>
              <w:t>$ 311,264,800</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8"/>
              </w:rPr>
              <w:t>$ (3,968,100)</w:t>
            </w:r>
          </w:p>
        </w:tc>
        <w:tc>
          <w:tcPr>
            <w:tcW w:w="9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1"/>
              </w:rPr>
              <w:t>$ (213,630,700)</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8"/>
              </w:rPr>
              <w:t>$  93,810,700</w:t>
            </w:r>
          </w:p>
        </w:tc>
      </w:tr>
      <w:tr>
        <w:trPr>
          <w:trHeight w:val="20"/>
        </w:trPr>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(continued)</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940" w:space="80"/>
            <w:col w:w="10160"/>
          </w:cols>
          <w:pgMar w:left="320" w:top="121" w:right="399" w:bottom="1440" w:gutter="0" w:footer="0" w:header="0"/>
        </w:sectPr>
      </w:pPr>
    </w:p>
    <w:bookmarkStart w:id="7" w:name="page8"/>
    <w:bookmarkEnd w:id="7"/>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(DEFICIT)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1200" w:type="dxa"/>
            <w:vAlign w:val="bottom"/>
            <w:tcBorders>
              <w:right w:val="single" w:sz="8" w:color="auto"/>
            </w:tcBorders>
            <w:gridSpan w:val="4"/>
          </w:tcPr>
          <w:p>
            <w:pPr>
              <w:jc w:val="right"/>
              <w:ind w:right="140"/>
              <w:spacing w:after="0"/>
              <w:rPr>
                <w:sz w:val="20"/>
                <w:szCs w:val="20"/>
                <w:color w:val="auto"/>
              </w:rPr>
            </w:pPr>
            <w:r>
              <w:rPr>
                <w:rFonts w:ascii="Arial" w:cs="Arial" w:eastAsia="Arial" w:hAnsi="Arial"/>
                <w:sz w:val="13"/>
                <w:szCs w:val="13"/>
                <w:b w:val="1"/>
                <w:bCs w:val="1"/>
                <w:color w:val="auto"/>
                <w:w w:val="91"/>
              </w:rPr>
              <w:t>Series A Preferred</w:t>
            </w:r>
          </w:p>
        </w:tc>
        <w:tc>
          <w:tcPr>
            <w:tcW w:w="60" w:type="dxa"/>
            <w:vAlign w:val="bottom"/>
          </w:tcPr>
          <w:p>
            <w:pPr>
              <w:spacing w:after="0"/>
              <w:rPr>
                <w:sz w:val="13"/>
                <w:szCs w:val="13"/>
                <w:color w:val="auto"/>
              </w:rPr>
            </w:pPr>
          </w:p>
        </w:tc>
        <w:tc>
          <w:tcPr>
            <w:tcW w:w="1320" w:type="dxa"/>
            <w:vAlign w:val="bottom"/>
            <w:tcBorders>
              <w:right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w w:val="95"/>
              </w:rPr>
              <w:t>Series B Preferred</w:t>
            </w:r>
          </w:p>
        </w:tc>
        <w:tc>
          <w:tcPr>
            <w:tcW w:w="60" w:type="dxa"/>
            <w:vAlign w:val="bottom"/>
          </w:tcPr>
          <w:p>
            <w:pPr>
              <w:spacing w:after="0"/>
              <w:rPr>
                <w:sz w:val="13"/>
                <w:szCs w:val="13"/>
                <w:color w:val="auto"/>
              </w:rPr>
            </w:pPr>
          </w:p>
        </w:tc>
        <w:tc>
          <w:tcPr>
            <w:tcW w:w="1300" w:type="dxa"/>
            <w:vAlign w:val="bottom"/>
            <w:tcBorders>
              <w:right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w w:val="95"/>
              </w:rPr>
              <w:t>Series C Preferred</w:t>
            </w:r>
          </w:p>
        </w:tc>
        <w:tc>
          <w:tcPr>
            <w:tcW w:w="60" w:type="dxa"/>
            <w:vAlign w:val="bottom"/>
          </w:tcPr>
          <w:p>
            <w:pPr>
              <w:spacing w:after="0"/>
              <w:rPr>
                <w:sz w:val="13"/>
                <w:szCs w:val="13"/>
                <w:color w:val="auto"/>
              </w:rPr>
            </w:pPr>
          </w:p>
        </w:tc>
        <w:tc>
          <w:tcPr>
            <w:tcW w:w="1220" w:type="dxa"/>
            <w:vAlign w:val="bottom"/>
            <w:tcBorders>
              <w:right w:val="single" w:sz="8" w:color="auto"/>
            </w:tcBorders>
            <w:gridSpan w:val="5"/>
          </w:tcPr>
          <w:p>
            <w:pPr>
              <w:jc w:val="right"/>
              <w:ind w:right="160"/>
              <w:spacing w:after="0"/>
              <w:rPr>
                <w:sz w:val="20"/>
                <w:szCs w:val="20"/>
                <w:color w:val="auto"/>
              </w:rPr>
            </w:pPr>
            <w:r>
              <w:rPr>
                <w:rFonts w:ascii="Arial" w:cs="Arial" w:eastAsia="Arial" w:hAnsi="Arial"/>
                <w:sz w:val="13"/>
                <w:szCs w:val="13"/>
                <w:b w:val="1"/>
                <w:bCs w:val="1"/>
                <w:color w:val="auto"/>
                <w:w w:val="91"/>
              </w:rPr>
              <w:t>Series D Preferred</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Additional</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1200" w:type="dxa"/>
            <w:vAlign w:val="bottom"/>
            <w:tcBorders>
              <w:right w:val="single" w:sz="8" w:color="auto"/>
            </w:tcBorders>
            <w:gridSpan w:val="4"/>
          </w:tcPr>
          <w:p>
            <w:pPr>
              <w:jc w:val="right"/>
              <w:ind w:right="500"/>
              <w:spacing w:after="0"/>
              <w:rPr>
                <w:sz w:val="20"/>
                <w:szCs w:val="20"/>
                <w:color w:val="auto"/>
              </w:rPr>
            </w:pPr>
            <w:r>
              <w:rPr>
                <w:rFonts w:ascii="Arial" w:cs="Arial" w:eastAsia="Arial" w:hAnsi="Arial"/>
                <w:sz w:val="13"/>
                <w:szCs w:val="13"/>
                <w:b w:val="1"/>
                <w:bCs w:val="1"/>
                <w:color w:val="auto"/>
              </w:rPr>
              <w:t>Stock</w:t>
            </w:r>
          </w:p>
        </w:tc>
        <w:tc>
          <w:tcPr>
            <w:tcW w:w="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Stock</w:t>
            </w:r>
          </w:p>
        </w:tc>
        <w:tc>
          <w:tcPr>
            <w:tcW w:w="4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Stock</w:t>
            </w:r>
          </w:p>
        </w:tc>
        <w:tc>
          <w:tcPr>
            <w:tcW w:w="4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Borders>
              <w:right w:val="single" w:sz="8" w:color="auto"/>
            </w:tcBorders>
            <w:gridSpan w:val="5"/>
          </w:tcPr>
          <w:p>
            <w:pPr>
              <w:jc w:val="right"/>
              <w:ind w:right="500"/>
              <w:spacing w:after="0"/>
              <w:rPr>
                <w:sz w:val="20"/>
                <w:szCs w:val="20"/>
                <w:color w:val="auto"/>
              </w:rPr>
            </w:pPr>
            <w:r>
              <w:rPr>
                <w:rFonts w:ascii="Arial" w:cs="Arial" w:eastAsia="Arial" w:hAnsi="Arial"/>
                <w:sz w:val="13"/>
                <w:szCs w:val="13"/>
                <w:b w:val="1"/>
                <w:bCs w:val="1"/>
                <w:color w:val="auto"/>
              </w:rPr>
              <w:t>Stock</w:t>
            </w:r>
          </w:p>
        </w:tc>
        <w:tc>
          <w:tcPr>
            <w:tcW w:w="60" w:type="dxa"/>
            <w:vAlign w:val="bottom"/>
          </w:tcPr>
          <w:p>
            <w:pPr>
              <w:spacing w:after="0"/>
              <w:rPr>
                <w:sz w:val="12"/>
                <w:szCs w:val="12"/>
                <w:color w:val="auto"/>
              </w:rPr>
            </w:pPr>
          </w:p>
        </w:tc>
        <w:tc>
          <w:tcPr>
            <w:tcW w:w="152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Common Stock</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Paid-in</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8"/>
              </w:rPr>
              <w:t>Treasury</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2"/>
                <w:szCs w:val="12"/>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10"/>
        </w:trPr>
        <w:tc>
          <w:tcPr>
            <w:tcW w:w="9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53"/>
        </w:trPr>
        <w:tc>
          <w:tcPr>
            <w:tcW w:w="98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Shares</w:t>
            </w:r>
          </w:p>
        </w:tc>
        <w:tc>
          <w:tcPr>
            <w:tcW w:w="5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5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Shares</w:t>
            </w:r>
          </w:p>
        </w:tc>
        <w:tc>
          <w:tcPr>
            <w:tcW w:w="58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3"/>
                <w:szCs w:val="1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5"/>
              </w:rPr>
              <w:t>Amount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Capital</w:t>
            </w:r>
          </w:p>
        </w:tc>
        <w:tc>
          <w:tcPr>
            <w:tcW w:w="8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Stock</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28"/>
        </w:trPr>
        <w:tc>
          <w:tcPr>
            <w:tcW w:w="9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8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Balances at</w:t>
            </w: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rPr>
              <w:t>March 31,</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2021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500,000</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   500</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1,131,669</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w w:val="93"/>
              </w:rPr>
              <w:t>$  1,100</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2,318,012</w:t>
            </w:r>
          </w:p>
        </w:tc>
        <w:tc>
          <w:tcPr>
            <w:tcW w:w="5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w w:val="89"/>
              </w:rPr>
              <w:t>$  2,300</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402,149</w:t>
            </w:r>
          </w:p>
        </w:tc>
        <w:tc>
          <w:tcPr>
            <w:tcW w:w="58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   400</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w w:val="94"/>
              </w:rPr>
              <w:t>180,751,234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w w:val="86"/>
              </w:rPr>
              <w:t>$ 180,800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w w:val="86"/>
              </w:rPr>
              <w:t>$ 315,603,100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w w:val="85"/>
              </w:rPr>
              <w:t>$ (3,968,100)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87"/>
              </w:rPr>
              <w:t>$ (219,841,600)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8"/>
              </w:rPr>
              <w:t>$  91,978,500</w:t>
            </w:r>
          </w:p>
        </w:tc>
        <w:tc>
          <w:tcPr>
            <w:tcW w:w="0" w:type="dxa"/>
            <w:vAlign w:val="bottom"/>
          </w:tcPr>
          <w:p>
            <w:pPr>
              <w:spacing w:after="0"/>
              <w:rPr>
                <w:sz w:val="1"/>
                <w:szCs w:val="1"/>
                <w:color w:val="auto"/>
              </w:rPr>
            </w:pPr>
          </w:p>
        </w:tc>
      </w:tr>
      <w:tr>
        <w:trPr>
          <w:trHeight w:val="121"/>
        </w:trPr>
        <w:tc>
          <w:tcPr>
            <w:tcW w:w="980" w:type="dxa"/>
            <w:vAlign w:val="bottom"/>
          </w:tcPr>
          <w:p>
            <w:pPr>
              <w:spacing w:after="0" w:line="121" w:lineRule="exact"/>
              <w:rPr>
                <w:sz w:val="20"/>
                <w:szCs w:val="20"/>
                <w:color w:val="auto"/>
              </w:rPr>
            </w:pPr>
            <w:r>
              <w:rPr>
                <w:rFonts w:ascii="Arial" w:cs="Arial" w:eastAsia="Arial" w:hAnsi="Arial"/>
                <w:sz w:val="13"/>
                <w:szCs w:val="13"/>
                <w:color w:val="auto"/>
              </w:rPr>
              <w:t>Accrued</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dividends on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Series B</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80"/>
              <w:spacing w:after="0"/>
              <w:rPr>
                <w:sz w:val="20"/>
                <w:szCs w:val="20"/>
                <w:color w:val="auto"/>
              </w:rPr>
            </w:pPr>
            <w:r>
              <w:rPr>
                <w:rFonts w:ascii="Arial" w:cs="Arial" w:eastAsia="Arial" w:hAnsi="Arial"/>
                <w:sz w:val="13"/>
                <w:szCs w:val="13"/>
                <w:color w:val="auto"/>
              </w:rPr>
              <w:t>Preferred</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(361,800)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3"/>
                <w:szCs w:val="13"/>
                <w:color w:val="auto"/>
              </w:rPr>
              <w:t>(361,800)</w:t>
            </w:r>
          </w:p>
        </w:tc>
        <w:tc>
          <w:tcPr>
            <w:tcW w:w="0" w:type="dxa"/>
            <w:vAlign w:val="bottom"/>
          </w:tcPr>
          <w:p>
            <w:pPr>
              <w:spacing w:after="0"/>
              <w:rPr>
                <w:sz w:val="1"/>
                <w:szCs w:val="1"/>
                <w:color w:val="auto"/>
              </w:rPr>
            </w:pPr>
          </w:p>
        </w:tc>
      </w:tr>
      <w:tr>
        <w:trPr>
          <w:trHeight w:val="121"/>
        </w:trPr>
        <w:tc>
          <w:tcPr>
            <w:tcW w:w="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Stock-based</w:t>
            </w: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6"/>
              </w:rPr>
              <w:t>compensation</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expense</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(including</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ESPP)</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590,400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590,400</w:t>
            </w:r>
          </w:p>
        </w:tc>
        <w:tc>
          <w:tcPr>
            <w:tcW w:w="0" w:type="dxa"/>
            <w:vAlign w:val="bottom"/>
          </w:tcPr>
          <w:p>
            <w:pPr>
              <w:spacing w:after="0"/>
              <w:rPr>
                <w:sz w:val="1"/>
                <w:szCs w:val="1"/>
                <w:color w:val="auto"/>
              </w:rPr>
            </w:pPr>
          </w:p>
        </w:tc>
      </w:tr>
      <w:tr>
        <w:trPr>
          <w:trHeight w:val="121"/>
        </w:trPr>
        <w:tc>
          <w:tcPr>
            <w:tcW w:w="980" w:type="dxa"/>
            <w:vAlign w:val="bottom"/>
          </w:tcPr>
          <w:p>
            <w:pPr>
              <w:spacing w:after="0" w:line="121" w:lineRule="exact"/>
              <w:rPr>
                <w:sz w:val="20"/>
                <w:szCs w:val="20"/>
                <w:color w:val="auto"/>
              </w:rPr>
            </w:pPr>
            <w:r>
              <w:rPr>
                <w:rFonts w:ascii="Arial" w:cs="Arial" w:eastAsia="Arial" w:hAnsi="Arial"/>
                <w:sz w:val="13"/>
                <w:szCs w:val="13"/>
                <w:color w:val="auto"/>
              </w:rPr>
              <w:t>Proceeds from</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exercise of</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80"/>
              <w:spacing w:after="0"/>
              <w:rPr>
                <w:sz w:val="20"/>
                <w:szCs w:val="20"/>
                <w:color w:val="auto"/>
              </w:rPr>
            </w:pPr>
            <w:r>
              <w:rPr>
                <w:rFonts w:ascii="Arial" w:cs="Arial" w:eastAsia="Arial" w:hAnsi="Arial"/>
                <w:sz w:val="13"/>
                <w:szCs w:val="13"/>
                <w:color w:val="auto"/>
              </w:rPr>
              <w:t>warrants</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1,516,768</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1,500</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1,108,200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1,109,700</w:t>
            </w:r>
          </w:p>
        </w:tc>
        <w:tc>
          <w:tcPr>
            <w:tcW w:w="0" w:type="dxa"/>
            <w:vAlign w:val="bottom"/>
          </w:tcPr>
          <w:p>
            <w:pPr>
              <w:spacing w:after="0"/>
              <w:rPr>
                <w:sz w:val="1"/>
                <w:szCs w:val="1"/>
                <w:color w:val="auto"/>
              </w:rPr>
            </w:pPr>
          </w:p>
        </w:tc>
      </w:tr>
      <w:tr>
        <w:trPr>
          <w:trHeight w:val="121"/>
        </w:trPr>
        <w:tc>
          <w:tcPr>
            <w:tcW w:w="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Conversion of</w:t>
            </w: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Series D</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Preferred</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stock into</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3"/>
              </w:rPr>
              <w:t>common stock</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(402,149)</w:t>
            </w:r>
          </w:p>
        </w:tc>
        <w:tc>
          <w:tcPr>
            <w:tcW w:w="580" w:type="dxa"/>
            <w:vAlign w:val="bottom"/>
            <w:tcBorders>
              <w:right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(400)</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9,249,427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9,200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(8,800)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line="121" w:lineRule="exact"/>
              <w:rPr>
                <w:sz w:val="20"/>
                <w:szCs w:val="20"/>
                <w:color w:val="auto"/>
              </w:rPr>
            </w:pPr>
            <w:r>
              <w:rPr>
                <w:rFonts w:ascii="Arial" w:cs="Arial" w:eastAsia="Arial" w:hAnsi="Arial"/>
                <w:sz w:val="13"/>
                <w:szCs w:val="13"/>
                <w:color w:val="auto"/>
              </w:rPr>
              <w:t>Sale of common</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w w:val="92"/>
              </w:rPr>
              <w:t>stock pursuant</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to 2019</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Employee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Stock</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80"/>
              <w:spacing w:after="0"/>
              <w:rPr>
                <w:sz w:val="20"/>
                <w:szCs w:val="20"/>
                <w:color w:val="auto"/>
              </w:rPr>
            </w:pPr>
            <w:r>
              <w:rPr>
                <w:rFonts w:ascii="Arial" w:cs="Arial" w:eastAsia="Arial" w:hAnsi="Arial"/>
                <w:sz w:val="13"/>
                <w:szCs w:val="13"/>
                <w:color w:val="auto"/>
                <w:w w:val="92"/>
              </w:rPr>
              <w:t>Purchase Plan</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16,251</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31,600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31,600</w:t>
            </w:r>
          </w:p>
        </w:tc>
        <w:tc>
          <w:tcPr>
            <w:tcW w:w="0" w:type="dxa"/>
            <w:vAlign w:val="bottom"/>
          </w:tcPr>
          <w:p>
            <w:pPr>
              <w:spacing w:after="0"/>
              <w:rPr>
                <w:sz w:val="1"/>
                <w:szCs w:val="1"/>
                <w:color w:val="auto"/>
              </w:rPr>
            </w:pPr>
          </w:p>
        </w:tc>
      </w:tr>
      <w:tr>
        <w:trPr>
          <w:trHeight w:val="121"/>
        </w:trPr>
        <w:tc>
          <w:tcPr>
            <w:tcW w:w="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Issuance of</w:t>
            </w: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3"/>
              </w:rPr>
              <w:t>common stock</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3"/>
              </w:rPr>
              <w:t>upon cashless</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exercise of</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options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82,504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1"/>
        </w:trPr>
        <w:tc>
          <w:tcPr>
            <w:tcW w:w="980" w:type="dxa"/>
            <w:vAlign w:val="bottom"/>
          </w:tcPr>
          <w:p>
            <w:pPr>
              <w:spacing w:after="0" w:line="121" w:lineRule="exact"/>
              <w:rPr>
                <w:sz w:val="20"/>
                <w:szCs w:val="20"/>
                <w:color w:val="auto"/>
              </w:rPr>
            </w:pPr>
            <w:r>
              <w:rPr>
                <w:rFonts w:ascii="Arial" w:cs="Arial" w:eastAsia="Arial" w:hAnsi="Arial"/>
                <w:sz w:val="13"/>
                <w:szCs w:val="13"/>
                <w:color w:val="auto"/>
              </w:rPr>
              <w:t>Issuance of</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w w:val="93"/>
              </w:rPr>
              <w:t>common stock</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w w:val="96"/>
              </w:rPr>
              <w:t>upon exercise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of options for</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80"/>
              <w:spacing w:after="0"/>
              <w:rPr>
                <w:sz w:val="20"/>
                <w:szCs w:val="20"/>
                <w:color w:val="auto"/>
              </w:rPr>
            </w:pPr>
            <w:r>
              <w:rPr>
                <w:rFonts w:ascii="Arial" w:cs="Arial" w:eastAsia="Arial" w:hAnsi="Arial"/>
                <w:sz w:val="13"/>
                <w:szCs w:val="13"/>
                <w:color w:val="auto"/>
              </w:rPr>
              <w:t>cash</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15,824</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12,900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12,900</w:t>
            </w: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line="121" w:lineRule="exact"/>
              <w:rPr>
                <w:sz w:val="20"/>
                <w:szCs w:val="20"/>
                <w:color w:val="auto"/>
              </w:rPr>
            </w:pPr>
            <w:r>
              <w:rPr>
                <w:rFonts w:ascii="Arial" w:cs="Arial" w:eastAsia="Arial" w:hAnsi="Arial"/>
                <w:sz w:val="13"/>
                <w:szCs w:val="13"/>
                <w:color w:val="auto"/>
              </w:rPr>
              <w:t>Net loss for</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w w:val="96"/>
              </w:rPr>
              <w:t>quarter ended</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(7,744,600)</w:t>
            </w: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(7,744,600)</w:t>
            </w:r>
          </w:p>
        </w:tc>
        <w:tc>
          <w:tcPr>
            <w:tcW w:w="0" w:type="dxa"/>
            <w:vAlign w:val="bottom"/>
          </w:tcPr>
          <w:p>
            <w:pPr>
              <w:spacing w:after="0"/>
              <w:rPr>
                <w:sz w:val="1"/>
                <w:szCs w:val="1"/>
                <w:color w:val="auto"/>
              </w:rPr>
            </w:pPr>
          </w:p>
        </w:tc>
      </w:tr>
      <w:tr>
        <w:trPr>
          <w:trHeight w:val="136"/>
        </w:trPr>
        <w:tc>
          <w:tcPr>
            <w:tcW w:w="980" w:type="dxa"/>
            <w:vAlign w:val="bottom"/>
          </w:tcPr>
          <w:p>
            <w:pPr>
              <w:ind w:left="180"/>
              <w:spacing w:after="0" w:line="136" w:lineRule="exact"/>
              <w:rPr>
                <w:sz w:val="20"/>
                <w:szCs w:val="20"/>
                <w:color w:val="auto"/>
              </w:rPr>
            </w:pPr>
            <w:r>
              <w:rPr>
                <w:rFonts w:ascii="Arial" w:cs="Arial" w:eastAsia="Arial" w:hAnsi="Arial"/>
                <w:sz w:val="13"/>
                <w:szCs w:val="13"/>
                <w:color w:val="auto"/>
                <w:w w:val="94"/>
              </w:rPr>
              <w:t>June 30, 2021</w:t>
            </w:r>
          </w:p>
        </w:tc>
        <w:tc>
          <w:tcPr>
            <w:tcW w:w="680" w:type="dxa"/>
            <w:vAlign w:val="bottom"/>
            <w:gridSpan w:val="2"/>
            <w:vMerge w:val="continue"/>
          </w:tcPr>
          <w:p>
            <w:pPr>
              <w:spacing w:after="0"/>
              <w:rPr>
                <w:sz w:val="11"/>
                <w:szCs w:val="11"/>
                <w:color w:val="auto"/>
              </w:rPr>
            </w:pPr>
          </w:p>
        </w:tc>
        <w:tc>
          <w:tcPr>
            <w:tcW w:w="52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6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4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80" w:type="dxa"/>
            <w:vAlign w:val="bottom"/>
            <w:tcBorders>
              <w:right w:val="single" w:sz="8" w:color="auto"/>
            </w:tcBorders>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980" w:type="dxa"/>
            <w:vAlign w:val="bottom"/>
            <w:shd w:val="clear" w:color="auto" w:fill="CCEEFF"/>
          </w:tcPr>
          <w:p>
            <w:pPr>
              <w:spacing w:after="0" w:line="110" w:lineRule="exact"/>
              <w:rPr>
                <w:sz w:val="20"/>
                <w:szCs w:val="20"/>
                <w:color w:val="auto"/>
              </w:rPr>
            </w:pPr>
            <w:r>
              <w:rPr>
                <w:rFonts w:ascii="Arial" w:cs="Arial" w:eastAsia="Arial" w:hAnsi="Arial"/>
                <w:sz w:val="12"/>
                <w:szCs w:val="12"/>
                <w:b w:val="1"/>
                <w:bCs w:val="1"/>
                <w:color w:val="auto"/>
                <w:w w:val="97"/>
              </w:rPr>
              <w:t>Balances at June</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500,000</w:t>
            </w:r>
          </w:p>
        </w:tc>
        <w:tc>
          <w:tcPr>
            <w:tcW w:w="5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500</w:t>
            </w: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1,131,669</w:t>
            </w:r>
          </w:p>
        </w:tc>
        <w:tc>
          <w:tcPr>
            <w:tcW w:w="56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1,100</w:t>
            </w: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2,318,012</w:t>
            </w:r>
          </w:p>
        </w:tc>
        <w:tc>
          <w:tcPr>
            <w:tcW w:w="54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2,300</w:t>
            </w:r>
          </w:p>
        </w:tc>
        <w:tc>
          <w:tcPr>
            <w:tcW w:w="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gridSpan w:val="3"/>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b w:val="1"/>
                <w:bCs w:val="1"/>
                <w:color w:val="auto"/>
                <w:w w:val="94"/>
              </w:rPr>
              <w:t>191,632,008</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191,600</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w w:val="99"/>
              </w:rPr>
              <w:t>316,975,600</w:t>
            </w: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b w:val="1"/>
                <w:bCs w:val="1"/>
                <w:color w:val="auto"/>
                <w:w w:val="99"/>
              </w:rPr>
              <w:t>(3,968,100)</w:t>
            </w:r>
          </w:p>
        </w:tc>
        <w:tc>
          <w:tcPr>
            <w:tcW w:w="8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98"/>
              </w:rPr>
              <w:t>(227,586,200)</w:t>
            </w:r>
          </w:p>
        </w:tc>
        <w:tc>
          <w:tcPr>
            <w:tcW w:w="8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85,616,800</w:t>
            </w:r>
          </w:p>
        </w:tc>
        <w:tc>
          <w:tcPr>
            <w:tcW w:w="0" w:type="dxa"/>
            <w:vAlign w:val="bottom"/>
          </w:tcPr>
          <w:p>
            <w:pPr>
              <w:spacing w:after="0"/>
              <w:rPr>
                <w:sz w:val="1"/>
                <w:szCs w:val="1"/>
                <w:color w:val="auto"/>
              </w:rPr>
            </w:pPr>
          </w:p>
        </w:tc>
      </w:tr>
      <w:tr>
        <w:trPr>
          <w:trHeight w:val="140"/>
        </w:trPr>
        <w:tc>
          <w:tcPr>
            <w:tcW w:w="98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b w:val="1"/>
                <w:bCs w:val="1"/>
                <w:color w:val="auto"/>
              </w:rPr>
              <w:t>30, 2021</w:t>
            </w:r>
          </w:p>
        </w:tc>
        <w:tc>
          <w:tcPr>
            <w:tcW w:w="680" w:type="dxa"/>
            <w:vAlign w:val="bottom"/>
            <w:gridSpan w:val="2"/>
            <w:vMerge w:val="continue"/>
            <w:shd w:val="clear" w:color="auto" w:fill="CCEEFF"/>
          </w:tcPr>
          <w:p>
            <w:pPr>
              <w:spacing w:after="0"/>
              <w:rPr>
                <w:sz w:val="12"/>
                <w:szCs w:val="12"/>
                <w:color w:val="auto"/>
              </w:rPr>
            </w:pPr>
          </w:p>
        </w:tc>
        <w:tc>
          <w:tcPr>
            <w:tcW w:w="520" w:type="dxa"/>
            <w:vAlign w:val="bottom"/>
            <w:tcBorders>
              <w:right w:val="single" w:sz="8" w:color="auto"/>
            </w:tcBorders>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560" w:type="dxa"/>
            <w:vAlign w:val="bottom"/>
            <w:tcBorders>
              <w:right w:val="single" w:sz="8" w:color="auto"/>
            </w:tcBorders>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540" w:type="dxa"/>
            <w:vAlign w:val="bottom"/>
            <w:tcBorders>
              <w:right w:val="single" w:sz="8" w:color="auto"/>
            </w:tcBorders>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580" w:type="dxa"/>
            <w:vAlign w:val="bottom"/>
            <w:tcBorders>
              <w:right w:val="single" w:sz="8" w:color="auto"/>
            </w:tcBorders>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8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80" w:type="dxa"/>
            <w:vAlign w:val="bottom"/>
            <w:tcBorders>
              <w:top w:val="single" w:sz="8" w:color="CCEEFF"/>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CCEEFF"/>
              <w:right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CCEEFF"/>
              <w:right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CCEEFF"/>
              <w:right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CCEEFF"/>
              <w:right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Accrued</w:t>
            </w: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dividends on</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Series B</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Preferred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(375,200)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(375,200)</w:t>
            </w:r>
          </w:p>
        </w:tc>
        <w:tc>
          <w:tcPr>
            <w:tcW w:w="0" w:type="dxa"/>
            <w:vAlign w:val="bottom"/>
          </w:tcPr>
          <w:p>
            <w:pPr>
              <w:spacing w:after="0"/>
              <w:rPr>
                <w:sz w:val="1"/>
                <w:szCs w:val="1"/>
                <w:color w:val="auto"/>
              </w:rPr>
            </w:pPr>
          </w:p>
        </w:tc>
      </w:tr>
      <w:tr>
        <w:trPr>
          <w:trHeight w:val="121"/>
        </w:trPr>
        <w:tc>
          <w:tcPr>
            <w:tcW w:w="980" w:type="dxa"/>
            <w:vAlign w:val="bottom"/>
          </w:tcPr>
          <w:p>
            <w:pPr>
              <w:spacing w:after="0" w:line="121" w:lineRule="exact"/>
              <w:rPr>
                <w:sz w:val="20"/>
                <w:szCs w:val="20"/>
                <w:color w:val="auto"/>
              </w:rPr>
            </w:pPr>
            <w:r>
              <w:rPr>
                <w:rFonts w:ascii="Arial" w:cs="Arial" w:eastAsia="Arial" w:hAnsi="Arial"/>
                <w:sz w:val="13"/>
                <w:szCs w:val="13"/>
                <w:color w:val="auto"/>
              </w:rPr>
              <w:t>Stock-based</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w w:val="96"/>
              </w:rPr>
              <w:t>compensation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expense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(including</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80"/>
              <w:spacing w:after="0"/>
              <w:rPr>
                <w:sz w:val="20"/>
                <w:szCs w:val="20"/>
                <w:color w:val="auto"/>
              </w:rPr>
            </w:pPr>
            <w:r>
              <w:rPr>
                <w:rFonts w:ascii="Arial" w:cs="Arial" w:eastAsia="Arial" w:hAnsi="Arial"/>
                <w:sz w:val="13"/>
                <w:szCs w:val="13"/>
                <w:color w:val="auto"/>
              </w:rPr>
              <w:t>ESPP)</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764,500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764,500</w:t>
            </w:r>
          </w:p>
        </w:tc>
        <w:tc>
          <w:tcPr>
            <w:tcW w:w="0" w:type="dxa"/>
            <w:vAlign w:val="bottom"/>
          </w:tcPr>
          <w:p>
            <w:pPr>
              <w:spacing w:after="0"/>
              <w:rPr>
                <w:sz w:val="1"/>
                <w:szCs w:val="1"/>
                <w:color w:val="auto"/>
              </w:rPr>
            </w:pPr>
          </w:p>
        </w:tc>
      </w:tr>
      <w:tr>
        <w:trPr>
          <w:trHeight w:val="121"/>
        </w:trPr>
        <w:tc>
          <w:tcPr>
            <w:tcW w:w="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Proceeds from</w:t>
            </w: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exercise of</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warrants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3,297,777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3,300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3,141,800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3,145,100</w:t>
            </w:r>
          </w:p>
        </w:tc>
        <w:tc>
          <w:tcPr>
            <w:tcW w:w="0" w:type="dxa"/>
            <w:vAlign w:val="bottom"/>
          </w:tcPr>
          <w:p>
            <w:pPr>
              <w:spacing w:after="0"/>
              <w:rPr>
                <w:sz w:val="1"/>
                <w:szCs w:val="1"/>
                <w:color w:val="auto"/>
              </w:rPr>
            </w:pPr>
          </w:p>
        </w:tc>
      </w:tr>
      <w:tr>
        <w:trPr>
          <w:trHeight w:val="121"/>
        </w:trPr>
        <w:tc>
          <w:tcPr>
            <w:tcW w:w="980" w:type="dxa"/>
            <w:vAlign w:val="bottom"/>
          </w:tcPr>
          <w:p>
            <w:pPr>
              <w:spacing w:after="0" w:line="121" w:lineRule="exact"/>
              <w:rPr>
                <w:sz w:val="20"/>
                <w:szCs w:val="20"/>
                <w:color w:val="auto"/>
              </w:rPr>
            </w:pPr>
            <w:r>
              <w:rPr>
                <w:rFonts w:ascii="Arial" w:cs="Arial" w:eastAsia="Arial" w:hAnsi="Arial"/>
                <w:sz w:val="13"/>
                <w:szCs w:val="13"/>
                <w:color w:val="auto"/>
              </w:rPr>
              <w:t>Net proceeds</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w w:val="96"/>
              </w:rPr>
              <w:t>from issuance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of common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stock under</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80"/>
              <w:spacing w:after="0"/>
              <w:rPr>
                <w:sz w:val="20"/>
                <w:szCs w:val="20"/>
                <w:color w:val="auto"/>
              </w:rPr>
            </w:pPr>
            <w:r>
              <w:rPr>
                <w:rFonts w:ascii="Arial" w:cs="Arial" w:eastAsia="Arial" w:hAnsi="Arial"/>
                <w:sz w:val="13"/>
                <w:szCs w:val="13"/>
                <w:color w:val="auto"/>
              </w:rPr>
              <w:t>ATM facility</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1,502,378</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1,500</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4,256,300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4,257,800</w:t>
            </w:r>
          </w:p>
        </w:tc>
        <w:tc>
          <w:tcPr>
            <w:tcW w:w="0" w:type="dxa"/>
            <w:vAlign w:val="bottom"/>
          </w:tcPr>
          <w:p>
            <w:pPr>
              <w:spacing w:after="0"/>
              <w:rPr>
                <w:sz w:val="1"/>
                <w:szCs w:val="1"/>
                <w:color w:val="auto"/>
              </w:rPr>
            </w:pPr>
          </w:p>
        </w:tc>
      </w:tr>
      <w:tr>
        <w:trPr>
          <w:trHeight w:val="121"/>
        </w:trPr>
        <w:tc>
          <w:tcPr>
            <w:tcW w:w="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Issuance of</w:t>
            </w: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3"/>
              </w:rPr>
              <w:t>common stock</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3"/>
              </w:rPr>
              <w:t>upon cashless</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exercise of</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options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43,622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line="121" w:lineRule="exact"/>
              <w:rPr>
                <w:sz w:val="20"/>
                <w:szCs w:val="20"/>
                <w:color w:val="auto"/>
              </w:rPr>
            </w:pPr>
            <w:r>
              <w:rPr>
                <w:rFonts w:ascii="Arial" w:cs="Arial" w:eastAsia="Arial" w:hAnsi="Arial"/>
                <w:sz w:val="13"/>
                <w:szCs w:val="13"/>
                <w:color w:val="auto"/>
              </w:rPr>
              <w:t>Issuance of</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w w:val="93"/>
              </w:rPr>
              <w:t>common stock</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w w:val="96"/>
              </w:rPr>
              <w:t>upon exercise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of options for</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80"/>
              <w:spacing w:after="0"/>
              <w:rPr>
                <w:sz w:val="20"/>
                <w:szCs w:val="20"/>
                <w:color w:val="auto"/>
              </w:rPr>
            </w:pPr>
            <w:r>
              <w:rPr>
                <w:rFonts w:ascii="Arial" w:cs="Arial" w:eastAsia="Arial" w:hAnsi="Arial"/>
                <w:sz w:val="13"/>
                <w:szCs w:val="13"/>
                <w:color w:val="auto"/>
              </w:rPr>
              <w:t>cash</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83,000</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45,000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45,100</w:t>
            </w: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line="121" w:lineRule="exact"/>
              <w:rPr>
                <w:sz w:val="20"/>
                <w:szCs w:val="20"/>
                <w:color w:val="auto"/>
              </w:rPr>
            </w:pPr>
            <w:r>
              <w:rPr>
                <w:rFonts w:ascii="Arial" w:cs="Arial" w:eastAsia="Arial" w:hAnsi="Arial"/>
                <w:sz w:val="13"/>
                <w:szCs w:val="13"/>
                <w:color w:val="auto"/>
              </w:rPr>
              <w:t>Net loss for</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w w:val="96"/>
              </w:rPr>
              <w:t>quarter ended</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w w:val="91"/>
              </w:rPr>
              <w:t>September 30,</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80"/>
              <w:spacing w:after="0"/>
              <w:rPr>
                <w:sz w:val="20"/>
                <w:szCs w:val="20"/>
                <w:color w:val="auto"/>
              </w:rPr>
            </w:pPr>
            <w:r>
              <w:rPr>
                <w:rFonts w:ascii="Arial" w:cs="Arial" w:eastAsia="Arial" w:hAnsi="Arial"/>
                <w:sz w:val="13"/>
                <w:szCs w:val="13"/>
                <w:color w:val="auto"/>
              </w:rPr>
              <w:t>2021</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(12,794,400)</w:t>
            </w:r>
          </w:p>
        </w:tc>
        <w:tc>
          <w:tcPr>
            <w:tcW w:w="880" w:type="dxa"/>
            <w:vAlign w:val="bottom"/>
            <w:gridSpan w:val="3"/>
          </w:tcPr>
          <w:p>
            <w:pPr>
              <w:jc w:val="right"/>
              <w:ind w:right="40"/>
              <w:spacing w:after="0"/>
              <w:rPr>
                <w:sz w:val="20"/>
                <w:szCs w:val="20"/>
                <w:color w:val="auto"/>
              </w:rPr>
            </w:pPr>
            <w:r>
              <w:rPr>
                <w:rFonts w:ascii="Arial" w:cs="Arial" w:eastAsia="Arial" w:hAnsi="Arial"/>
                <w:sz w:val="13"/>
                <w:szCs w:val="13"/>
                <w:color w:val="auto"/>
              </w:rPr>
              <w:t>(12,794,400)</w:t>
            </w:r>
          </w:p>
        </w:tc>
        <w:tc>
          <w:tcPr>
            <w:tcW w:w="0" w:type="dxa"/>
            <w:vAlign w:val="bottom"/>
          </w:tcPr>
          <w:p>
            <w:pPr>
              <w:spacing w:after="0"/>
              <w:rPr>
                <w:sz w:val="1"/>
                <w:szCs w:val="1"/>
                <w:color w:val="auto"/>
              </w:rPr>
            </w:pPr>
          </w:p>
        </w:tc>
      </w:tr>
      <w:tr>
        <w:trPr>
          <w:trHeight w:val="135"/>
        </w:trPr>
        <w:tc>
          <w:tcPr>
            <w:tcW w:w="9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980" w:type="dxa"/>
            <w:vAlign w:val="bottom"/>
          </w:tcPr>
          <w:p>
            <w:pPr>
              <w:spacing w:after="0" w:line="110" w:lineRule="exact"/>
              <w:rPr>
                <w:sz w:val="20"/>
                <w:szCs w:val="20"/>
                <w:color w:val="auto"/>
              </w:rPr>
            </w:pPr>
            <w:r>
              <w:rPr>
                <w:rFonts w:ascii="Arial" w:cs="Arial" w:eastAsia="Arial" w:hAnsi="Arial"/>
                <w:sz w:val="12"/>
                <w:szCs w:val="12"/>
                <w:b w:val="1"/>
                <w:bCs w:val="1"/>
                <w:color w:val="auto"/>
              </w:rPr>
              <w:t>Balances at</w:t>
            </w: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b w:val="1"/>
                <w:bCs w:val="1"/>
                <w:color w:val="auto"/>
              </w:rPr>
              <w:t>September</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500,000</w:t>
            </w:r>
          </w:p>
        </w:tc>
        <w:tc>
          <w:tcPr>
            <w:tcW w:w="520" w:type="dxa"/>
            <w:vAlign w:val="bottom"/>
            <w:tcBorders>
              <w:right w:val="single" w:sz="8" w:color="auto"/>
            </w:tcBorders>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500</w:t>
            </w:r>
          </w:p>
        </w:tc>
        <w:tc>
          <w:tcPr>
            <w:tcW w:w="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1,131,669</w:t>
            </w:r>
          </w:p>
        </w:tc>
        <w:tc>
          <w:tcPr>
            <w:tcW w:w="560" w:type="dxa"/>
            <w:vAlign w:val="bottom"/>
            <w:tcBorders>
              <w:right w:val="single" w:sz="8" w:color="auto"/>
            </w:tcBorders>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1,100</w:t>
            </w:r>
          </w:p>
        </w:tc>
        <w:tc>
          <w:tcPr>
            <w:tcW w:w="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2,318,012</w:t>
            </w:r>
          </w:p>
        </w:tc>
        <w:tc>
          <w:tcPr>
            <w:tcW w:w="540" w:type="dxa"/>
            <w:vAlign w:val="bottom"/>
            <w:tcBorders>
              <w:right w:val="single" w:sz="8" w:color="auto"/>
            </w:tcBorders>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2,300</w:t>
            </w:r>
          </w:p>
        </w:tc>
        <w:tc>
          <w:tcPr>
            <w:tcW w:w="60" w:type="dxa"/>
            <w:vAlign w:val="bottom"/>
          </w:tcPr>
          <w:p>
            <w:pPr>
              <w:spacing w:after="0"/>
              <w:rPr>
                <w:sz w:val="11"/>
                <w:szCs w:val="11"/>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gridSpan w:val="3"/>
            <w:vMerge w:val="restart"/>
          </w:tcPr>
          <w:p>
            <w:pPr>
              <w:jc w:val="right"/>
              <w:ind w:right="10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w w:val="94"/>
              </w:rPr>
              <w:t>196,558,785</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196,500</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9"/>
              </w:rPr>
              <w:t>324,808,000</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99"/>
              </w:rPr>
              <w:t>(3,968,100)</w:t>
            </w: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w w:val="98"/>
              </w:rPr>
              <w:t>(240,380,600)</w:t>
            </w: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3"/>
                <w:szCs w:val="13"/>
                <w:b w:val="1"/>
                <w:bCs w:val="1"/>
                <w:color w:val="auto"/>
              </w:rPr>
              <w:t>80,659,700</w:t>
            </w:r>
          </w:p>
        </w:tc>
        <w:tc>
          <w:tcPr>
            <w:tcW w:w="0" w:type="dxa"/>
            <w:vAlign w:val="bottom"/>
          </w:tcPr>
          <w:p>
            <w:pPr>
              <w:spacing w:after="0"/>
              <w:rPr>
                <w:sz w:val="1"/>
                <w:szCs w:val="1"/>
                <w:color w:val="auto"/>
              </w:rPr>
            </w:pPr>
          </w:p>
        </w:tc>
      </w:tr>
      <w:tr>
        <w:trPr>
          <w:trHeight w:val="140"/>
        </w:trPr>
        <w:tc>
          <w:tcPr>
            <w:tcW w:w="980" w:type="dxa"/>
            <w:vAlign w:val="bottom"/>
          </w:tcPr>
          <w:p>
            <w:pPr>
              <w:ind w:left="180"/>
              <w:spacing w:after="0" w:line="140" w:lineRule="exact"/>
              <w:rPr>
                <w:sz w:val="20"/>
                <w:szCs w:val="20"/>
                <w:color w:val="auto"/>
              </w:rPr>
            </w:pPr>
            <w:r>
              <w:rPr>
                <w:rFonts w:ascii="Arial" w:cs="Arial" w:eastAsia="Arial" w:hAnsi="Arial"/>
                <w:sz w:val="13"/>
                <w:szCs w:val="13"/>
                <w:b w:val="1"/>
                <w:bCs w:val="1"/>
                <w:color w:val="auto"/>
              </w:rPr>
              <w:t>30, 2021</w:t>
            </w:r>
          </w:p>
        </w:tc>
        <w:tc>
          <w:tcPr>
            <w:tcW w:w="680" w:type="dxa"/>
            <w:vAlign w:val="bottom"/>
            <w:gridSpan w:val="2"/>
            <w:vMerge w:val="continue"/>
          </w:tcPr>
          <w:p>
            <w:pPr>
              <w:spacing w:after="0"/>
              <w:rPr>
                <w:sz w:val="12"/>
                <w:szCs w:val="12"/>
                <w:color w:val="auto"/>
              </w:rPr>
            </w:pPr>
          </w:p>
        </w:tc>
        <w:tc>
          <w:tcPr>
            <w:tcW w:w="5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6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4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80" w:type="dxa"/>
            <w:vAlign w:val="bottom"/>
            <w:tcBorders>
              <w:right w:val="single" w:sz="8" w:color="auto"/>
            </w:tcBorders>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line="121" w:lineRule="exact"/>
              <w:rPr>
                <w:sz w:val="20"/>
                <w:szCs w:val="20"/>
                <w:color w:val="auto"/>
              </w:rPr>
            </w:pPr>
            <w:r>
              <w:rPr>
                <w:rFonts w:ascii="Arial" w:cs="Arial" w:eastAsia="Arial" w:hAnsi="Arial"/>
                <w:sz w:val="13"/>
                <w:szCs w:val="13"/>
                <w:color w:val="auto"/>
              </w:rPr>
              <w:t>Accrued</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dividends on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Series B</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80"/>
              <w:spacing w:after="0"/>
              <w:rPr>
                <w:sz w:val="20"/>
                <w:szCs w:val="20"/>
                <w:color w:val="auto"/>
              </w:rPr>
            </w:pPr>
            <w:r>
              <w:rPr>
                <w:rFonts w:ascii="Arial" w:cs="Arial" w:eastAsia="Arial" w:hAnsi="Arial"/>
                <w:sz w:val="13"/>
                <w:szCs w:val="13"/>
                <w:color w:val="auto"/>
              </w:rPr>
              <w:t>Preferred</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(208,100)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3"/>
                <w:szCs w:val="13"/>
                <w:color w:val="auto"/>
              </w:rPr>
              <w:t>(208,100)</w:t>
            </w:r>
          </w:p>
        </w:tc>
        <w:tc>
          <w:tcPr>
            <w:tcW w:w="0" w:type="dxa"/>
            <w:vAlign w:val="bottom"/>
          </w:tcPr>
          <w:p>
            <w:pPr>
              <w:spacing w:after="0"/>
              <w:rPr>
                <w:sz w:val="1"/>
                <w:szCs w:val="1"/>
                <w:color w:val="auto"/>
              </w:rPr>
            </w:pPr>
          </w:p>
        </w:tc>
      </w:tr>
      <w:tr>
        <w:trPr>
          <w:trHeight w:val="121"/>
        </w:trPr>
        <w:tc>
          <w:tcPr>
            <w:tcW w:w="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Stock-based</w:t>
            </w: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6"/>
              </w:rPr>
              <w:t>compensation</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expense</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(including</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ESPP)</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723,800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723,800</w:t>
            </w:r>
          </w:p>
        </w:tc>
        <w:tc>
          <w:tcPr>
            <w:tcW w:w="0" w:type="dxa"/>
            <w:vAlign w:val="bottom"/>
          </w:tcPr>
          <w:p>
            <w:pPr>
              <w:spacing w:after="0"/>
              <w:rPr>
                <w:sz w:val="1"/>
                <w:szCs w:val="1"/>
                <w:color w:val="auto"/>
              </w:rPr>
            </w:pPr>
          </w:p>
        </w:tc>
      </w:tr>
      <w:tr>
        <w:trPr>
          <w:trHeight w:val="121"/>
        </w:trPr>
        <w:tc>
          <w:tcPr>
            <w:tcW w:w="980" w:type="dxa"/>
            <w:vAlign w:val="bottom"/>
          </w:tcPr>
          <w:p>
            <w:pPr>
              <w:spacing w:after="0" w:line="121" w:lineRule="exact"/>
              <w:rPr>
                <w:sz w:val="20"/>
                <w:szCs w:val="20"/>
                <w:color w:val="auto"/>
              </w:rPr>
            </w:pPr>
            <w:r>
              <w:rPr>
                <w:rFonts w:ascii="Arial" w:cs="Arial" w:eastAsia="Arial" w:hAnsi="Arial"/>
                <w:sz w:val="13"/>
                <w:szCs w:val="13"/>
                <w:color w:val="auto"/>
              </w:rPr>
              <w:t>Proceeds from</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exercise of</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80"/>
              <w:spacing w:after="0"/>
              <w:rPr>
                <w:sz w:val="20"/>
                <w:szCs w:val="20"/>
                <w:color w:val="auto"/>
              </w:rPr>
            </w:pPr>
            <w:r>
              <w:rPr>
                <w:rFonts w:ascii="Arial" w:cs="Arial" w:eastAsia="Arial" w:hAnsi="Arial"/>
                <w:sz w:val="13"/>
                <w:szCs w:val="13"/>
                <w:color w:val="auto"/>
              </w:rPr>
              <w:t>warrants</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2,484,246</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2,500</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1,950,100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1,952,600</w:t>
            </w:r>
          </w:p>
        </w:tc>
        <w:tc>
          <w:tcPr>
            <w:tcW w:w="0" w:type="dxa"/>
            <w:vAlign w:val="bottom"/>
          </w:tcPr>
          <w:p>
            <w:pPr>
              <w:spacing w:after="0"/>
              <w:rPr>
                <w:sz w:val="1"/>
                <w:szCs w:val="1"/>
                <w:color w:val="auto"/>
              </w:rPr>
            </w:pPr>
          </w:p>
        </w:tc>
      </w:tr>
      <w:tr>
        <w:trPr>
          <w:trHeight w:val="121"/>
        </w:trPr>
        <w:tc>
          <w:tcPr>
            <w:tcW w:w="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Net proceeds</w:t>
            </w: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6"/>
              </w:rPr>
              <w:t>from issuance</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of common</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stock under</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ATM facility</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15,420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41,300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41,300</w:t>
            </w:r>
          </w:p>
        </w:tc>
        <w:tc>
          <w:tcPr>
            <w:tcW w:w="0" w:type="dxa"/>
            <w:vAlign w:val="bottom"/>
          </w:tcPr>
          <w:p>
            <w:pPr>
              <w:spacing w:after="0"/>
              <w:rPr>
                <w:sz w:val="1"/>
                <w:szCs w:val="1"/>
                <w:color w:val="auto"/>
              </w:rPr>
            </w:pPr>
          </w:p>
        </w:tc>
      </w:tr>
      <w:tr>
        <w:trPr>
          <w:trHeight w:val="121"/>
        </w:trPr>
        <w:tc>
          <w:tcPr>
            <w:tcW w:w="980" w:type="dxa"/>
            <w:vAlign w:val="bottom"/>
          </w:tcPr>
          <w:p>
            <w:pPr>
              <w:spacing w:after="0" w:line="121" w:lineRule="exact"/>
              <w:rPr>
                <w:sz w:val="20"/>
                <w:szCs w:val="20"/>
                <w:color w:val="auto"/>
              </w:rPr>
            </w:pPr>
            <w:r>
              <w:rPr>
                <w:rFonts w:ascii="Arial" w:cs="Arial" w:eastAsia="Arial" w:hAnsi="Arial"/>
                <w:sz w:val="13"/>
                <w:szCs w:val="13"/>
                <w:color w:val="auto"/>
              </w:rPr>
              <w:t>Conversion of</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Series C</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w w:val="98"/>
              </w:rPr>
              <w:t>Preferred into</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80"/>
              <w:spacing w:after="0"/>
              <w:rPr>
                <w:sz w:val="20"/>
                <w:szCs w:val="20"/>
                <w:color w:val="auto"/>
              </w:rPr>
            </w:pPr>
            <w:r>
              <w:rPr>
                <w:rFonts w:ascii="Arial" w:cs="Arial" w:eastAsia="Arial" w:hAnsi="Arial"/>
                <w:sz w:val="13"/>
                <w:szCs w:val="13"/>
                <w:color w:val="auto"/>
                <w:w w:val="93"/>
              </w:rPr>
              <w:t>common stock</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(2,318,012)</w:t>
            </w:r>
          </w:p>
        </w:tc>
        <w:tc>
          <w:tcPr>
            <w:tcW w:w="5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(2,300)</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2,318,012</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2,300</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Conversion of</w:t>
            </w:r>
          </w:p>
        </w:tc>
        <w:tc>
          <w:tcPr>
            <w:tcW w:w="6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w w:val="96"/>
              </w:rPr>
              <w:t>(1,131,669)</w:t>
            </w:r>
          </w:p>
        </w:tc>
        <w:tc>
          <w:tcPr>
            <w:tcW w:w="560" w:type="dxa"/>
            <w:vAlign w:val="bottom"/>
            <w:tcBorders>
              <w:right w:val="single" w:sz="8" w:color="auto"/>
            </w:tcBorders>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(1,100)</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gridSpan w:val="3"/>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4,427,447</w:t>
            </w:r>
          </w:p>
        </w:tc>
        <w:tc>
          <w:tcPr>
            <w:tcW w:w="6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4,400</w:t>
            </w:r>
          </w:p>
        </w:tc>
        <w:tc>
          <w:tcPr>
            <w:tcW w:w="9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7,214,500</w:t>
            </w: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7,217,800</w:t>
            </w: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Series B</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8"/>
              </w:rPr>
              <w:t>Preferred into</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0" w:type="dxa"/>
            <w:vAlign w:val="bottom"/>
            <w:tcBorders>
              <w:right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tcBorders>
              <w:right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tcBorders>
              <w:right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tcBorders>
              <w:right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common</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stock,</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including</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3"/>
              </w:rPr>
              <w:t>common stock</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issued in</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payment of</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accrued</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dividends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line="121" w:lineRule="exact"/>
              <w:rPr>
                <w:sz w:val="20"/>
                <w:szCs w:val="20"/>
                <w:color w:val="auto"/>
              </w:rPr>
            </w:pPr>
            <w:r>
              <w:rPr>
                <w:rFonts w:ascii="Arial" w:cs="Arial" w:eastAsia="Arial" w:hAnsi="Arial"/>
                <w:sz w:val="13"/>
                <w:szCs w:val="13"/>
                <w:color w:val="auto"/>
              </w:rPr>
              <w:t>Conversion of</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Series A</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w w:val="98"/>
              </w:rPr>
              <w:t>Preferred into</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80"/>
              <w:spacing w:after="0"/>
              <w:rPr>
                <w:sz w:val="20"/>
                <w:szCs w:val="20"/>
                <w:color w:val="auto"/>
              </w:rPr>
            </w:pPr>
            <w:r>
              <w:rPr>
                <w:rFonts w:ascii="Arial" w:cs="Arial" w:eastAsia="Arial" w:hAnsi="Arial"/>
                <w:sz w:val="13"/>
                <w:szCs w:val="13"/>
                <w:color w:val="auto"/>
                <w:w w:val="93"/>
              </w:rPr>
              <w:t>common stock</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w w:val="96"/>
              </w:rPr>
              <w:t>(500,000)</w:t>
            </w:r>
          </w:p>
        </w:tc>
        <w:tc>
          <w:tcPr>
            <w:tcW w:w="12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(500)</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00" w:type="dxa"/>
            <w:vAlign w:val="bottom"/>
            <w:tcBorders>
              <w:right w:val="single" w:sz="8" w:color="auto"/>
            </w:tcBorders>
            <w:gridSpan w:val="2"/>
          </w:tcPr>
          <w:p>
            <w:pPr>
              <w:ind w:lef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750,000</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800</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(300)</w:t>
            </w:r>
          </w:p>
        </w:tc>
        <w:tc>
          <w:tcPr>
            <w:tcW w:w="800" w:type="dxa"/>
            <w:vAlign w:val="bottom"/>
            <w:gridSpan w:val="2"/>
          </w:tcPr>
          <w:p>
            <w:pPr>
              <w:jc w:val="right"/>
              <w:ind w:right="118"/>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Issuance of</w:t>
            </w: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3"/>
              </w:rPr>
              <w:t>common stock</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6"/>
              </w:rPr>
              <w:t>upon exercise</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of options for</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300" w:type="dxa"/>
            <w:vAlign w:val="bottom"/>
            <w:tcBorders>
              <w:right w:val="single" w:sz="8" w:color="auto"/>
            </w:tcBorders>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3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50,000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57,900</w:t>
            </w:r>
          </w:p>
        </w:tc>
        <w:tc>
          <w:tcPr>
            <w:tcW w:w="80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58,000</w:t>
            </w:r>
          </w:p>
        </w:tc>
        <w:tc>
          <w:tcPr>
            <w:tcW w:w="0" w:type="dxa"/>
            <w:vAlign w:val="bottom"/>
          </w:tcPr>
          <w:p>
            <w:pPr>
              <w:spacing w:after="0"/>
              <w:rPr>
                <w:sz w:val="1"/>
                <w:szCs w:val="1"/>
                <w:color w:val="auto"/>
              </w:rPr>
            </w:pPr>
          </w:p>
        </w:tc>
      </w:tr>
      <w:tr>
        <w:trPr>
          <w:trHeight w:val="121"/>
        </w:trPr>
        <w:tc>
          <w:tcPr>
            <w:tcW w:w="980" w:type="dxa"/>
            <w:vAlign w:val="bottom"/>
          </w:tcPr>
          <w:p>
            <w:pPr>
              <w:spacing w:after="0" w:line="121" w:lineRule="exact"/>
              <w:rPr>
                <w:sz w:val="20"/>
                <w:szCs w:val="20"/>
                <w:color w:val="auto"/>
              </w:rPr>
            </w:pPr>
            <w:r>
              <w:rPr>
                <w:rFonts w:ascii="Arial" w:cs="Arial" w:eastAsia="Arial" w:hAnsi="Arial"/>
                <w:sz w:val="13"/>
                <w:szCs w:val="13"/>
                <w:color w:val="auto"/>
              </w:rPr>
              <w:t>Sale of common</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w w:val="92"/>
              </w:rPr>
              <w:t>stock pursuant</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to 2019</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rPr>
              <w:t>Employee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80"/>
              <w:spacing w:after="0"/>
              <w:rPr>
                <w:sz w:val="20"/>
                <w:szCs w:val="20"/>
                <w:color w:val="auto"/>
              </w:rPr>
            </w:pPr>
            <w:r>
              <w:rPr>
                <w:rFonts w:ascii="Arial" w:cs="Arial" w:eastAsia="Arial" w:hAnsi="Arial"/>
                <w:sz w:val="13"/>
                <w:szCs w:val="13"/>
                <w:color w:val="auto"/>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40,960</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67,800</w:t>
            </w:r>
          </w:p>
        </w:tc>
        <w:tc>
          <w:tcPr>
            <w:tcW w:w="800" w:type="dxa"/>
            <w:vAlign w:val="bottom"/>
            <w:gridSpan w:val="2"/>
          </w:tcPr>
          <w:p>
            <w:pPr>
              <w:jc w:val="right"/>
              <w:ind w:right="118"/>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67,800</w:t>
            </w: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Purchase Plan</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0" w:type="dxa"/>
            <w:vAlign w:val="bottom"/>
            <w:tcBorders>
              <w:right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320" w:type="dxa"/>
            <w:vAlign w:val="bottom"/>
            <w:tcBorders>
              <w:right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300" w:type="dxa"/>
            <w:vAlign w:val="bottom"/>
            <w:tcBorders>
              <w:right w:val="single" w:sz="8" w:color="auto"/>
            </w:tcBorders>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300" w:type="dxa"/>
            <w:vAlign w:val="bottom"/>
            <w:tcBorders>
              <w:right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line="121" w:lineRule="exact"/>
              <w:rPr>
                <w:sz w:val="20"/>
                <w:szCs w:val="20"/>
                <w:color w:val="auto"/>
              </w:rPr>
            </w:pPr>
            <w:r>
              <w:rPr>
                <w:rFonts w:ascii="Arial" w:cs="Arial" w:eastAsia="Arial" w:hAnsi="Arial"/>
                <w:sz w:val="13"/>
                <w:szCs w:val="13"/>
                <w:color w:val="auto"/>
              </w:rPr>
              <w:t>Net loss for</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w w:val="96"/>
              </w:rPr>
              <w:t>quarter ended</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180"/>
              <w:spacing w:after="0" w:line="135" w:lineRule="exact"/>
              <w:rPr>
                <w:sz w:val="20"/>
                <w:szCs w:val="20"/>
                <w:color w:val="auto"/>
              </w:rPr>
            </w:pPr>
            <w:r>
              <w:rPr>
                <w:rFonts w:ascii="Arial" w:cs="Arial" w:eastAsia="Arial" w:hAnsi="Arial"/>
                <w:sz w:val="13"/>
                <w:szCs w:val="13"/>
                <w:color w:val="auto"/>
                <w:w w:val="95"/>
              </w:rPr>
              <w:t>December 31,</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00" w:type="dxa"/>
            <w:vAlign w:val="bottom"/>
            <w:tcBorders>
              <w:right w:val="single" w:sz="8" w:color="auto"/>
            </w:tcBorders>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320" w:type="dxa"/>
            <w:vAlign w:val="bottom"/>
            <w:tcBorders>
              <w:right w:val="single" w:sz="8" w:color="auto"/>
            </w:tcBorders>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30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300" w:type="dxa"/>
            <w:vAlign w:val="bottom"/>
            <w:tcBorders>
              <w:right w:val="single" w:sz="8" w:color="auto"/>
            </w:tcBorders>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18"/>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tcPr>
          <w:p>
            <w:pPr>
              <w:jc w:val="right"/>
              <w:ind w:right="18"/>
              <w:spacing w:after="0"/>
              <w:rPr>
                <w:sz w:val="20"/>
                <w:szCs w:val="20"/>
                <w:color w:val="auto"/>
              </w:rPr>
            </w:pPr>
            <w:r>
              <w:rPr>
                <w:rFonts w:ascii="Arial" w:cs="Arial" w:eastAsia="Arial" w:hAnsi="Arial"/>
                <w:sz w:val="13"/>
                <w:szCs w:val="13"/>
                <w:color w:val="auto"/>
              </w:rPr>
              <w:t>(10,535,100)</w:t>
            </w: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(10,535,100)</w:t>
            </w:r>
          </w:p>
        </w:tc>
        <w:tc>
          <w:tcPr>
            <w:tcW w:w="0" w:type="dxa"/>
            <w:vAlign w:val="bottom"/>
          </w:tcPr>
          <w:p>
            <w:pPr>
              <w:spacing w:after="0"/>
              <w:rPr>
                <w:sz w:val="1"/>
                <w:szCs w:val="1"/>
                <w:color w:val="auto"/>
              </w:rPr>
            </w:pPr>
          </w:p>
        </w:tc>
      </w:tr>
      <w:tr>
        <w:trPr>
          <w:trHeight w:val="136"/>
        </w:trPr>
        <w:tc>
          <w:tcPr>
            <w:tcW w:w="980" w:type="dxa"/>
            <w:vAlign w:val="bottom"/>
          </w:tcPr>
          <w:p>
            <w:pPr>
              <w:ind w:left="180"/>
              <w:spacing w:after="0" w:line="136" w:lineRule="exact"/>
              <w:rPr>
                <w:sz w:val="20"/>
                <w:szCs w:val="20"/>
                <w:color w:val="auto"/>
              </w:rPr>
            </w:pPr>
            <w:r>
              <w:rPr>
                <w:rFonts w:ascii="Arial" w:cs="Arial" w:eastAsia="Arial" w:hAnsi="Arial"/>
                <w:sz w:val="13"/>
                <w:szCs w:val="13"/>
                <w:color w:val="auto"/>
              </w:rPr>
              <w:t>2021</w:t>
            </w: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980" w:type="dxa"/>
            <w:vAlign w:val="bottom"/>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Balances at</w:t>
            </w:r>
          </w:p>
        </w:tc>
        <w:tc>
          <w:tcPr>
            <w:tcW w:w="52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w w:val="92"/>
              </w:rPr>
              <w:t>December 31,</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200" w:type="dxa"/>
            <w:vAlign w:val="bottom"/>
            <w:vMerge w:val="restart"/>
            <w:shd w:val="clear" w:color="auto" w:fill="CCEEFF"/>
          </w:tcPr>
          <w:p>
            <w:pPr>
              <w:ind w:left="160"/>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4"/>
              </w:rPr>
              <w:t>206,644,870</w:t>
            </w: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$ 206,600</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$ 334,655,000</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4"/>
              </w:rPr>
              <w:t>$ (3,968,100</w:t>
            </w:r>
          </w:p>
        </w:tc>
        <w:tc>
          <w:tcPr>
            <w:tcW w:w="160" w:type="dxa"/>
            <w:vAlign w:val="bottom"/>
            <w:vMerge w:val="restart"/>
            <w:shd w:val="clear" w:color="auto" w:fill="CCEEFF"/>
          </w:tcPr>
          <w:p>
            <w:pPr>
              <w:jc w:val="right"/>
              <w:ind w:right="78"/>
              <w:spacing w:after="0"/>
              <w:rPr>
                <w:sz w:val="20"/>
                <w:szCs w:val="20"/>
                <w:color w:val="auto"/>
              </w:rPr>
            </w:pPr>
            <w:r>
              <w:rPr>
                <w:rFonts w:ascii="Arial" w:cs="Arial" w:eastAsia="Arial" w:hAnsi="Arial"/>
                <w:sz w:val="8"/>
                <w:szCs w:val="8"/>
                <w:b w:val="1"/>
                <w:bCs w:val="1"/>
                <w:color w:val="auto"/>
                <w:w w:val="73"/>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 (250,915,700</w:t>
            </w:r>
          </w:p>
        </w:tc>
        <w:tc>
          <w:tcPr>
            <w:tcW w:w="10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b w:val="1"/>
                <w:bCs w:val="1"/>
                <w:color w:val="auto"/>
                <w:w w:val="73"/>
              </w:rPr>
              <w:t>)</w:t>
            </w:r>
          </w:p>
        </w:tc>
        <w:tc>
          <w:tcPr>
            <w:tcW w:w="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0"/>
              </w:rPr>
              <w:t>$  79,977,800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80" w:type="dxa"/>
            <w:vAlign w:val="bottom"/>
            <w:tcBorders>
              <w:bottom w:val="single" w:sz="8" w:color="CCEEFF"/>
            </w:tcBorders>
            <w:shd w:val="clear" w:color="auto" w:fill="CCEEFF"/>
          </w:tcPr>
          <w:p>
            <w:pPr>
              <w:ind w:left="180"/>
              <w:spacing w:after="0" w:line="106" w:lineRule="exact"/>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vMerge w:val="continue"/>
            <w:shd w:val="clear" w:color="auto" w:fill="CCEEFF"/>
          </w:tcPr>
          <w:p>
            <w:pPr>
              <w:spacing w:after="0"/>
              <w:rPr>
                <w:sz w:val="13"/>
                <w:szCs w:val="13"/>
                <w:color w:val="auto"/>
              </w:rPr>
            </w:pPr>
          </w:p>
        </w:tc>
        <w:tc>
          <w:tcPr>
            <w:tcW w:w="2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vMerge w:val="continue"/>
            <w:shd w:val="clear" w:color="auto" w:fill="CCEEFF"/>
          </w:tcPr>
          <w:p>
            <w:pPr>
              <w:spacing w:after="0"/>
              <w:rPr>
                <w:sz w:val="13"/>
                <w:szCs w:val="13"/>
                <w:color w:val="auto"/>
              </w:rPr>
            </w:pP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vMerge w:val="continue"/>
            <w:shd w:val="clear" w:color="auto" w:fill="CCEEFF"/>
          </w:tcPr>
          <w:p>
            <w:pPr>
              <w:spacing w:after="0"/>
              <w:rPr>
                <w:sz w:val="13"/>
                <w:szCs w:val="13"/>
                <w:color w:val="auto"/>
              </w:rPr>
            </w:pP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vMerge w:val="continue"/>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 xml:space="preserve">VistaGen Therapeutics, Inc., a Nevada corporation (which may be referred to as </w:t>
      </w:r>
      <w:r>
        <w:rPr>
          <w:rFonts w:ascii="Arial" w:cs="Arial" w:eastAsia="Arial" w:hAnsi="Arial"/>
          <w:sz w:val="18"/>
          <w:szCs w:val="18"/>
          <w:i w:val="1"/>
          <w:iCs w:val="1"/>
          <w:color w:val="auto"/>
        </w:rPr>
        <w:t>VistaGen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our</w:t>
      </w:r>
      <w:r>
        <w:rPr>
          <w:rFonts w:ascii="Arial" w:cs="Arial" w:eastAsia="Arial" w:hAnsi="Arial"/>
          <w:sz w:val="18"/>
          <w:szCs w:val="18"/>
          <w:color w:val="auto"/>
        </w:rPr>
        <w:t xml:space="preserve">, or </w:t>
      </w:r>
      <w:r>
        <w:rPr>
          <w:rFonts w:ascii="Arial" w:cs="Arial" w:eastAsia="Arial" w:hAnsi="Arial"/>
          <w:sz w:val="18"/>
          <w:szCs w:val="18"/>
          <w:i w:val="1"/>
          <w:iCs w:val="1"/>
          <w:color w:val="auto"/>
        </w:rPr>
        <w:t>us</w:t>
      </w:r>
      <w:r>
        <w:rPr>
          <w:rFonts w:ascii="Arial" w:cs="Arial" w:eastAsia="Arial" w:hAnsi="Arial"/>
          <w:sz w:val="18"/>
          <w:szCs w:val="18"/>
          <w:color w:val="auto"/>
        </w:rPr>
        <w:t>), is a late-stage clinical biopharmaceutical company committed to developing and commercializing a new generation of medicines with potential to go beyond the current standard of care for widespread anxiety,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 Our CNS pipeline includes three clinical-stage CNS product candidates, PH94B Nasal Spray (</w:t>
      </w:r>
      <w:r>
        <w:rPr>
          <w:rFonts w:ascii="Arial" w:cs="Arial" w:eastAsia="Arial" w:hAnsi="Arial"/>
          <w:sz w:val="18"/>
          <w:szCs w:val="18"/>
          <w:i w:val="1"/>
          <w:iCs w:val="1"/>
          <w:color w:val="auto"/>
        </w:rPr>
        <w:t>PH94B</w:t>
      </w:r>
      <w:r>
        <w:rPr>
          <w:rFonts w:ascii="Arial" w:cs="Arial" w:eastAsia="Arial" w:hAnsi="Arial"/>
          <w:sz w:val="18"/>
          <w:szCs w:val="18"/>
          <w:color w:val="auto"/>
        </w:rPr>
        <w:t>), PH10 Nasal Spray (</w:t>
      </w:r>
      <w:r>
        <w:rPr>
          <w:rFonts w:ascii="Arial" w:cs="Arial" w:eastAsia="Arial" w:hAnsi="Arial"/>
          <w:sz w:val="18"/>
          <w:szCs w:val="18"/>
          <w:i w:val="1"/>
          <w:iCs w:val="1"/>
          <w:color w:val="auto"/>
        </w:rPr>
        <w:t>PH10</w:t>
      </w:r>
      <w:r>
        <w:rPr>
          <w:rFonts w:ascii="Arial" w:cs="Arial" w:eastAsia="Arial" w:hAnsi="Arial"/>
          <w:sz w:val="18"/>
          <w:szCs w:val="18"/>
          <w:color w:val="auto"/>
        </w:rPr>
        <w:t>) and AV-101, each with a differentiated profile, favorable safety results observed in all clinical studies to date and therapeutic potential in multiple CNS indications.</w:t>
      </w:r>
    </w:p>
    <w:p>
      <w:pPr>
        <w:spacing w:after="0" w:line="188" w:lineRule="exact"/>
        <w:rPr>
          <w:sz w:val="20"/>
          <w:szCs w:val="20"/>
          <w:color w:val="auto"/>
        </w:rPr>
      </w:pPr>
    </w:p>
    <w:p>
      <w:pPr>
        <w:jc w:val="both"/>
        <w:ind w:left="20"/>
        <w:spacing w:after="0" w:line="289" w:lineRule="auto"/>
        <w:rPr>
          <w:sz w:val="20"/>
          <w:szCs w:val="20"/>
          <w:color w:val="auto"/>
        </w:rPr>
      </w:pPr>
      <w:r>
        <w:rPr>
          <w:rFonts w:ascii="Arial" w:cs="Arial" w:eastAsia="Arial" w:hAnsi="Arial"/>
          <w:sz w:val="16"/>
          <w:szCs w:val="16"/>
          <w:color w:val="auto"/>
        </w:rPr>
        <w:t>PH94B is being developed for multiple anxiety disorders. Our PALISADE Phase 3 Program for PH94B is underway, anchored by PALISADE-1 and PALISADE-2, each a U.S., multi-center, randomized, double-blind, placebo-controlled Phase 3 clinical study to evaluate the efficacy, safety and tolerability of PH94B for the acute treatment of anxiety in adults with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In addition, our PALISADE Phase 3 Program long-term safety study is underway, as are advanced preparations for additional small clinical studies that we believe are required to support a potential U.S.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for PH94B in SAD as early as 2023 should our PALISADE Phase 3 Program be successful. In addition, our exploratory Phase 2A clinical program for PH94B, which is designed to assess its therapeutic potential in anxiety disorders beyond SAD, is now underway, with an initial focus on adults experiencing Adjustment Disorder with Anxiety (</w:t>
      </w:r>
      <w:r>
        <w:rPr>
          <w:rFonts w:ascii="Arial" w:cs="Arial" w:eastAsia="Arial" w:hAnsi="Arial"/>
          <w:sz w:val="16"/>
          <w:szCs w:val="16"/>
          <w:i w:val="1"/>
          <w:iCs w:val="1"/>
          <w:color w:val="auto"/>
        </w:rPr>
        <w:t>AjDA</w:t>
      </w:r>
      <w:r>
        <w:rPr>
          <w:rFonts w:ascii="Arial" w:cs="Arial" w:eastAsia="Arial" w:hAnsi="Arial"/>
          <w:sz w:val="16"/>
          <w:szCs w:val="16"/>
          <w:color w:val="auto"/>
        </w:rPr>
        <w:t>). We are preparing to expand this program in 2022 by initiating Phase 2A biomarker studies as an initial step in assessing PH94B’s potential in each of procedural anxiety and post-traumatic stress disorder. We are also preparing to initiate our postpartum anxiety program for PH94B with a Phase 1 lactation study to assess whether PH94B is excreted to breast milk.</w:t>
      </w:r>
    </w:p>
    <w:p>
      <w:pPr>
        <w:spacing w:after="0" w:line="166"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PH94B is being developed for multiple anxiety disorders. Our PALISADE Phase 3 Program for PH94B is underway, anchored by PALISADE-1 and PALISADE-2, each a U.S., multi-center, randomized, double-blind, placebo-controlled Phase 3 clinical study to evaluate the efficacy, safety and tolerability of PH94B for the acute treatment of anxiety in adults with social anxiety disorder (</w:t>
      </w:r>
      <w:r>
        <w:rPr>
          <w:rFonts w:ascii="Arial" w:cs="Arial" w:eastAsia="Arial" w:hAnsi="Arial"/>
          <w:sz w:val="17"/>
          <w:szCs w:val="17"/>
          <w:i w:val="1"/>
          <w:iCs w:val="1"/>
          <w:color w:val="auto"/>
        </w:rPr>
        <w:t>SAD</w:t>
      </w:r>
      <w:r>
        <w:rPr>
          <w:rFonts w:ascii="Arial" w:cs="Arial" w:eastAsia="Arial" w:hAnsi="Arial"/>
          <w:sz w:val="17"/>
          <w:szCs w:val="17"/>
          <w:color w:val="auto"/>
        </w:rPr>
        <w:t>). In addition, our PALISADE Phase 3 Program long-term safety study is underway, as are advanced preparations for additional small clinical studies that we believe are required to support a potential U.S. New Drug Application (</w:t>
      </w:r>
      <w:r>
        <w:rPr>
          <w:rFonts w:ascii="Arial" w:cs="Arial" w:eastAsia="Arial" w:hAnsi="Arial"/>
          <w:sz w:val="17"/>
          <w:szCs w:val="17"/>
          <w:i w:val="1"/>
          <w:iCs w:val="1"/>
          <w:color w:val="auto"/>
        </w:rPr>
        <w:t>NDA</w:t>
      </w:r>
      <w:r>
        <w:rPr>
          <w:rFonts w:ascii="Arial" w:cs="Arial" w:eastAsia="Arial" w:hAnsi="Arial"/>
          <w:sz w:val="17"/>
          <w:szCs w:val="17"/>
          <w:color w:val="auto"/>
        </w:rPr>
        <w:t>) for PH94B in SAD in mid-2023 should our PALISADE Phase 3 Program be successful. With the recent initiation of our small Phase 2A clinical study in adults experiencing Adjustment Disorder with Anxiety (</w:t>
      </w:r>
      <w:r>
        <w:rPr>
          <w:rFonts w:ascii="Arial" w:cs="Arial" w:eastAsia="Arial" w:hAnsi="Arial"/>
          <w:sz w:val="17"/>
          <w:szCs w:val="17"/>
          <w:i w:val="1"/>
          <w:iCs w:val="1"/>
          <w:color w:val="auto"/>
        </w:rPr>
        <w:t>AjDA</w:t>
      </w:r>
      <w:r>
        <w:rPr>
          <w:rFonts w:ascii="Arial" w:cs="Arial" w:eastAsia="Arial" w:hAnsi="Arial"/>
          <w:sz w:val="17"/>
          <w:szCs w:val="17"/>
          <w:color w:val="auto"/>
        </w:rPr>
        <w:t>), we have launched our exploratory Phase 2A clinical program for PH94B, which is designed to assess its therapeutic potential in anxiety disorders beyond SAD.</w:t>
      </w:r>
    </w:p>
    <w:p>
      <w:pPr>
        <w:spacing w:after="0" w:line="177"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PH10 is being developed as a stand-alone treatment for multiple depression disorders. Exploratory Phase 2A clinical development of PH10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has been completed. Based on the positive results demonstrated in that study, we are now preparing for planned Phase 2B clinical development of PH10 in MDD.</w:t>
      </w:r>
    </w:p>
    <w:p>
      <w:pPr>
        <w:spacing w:after="0" w:line="184"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We have also initiated exploratory Phase 1B clinical development of AV-101 in combination with probenecid to further assess the potential of the combination in multiple neurological indications involving the NMDA (N-methyl-D-aspartate) receptor.</w:t>
      </w:r>
    </w:p>
    <w:p>
      <w:pPr>
        <w:spacing w:after="0" w:line="170" w:lineRule="exact"/>
        <w:rPr>
          <w:sz w:val="20"/>
          <w:szCs w:val="20"/>
          <w:color w:val="auto"/>
        </w:rPr>
      </w:pPr>
    </w:p>
    <w:p>
      <w:pPr>
        <w:jc w:val="both"/>
        <w:ind w:left="20"/>
        <w:spacing w:after="0" w:line="308" w:lineRule="auto"/>
        <w:rPr>
          <w:sz w:val="20"/>
          <w:szCs w:val="20"/>
          <w:color w:val="auto"/>
        </w:rPr>
      </w:pPr>
      <w:r>
        <w:rPr>
          <w:rFonts w:ascii="Arial" w:cs="Arial" w:eastAsia="Arial" w:hAnsi="Arial"/>
          <w:sz w:val="17"/>
          <w:szCs w:val="17"/>
          <w:color w:val="auto"/>
        </w:rPr>
        <w:t>Our goal is to become a biopharmaceutical company that develops and commercializes innovative CNS therapies for highly prevalent neuropsychiatric and neurological indications where current treatment options are inadequate to meet the needs of millions of patients worldwide.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jc w:val="both"/>
        <w:ind w:left="20"/>
        <w:spacing w:after="0" w:line="217" w:lineRule="exact"/>
        <w:rPr>
          <w:sz w:val="20"/>
          <w:szCs w:val="20"/>
          <w:color w:val="auto"/>
        </w:rPr>
      </w:pPr>
      <w:r>
        <w:rPr>
          <w:rFonts w:ascii="Arial" w:cs="Arial" w:eastAsia="Arial" w:hAnsi="Arial"/>
          <w:sz w:val="17"/>
          <w:szCs w:val="17"/>
          <w:color w:val="auto"/>
        </w:rPr>
        <w:t>PH94B is a first-in-class synthetic investigational neurosteroid developed from proprietary compounds called pherines. With its novel mechanism of action, PH94B is an odorless nasal spray designed to be administered at microgram-level doses to achieve rapid-onset anti-anxiety, or anxiolytic, effects. The pharmacological activity of PH94B is fundamentally differentiated from that of all FDA-approved anti-anxiety drugs, including all antidepressants approved by the U.S. Food and Drug Administration (</w:t>
      </w:r>
      <w:r>
        <w:rPr>
          <w:rFonts w:ascii="Arial" w:cs="Arial" w:eastAsia="Arial" w:hAnsi="Arial"/>
          <w:sz w:val="17"/>
          <w:szCs w:val="17"/>
          <w:i w:val="1"/>
          <w:iCs w:val="1"/>
          <w:color w:val="auto"/>
        </w:rPr>
        <w:t>FDA</w:t>
      </w:r>
      <w:r>
        <w:rPr>
          <w:rFonts w:ascii="Arial" w:cs="Arial" w:eastAsia="Arial" w:hAnsi="Arial"/>
          <w:sz w:val="17"/>
          <w:szCs w:val="17"/>
          <w:color w:val="auto"/>
        </w:rPr>
        <w:t>) for treatment of SAD, as well as all benzodiazepines and beta blockers prescribed for treatment of SAD on an off-label basis. PH94B engages peripheral chemosensory receptors in nasal passages that trigger a subset of neurons in the main olfactory bulbs (</w:t>
      </w:r>
      <w:r>
        <w:rPr>
          <w:rFonts w:ascii="Arial" w:cs="Arial" w:eastAsia="Arial" w:hAnsi="Arial"/>
          <w:sz w:val="17"/>
          <w:szCs w:val="17"/>
          <w:i w:val="1"/>
          <w:iCs w:val="1"/>
          <w:color w:val="auto"/>
        </w:rPr>
        <w:t>OB</w:t>
      </w:r>
      <w:r>
        <w:rPr>
          <w:rFonts w:ascii="Arial" w:cs="Arial" w:eastAsia="Arial" w:hAnsi="Arial"/>
          <w:sz w:val="17"/>
          <w:szCs w:val="17"/>
          <w:color w:val="auto"/>
        </w:rPr>
        <w:t>) at the base of the brain. The OB neurons then stimulate inhibitory GABAergic neurons in the limbic amygdala, decreasing the activity of the sympathetic nervous system, and facilitating fear extinction activity of the limbic-hypothalamic system, the main fear and anxiety center in the brain, as well as in other parts of the brain. Importantly, we believe PH94B, even at microgram-level doses, does not require systemic uptake and distribution to produce its rapid-onset anti-anxiety effects. With its unique mechanism of action, which is distinct from other anxiolytic agents, throughout clinical development of PH94B to date, very few CNS</w:t>
      </w:r>
      <w:r>
        <w:rPr>
          <w:rFonts w:ascii="MS PGothic" w:cs="MS PGothic" w:eastAsia="MS PGothic" w:hAnsi="MS PGothic"/>
          <w:sz w:val="17"/>
          <w:szCs w:val="17"/>
          <w:color w:val="auto"/>
        </w:rPr>
        <w:t>‑</w:t>
      </w:r>
      <w:r>
        <w:rPr>
          <w:rFonts w:ascii="Arial" w:cs="Arial" w:eastAsia="Arial" w:hAnsi="Arial"/>
          <w:sz w:val="17"/>
          <w:szCs w:val="17"/>
          <w:color w:val="auto"/>
        </w:rPr>
        <w:t>related adverse events (</w:t>
      </w:r>
      <w:r>
        <w:rPr>
          <w:rFonts w:ascii="Arial" w:cs="Arial" w:eastAsia="Arial" w:hAnsi="Arial"/>
          <w:sz w:val="17"/>
          <w:szCs w:val="17"/>
          <w:i w:val="1"/>
          <w:iCs w:val="1"/>
          <w:color w:val="auto"/>
        </w:rPr>
        <w:t>AEs</w:t>
      </w:r>
      <w:r>
        <w:rPr>
          <w:rFonts w:ascii="Arial" w:cs="Arial" w:eastAsia="Arial" w:hAnsi="Arial"/>
          <w:sz w:val="17"/>
          <w:szCs w:val="17"/>
          <w:color w:val="auto"/>
        </w:rPr>
        <w:t>), no abuse-related AEs, and no drug-related serious adverse events (</w:t>
      </w:r>
      <w:r>
        <w:rPr>
          <w:rFonts w:ascii="Arial" w:cs="Arial" w:eastAsia="Arial" w:hAnsi="Arial"/>
          <w:sz w:val="17"/>
          <w:szCs w:val="17"/>
          <w:i w:val="1"/>
          <w:iCs w:val="1"/>
          <w:color w:val="auto"/>
        </w:rPr>
        <w:t>SAEs</w:t>
      </w:r>
      <w:r>
        <w:rPr>
          <w:rFonts w:ascii="Arial" w:cs="Arial" w:eastAsia="Arial" w:hAnsi="Arial"/>
          <w:sz w:val="17"/>
          <w:szCs w:val="17"/>
          <w:color w:val="auto"/>
        </w:rPr>
        <w:t>) have been reported. Our ongoing PALISADE Phase 3 Program for PH94B is designed to further demonstrate its potential as a fast-acting, non-sedating, non-addictive acute treatment of anxiety in adults with SAD. We believe PH94B also has potential to be developed as a novel treatment for AjDA, postpartum anxiety, post-traumatic stress disorder, procedural anxiety, panic and other anxiety disorders. PH94B has been granted Fast Track designation status by the FDA for development for treatment of SAD.</w:t>
      </w:r>
    </w:p>
    <w:p>
      <w:pPr>
        <w:spacing w:after="0" w:line="207" w:lineRule="exact"/>
        <w:rPr>
          <w:sz w:val="20"/>
          <w:szCs w:val="20"/>
          <w:color w:val="auto"/>
        </w:rPr>
      </w:pPr>
    </w:p>
    <w:p>
      <w:pPr>
        <w:jc w:val="both"/>
        <w:ind w:left="20"/>
        <w:spacing w:after="0" w:line="287" w:lineRule="auto"/>
        <w:rPr>
          <w:sz w:val="20"/>
          <w:szCs w:val="20"/>
          <w:color w:val="auto"/>
        </w:rPr>
      </w:pPr>
      <w:r>
        <w:rPr>
          <w:rFonts w:ascii="Arial" w:cs="Arial" w:eastAsia="Arial" w:hAnsi="Arial"/>
          <w:sz w:val="16"/>
          <w:szCs w:val="16"/>
          <w:color w:val="auto"/>
        </w:rPr>
        <w:t>PH10 is a synthetic investigational neurosteroid, which also was developed from proprietary compounds called pherines. Its novel, rapid-onset potential mechanism of action (</w:t>
      </w:r>
      <w:r>
        <w:rPr>
          <w:rFonts w:ascii="Arial" w:cs="Arial" w:eastAsia="Arial" w:hAnsi="Arial"/>
          <w:sz w:val="16"/>
          <w:szCs w:val="16"/>
          <w:i w:val="1"/>
          <w:iCs w:val="1"/>
          <w:color w:val="auto"/>
        </w:rPr>
        <w:t>MOA</w:t>
      </w:r>
      <w:r>
        <w:rPr>
          <w:rFonts w:ascii="Arial" w:cs="Arial" w:eastAsia="Arial" w:hAnsi="Arial"/>
          <w:sz w:val="16"/>
          <w:szCs w:val="16"/>
          <w:color w:val="auto"/>
        </w:rPr>
        <w:t>) is fundamentally differentiated from the MOA of all currently approved treatments for depression disorders. PH10 is administered at microgram-level doses as an odorless nasal spray. PH10 engages and activates chemosensory cells in the nasal passages, connected to neural circuits in the brain that produce antidepressant effects. Specifically, PH10 is designed to engage peripheral chemosensory receptors in the nasal passages that trigger a subset of neurons in the main OB that stimulate neurons in the limbic amygdala. This, in turn, is believed to increase activity of the limbic-hypothalamic sympathetic nervous system and increase the release of catecholamines. Importantly, unlike all currently approved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and rapid-onset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including both intravenous ketamine and intranasal ketamine (esketamine), we believe PH10 does not require systemic uptake and distribution to produce rapid-onset of antidepressant effects. In all clinical studies to date, PH10 has been well-tolerated and has not caused psychological side effects (such as dissociation and hallucinations) or other safety concerns that may be associated with KBT. Our planned Phase 2B clinical program for PH10 is designed to further demonstrate its potential as a fast-acting stand-alone treatment for MDD. We believe PH10 also has potential to be developed as a novel treatment for several other depression-related disorders.</w:t>
      </w:r>
    </w:p>
    <w:p>
      <w:pPr>
        <w:sectPr>
          <w:pgSz w:w="11900" w:h="16838" w:orient="portrait"/>
          <w:cols w:equalWidth="0" w:num="1">
            <w:col w:w="11240"/>
          </w:cols>
          <w:pgMar w:left="320" w:top="125" w:right="339" w:bottom="42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2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Abnormal function of the NMDAR (N-methyl-D-aspartate receptor), an ionotropic glutamate receptor in the brain, is associated with numerous CNS disorders. AV-101 is an oral prodrug of 7-chloro-kynurenic acid (7-Cl-KYNA), which is a potent and selective full antagonist of the glycine co-agonist site of the NMDAR that inhibits the function of the NMDAR. However, unlike ketamine and many other NMDAR antagonists, 7-Cl-KYNA is not an ion channel blocker. At doses administered in all studies to date, AV-101 has been observed to be well tolerated and has not exhibited dissociative or hallucinogenic psychological side effects or safety concerns. In light of these observations and findings from preclinical studies, we believe that AV-101, in combination with FDA-approved oral probenecid, has potential to become a new oral treatment alternative for certain CNS indications involving the NMDAR. We have recently commenced a study designed to evaluate AV-101 in combination with probenecid in an exploratory Phase 1B drug-drug interaction clinical study. The FDA has granted Fast Track designation for development of AV-101 as a potential adjunctive treatment for MDD and as a non-opioid treatment for neuropathic pain (</w:t>
      </w:r>
      <w:r>
        <w:rPr>
          <w:rFonts w:ascii="Arial" w:cs="Arial" w:eastAsia="Arial" w:hAnsi="Arial"/>
          <w:sz w:val="18"/>
          <w:szCs w:val="18"/>
          <w:i w:val="1"/>
          <w:iCs w:val="1"/>
          <w:color w:val="auto"/>
        </w:rPr>
        <w:t>NP</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VistaGen Therapeutics, Inc., a California corporation d/b/a VistaStem (</w:t>
      </w:r>
      <w:r>
        <w:rPr>
          <w:rFonts w:ascii="Arial" w:cs="Arial" w:eastAsia="Arial" w:hAnsi="Arial"/>
          <w:sz w:val="16"/>
          <w:szCs w:val="16"/>
          <w:i w:val="1"/>
          <w:iCs w:val="1"/>
          <w:color w:val="auto"/>
        </w:rPr>
        <w:t>VistaStem</w:t>
      </w:r>
      <w:r>
        <w:rPr>
          <w:rFonts w:ascii="Arial" w:cs="Arial" w:eastAsia="Arial" w:hAnsi="Arial"/>
          <w:sz w:val="16"/>
          <w:szCs w:val="16"/>
          <w:color w:val="auto"/>
        </w:rPr>
        <w:t>), is our wholly-owned subsidiary. Our Condensed Consolidated Financial Statements in this Quarterly Report on Form 10-Q (</w:t>
      </w:r>
      <w:r>
        <w:rPr>
          <w:rFonts w:ascii="Arial" w:cs="Arial" w:eastAsia="Arial" w:hAnsi="Arial"/>
          <w:sz w:val="16"/>
          <w:szCs w:val="16"/>
          <w:i w:val="1"/>
          <w:iCs w:val="1"/>
          <w:color w:val="auto"/>
        </w:rPr>
        <w:t>Report</w:t>
      </w:r>
      <w:r>
        <w:rPr>
          <w:rFonts w:ascii="Arial" w:cs="Arial" w:eastAsia="Arial" w:hAnsi="Arial"/>
          <w:sz w:val="16"/>
          <w:szCs w:val="16"/>
          <w:color w:val="auto"/>
        </w:rPr>
        <w:t>) also include the accounts of VistaStem’s two wholly-owned inactive subsidiaries, Artemis Neuroscience, Inc., a Maryland corporation, and VistaStem Canada, Inc., a corporation organized under the laws of Ontario, Canada.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w:t>
      </w:r>
      <w:r>
        <w:rPr>
          <w:rFonts w:ascii="Arial" w:cs="Arial" w:eastAsia="Arial" w:hAnsi="Arial"/>
          <w:sz w:val="17"/>
          <w:szCs w:val="17"/>
          <w:i w:val="1"/>
          <w:iCs w:val="1"/>
          <w:color w:val="auto"/>
        </w:rPr>
        <w:t>U.S. GAAP</w:t>
      </w:r>
      <w:r>
        <w:rPr>
          <w:rFonts w:ascii="Arial" w:cs="Arial" w:eastAsia="Arial" w:hAnsi="Arial"/>
          <w:sz w:val="17"/>
          <w:szCs w:val="17"/>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as of March 31, 2021 has been derived from our audited consolidated financial statements at that date but does not include all disclosures required by U.S. GAAP. The operating results for the three and nine months ended December 31, 2021 are not necessarily indicative of the operating results to be expected for our fiscal year ending March 31, 2022, or for any other future interim or other period.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unaudited Condensed Consolidated Financial Statements and notes to the Condensed Consolidated Financial Statements contained in this Report should be read in conjunction with our audited Consolidated Financial Statements for our fiscal year ended March 31, 2021 contained in our Annual Report on Form 10-K, as filed with the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on June 29, 2021 (</w:t>
      </w:r>
      <w:r>
        <w:rPr>
          <w:rFonts w:ascii="Arial" w:cs="Arial" w:eastAsia="Arial" w:hAnsi="Arial"/>
          <w:sz w:val="17"/>
          <w:szCs w:val="17"/>
          <w:i w:val="1"/>
          <w:iCs w:val="1"/>
          <w:color w:val="auto"/>
        </w:rPr>
        <w:t>Form 10-K</w:t>
      </w:r>
      <w:r>
        <w:rPr>
          <w:rFonts w:ascii="Arial" w:cs="Arial" w:eastAsia="Arial" w:hAnsi="Arial"/>
          <w:sz w:val="17"/>
          <w:szCs w:val="17"/>
          <w:color w:val="auto"/>
        </w:rPr>
        <w:t>).</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assuming we will continue as a going concern. As a clinical-stage biopharmaceutical company having not yet developed commercial products or achieved sustainable revenues, we have experienced recurring losses and negative cash flows from operations resulting in a deficit of approximately $250.9 million accumulated from inception ( May 1998) through December 31, 2021. We expect losses and negative cash flows from operations to continue for the foreseeable future as we engage in further development of PH94B, PH10 and AV-101 and prepare for commercialization opportunities for our product candidates.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inception in May 1998 through December 31, 2021, we have financed our operations and technology acquisitions primarily through the issuance and sale of our equity and debt securities for cash proceeds of approximately $208.5 million, as well as from an aggregate of approximately $22.7 million of government research grant awards (excluding the fair market value of government sponsored and funded clinical trials), strategic collaboration payments and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December 31, 2021, holders of outstanding warrants to purchase an aggregate of 7,298,791 shares of our common stock exercised such warrants, and we received cash proceeds of approximately $6.2 million. Between December 2020 and March 31, 2021, holders of outstanding warrants to purchase an aggregate of 6,396,302 shares of our common stock exercised such warrants and we received cash proceeds of approximately $4.9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20"/>
        <w:spacing w:after="0" w:line="229" w:lineRule="auto"/>
        <w:rPr>
          <w:sz w:val="20"/>
          <w:szCs w:val="20"/>
          <w:color w:val="auto"/>
        </w:rPr>
      </w:pPr>
      <w:r>
        <w:rPr>
          <w:rFonts w:ascii="Arial" w:cs="Arial" w:eastAsia="Arial" w:hAnsi="Arial"/>
          <w:sz w:val="18"/>
          <w:szCs w:val="18"/>
          <w:color w:val="auto"/>
        </w:rPr>
        <w:t xml:space="preserve">In May 2021, we entered into an Open Market Sale Agreement </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(the </w:t>
      </w:r>
      <w:r>
        <w:rPr>
          <w:rFonts w:ascii="Arial" w:cs="Arial" w:eastAsia="Arial" w:hAnsi="Arial"/>
          <w:sz w:val="18"/>
          <w:szCs w:val="18"/>
          <w:i w:val="1"/>
          <w:iCs w:val="1"/>
          <w:color w:val="auto"/>
        </w:rPr>
        <w:t>Sales Agreement</w:t>
      </w:r>
      <w:r>
        <w:rPr>
          <w:rFonts w:ascii="Arial" w:cs="Arial" w:eastAsia="Arial" w:hAnsi="Arial"/>
          <w:sz w:val="18"/>
          <w:szCs w:val="18"/>
          <w:color w:val="auto"/>
        </w:rPr>
        <w:t xml:space="preserve">) with respect to an at-the-market offering program (the </w:t>
      </w:r>
      <w:r>
        <w:rPr>
          <w:rFonts w:ascii="Arial" w:cs="Arial" w:eastAsia="Arial" w:hAnsi="Arial"/>
          <w:sz w:val="18"/>
          <w:szCs w:val="18"/>
          <w:i w:val="1"/>
          <w:iCs w:val="1"/>
          <w:color w:val="auto"/>
        </w:rPr>
        <w:t>ATM</w:t>
      </w:r>
      <w:r>
        <w:rPr>
          <w:rFonts w:ascii="Arial" w:cs="Arial" w:eastAsia="Arial" w:hAnsi="Arial"/>
          <w:sz w:val="18"/>
          <w:szCs w:val="18"/>
          <w:color w:val="auto"/>
        </w:rPr>
        <w:t xml:space="preserve">) under which we may offer and sell, from time to time, shares of our common stock having an aggregate offering price of up to $75.0 million through our sales agent. In September 2021 and on October 1, 2021, we sold an aggregate of 1,517,798 shares of our common stock and received gross cash proceeds of approximately $4.45 million under the ATM. We have not sold any additional shares of our common stock under the Sales Agreement from October 2, 2021 through the date of this Report. Refer to Note 8, </w:t>
      </w:r>
      <w:r>
        <w:rPr>
          <w:rFonts w:ascii="Arial" w:cs="Arial" w:eastAsia="Arial" w:hAnsi="Arial"/>
          <w:sz w:val="18"/>
          <w:szCs w:val="18"/>
          <w:i w:val="1"/>
          <w:iCs w:val="1"/>
          <w:color w:val="auto"/>
        </w:rPr>
        <w:t>Capital Stock</w:t>
      </w:r>
      <w:r>
        <w:rPr>
          <w:rFonts w:ascii="Arial" w:cs="Arial" w:eastAsia="Arial" w:hAnsi="Arial"/>
          <w:sz w:val="18"/>
          <w:szCs w:val="18"/>
          <w:color w:val="auto"/>
        </w:rPr>
        <w:t>, for additional information about the Sales Agreement and matters related to sales of common stock under the ATM.</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December 2020, we entered into an underwriting agreement pursuant to which we sold, in an underwritten public offering (the </w:t>
      </w:r>
      <w:r>
        <w:rPr>
          <w:rFonts w:ascii="Arial" w:cs="Arial" w:eastAsia="Arial" w:hAnsi="Arial"/>
          <w:sz w:val="18"/>
          <w:szCs w:val="18"/>
          <w:i w:val="1"/>
          <w:iCs w:val="1"/>
          <w:color w:val="auto"/>
        </w:rPr>
        <w:t>December 2020 Public</w:t>
      </w:r>
      <w:r>
        <w:rPr>
          <w:rFonts w:ascii="Arial" w:cs="Arial" w:eastAsia="Arial" w:hAnsi="Arial"/>
          <w:sz w:val="18"/>
          <w:szCs w:val="18"/>
          <w:color w:val="auto"/>
        </w:rPr>
        <w:t xml:space="preserve"> </w:t>
      </w:r>
      <w:r>
        <w:rPr>
          <w:rFonts w:ascii="Arial" w:cs="Arial" w:eastAsia="Arial" w:hAnsi="Arial"/>
          <w:sz w:val="18"/>
          <w:szCs w:val="18"/>
          <w:i w:val="1"/>
          <w:iCs w:val="1"/>
          <w:color w:val="auto"/>
        </w:rPr>
        <w:t>Offering</w:t>
      </w:r>
      <w:r>
        <w:rPr>
          <w:rFonts w:ascii="Arial" w:cs="Arial" w:eastAsia="Arial" w:hAnsi="Arial"/>
          <w:sz w:val="18"/>
          <w:szCs w:val="18"/>
          <w:color w:val="auto"/>
        </w:rPr>
        <w:t>), 63.0 million shares of our common stock at a public offering price of $0.92 per share and 2.0 million shares of our newly authorized Series D</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Preferred Stock, par value $0.001 (</w:t>
      </w:r>
      <w:r>
        <w:rPr>
          <w:rFonts w:ascii="Arial" w:cs="Arial" w:eastAsia="Arial" w:hAnsi="Arial"/>
          <w:sz w:val="18"/>
          <w:szCs w:val="18"/>
          <w:i w:val="1"/>
          <w:iCs w:val="1"/>
          <w:color w:val="auto"/>
        </w:rPr>
        <w:t>Series D Preferred</w:t>
      </w:r>
      <w:r>
        <w:rPr>
          <w:rFonts w:ascii="Arial" w:cs="Arial" w:eastAsia="Arial" w:hAnsi="Arial"/>
          <w:sz w:val="18"/>
          <w:szCs w:val="18"/>
          <w:color w:val="auto"/>
        </w:rPr>
        <w:t xml:space="preserve"> and, together with the common stock, the </w:t>
      </w:r>
      <w:r>
        <w:rPr>
          <w:rFonts w:ascii="Arial" w:cs="Arial" w:eastAsia="Arial" w:hAnsi="Arial"/>
          <w:sz w:val="18"/>
          <w:szCs w:val="18"/>
          <w:i w:val="1"/>
          <w:iCs w:val="1"/>
          <w:color w:val="auto"/>
        </w:rPr>
        <w:t>Securities</w:t>
      </w:r>
      <w:r>
        <w:rPr>
          <w:rFonts w:ascii="Arial" w:cs="Arial" w:eastAsia="Arial" w:hAnsi="Arial"/>
          <w:sz w:val="18"/>
          <w:szCs w:val="18"/>
          <w:color w:val="auto"/>
        </w:rPr>
        <w:t>) at a public offering price of $21.16 per share, resulting in gross proceeds to us of $100 million. The 2.0 million shares of Series D Preferred were convertible into 46.0 million shares of common stock, and all shares of Series D Preferred were converted into common stock by June 30, 2021. Net proceeds to us from the Securities sold in the December 2020 Public Offering, after deducting underwriting discounts and commissions and offering expenses payable by us, was approximately $93.6 million.</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August 2020, we entered into an underwriting agreement pursuant to which we sold, in an underwritten public offering (the </w:t>
      </w:r>
      <w:r>
        <w:rPr>
          <w:rFonts w:ascii="Arial" w:cs="Arial" w:eastAsia="Arial" w:hAnsi="Arial"/>
          <w:sz w:val="17"/>
          <w:szCs w:val="17"/>
          <w:i w:val="1"/>
          <w:iCs w:val="1"/>
          <w:color w:val="auto"/>
        </w:rPr>
        <w:t>August 2020 Public</w:t>
      </w:r>
      <w:r>
        <w:rPr>
          <w:rFonts w:ascii="Arial" w:cs="Arial" w:eastAsia="Arial" w:hAnsi="Arial"/>
          <w:sz w:val="17"/>
          <w:szCs w:val="17"/>
          <w:color w:val="auto"/>
        </w:rPr>
        <w:t xml:space="preserve"> </w:t>
      </w:r>
      <w:r>
        <w:rPr>
          <w:rFonts w:ascii="Arial" w:cs="Arial" w:eastAsia="Arial" w:hAnsi="Arial"/>
          <w:sz w:val="17"/>
          <w:szCs w:val="17"/>
          <w:i w:val="1"/>
          <w:iCs w:val="1"/>
          <w:color w:val="auto"/>
        </w:rPr>
        <w:t>Offering</w:t>
      </w:r>
      <w:r>
        <w:rPr>
          <w:rFonts w:ascii="Arial" w:cs="Arial" w:eastAsia="Arial" w:hAnsi="Arial"/>
          <w:sz w:val="17"/>
          <w:szCs w:val="17"/>
          <w:color w:val="auto"/>
        </w:rPr>
        <w:t>), an aggregate of 15,625,000 shares of our common stock at a public offering price of $0.80 per share, resulting in gross proceeds to us of $12.5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Under the terms of an overallotment option we granted, the underwriter exercised such option with respect to 2,243,250 shares of common stock, resulting in additional gross proceeds to us of approximately $1.8 million. Aggregate net proceeds to us from the August 2020 Public Offering, after deducting underwriting discounts and commissions and offering expenses payable by us, were approximately $12.9 million.</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more completely described in Note 11, </w:t>
      </w:r>
      <w:r>
        <w:rPr>
          <w:rFonts w:ascii="Arial" w:cs="Arial" w:eastAsia="Arial" w:hAnsi="Arial"/>
          <w:sz w:val="18"/>
          <w:szCs w:val="18"/>
          <w:i w:val="1"/>
          <w:iCs w:val="1"/>
          <w:color w:val="auto"/>
        </w:rPr>
        <w:t>Sublicensing and Collaboration Agreements</w:t>
      </w:r>
      <w:r>
        <w:rPr>
          <w:rFonts w:ascii="Arial" w:cs="Arial" w:eastAsia="Arial" w:hAnsi="Arial"/>
          <w:sz w:val="18"/>
          <w:szCs w:val="18"/>
          <w:color w:val="auto"/>
        </w:rPr>
        <w:t xml:space="preserve">, in June 2020, we entered into a strategic licensing and collaboration agreement for the clinical development and commercialization of PH94B for acute treatment of anxiety in adults with SAD and other potential anxiety-related disorders (the </w:t>
      </w:r>
      <w:r>
        <w:rPr>
          <w:rFonts w:ascii="Arial" w:cs="Arial" w:eastAsia="Arial" w:hAnsi="Arial"/>
          <w:sz w:val="18"/>
          <w:szCs w:val="18"/>
          <w:i w:val="1"/>
          <w:iCs w:val="1"/>
          <w:color w:val="auto"/>
        </w:rPr>
        <w:t>AffaMed Agreement</w:t>
      </w:r>
      <w:r>
        <w:rPr>
          <w:rFonts w:ascii="Arial" w:cs="Arial" w:eastAsia="Arial" w:hAnsi="Arial"/>
          <w:sz w:val="18"/>
          <w:szCs w:val="18"/>
          <w:color w:val="auto"/>
        </w:rPr>
        <w:t>) pursuant to which we received an upfront license payment of $5.0 million in August 2020. The upfront license payment resulted in net cash proceeds to us of approximately $4.655 million after the sublicense payment we agreed to make to Pherin Pharmaceuticals, Inc. (</w:t>
      </w:r>
      <w:r>
        <w:rPr>
          <w:rFonts w:ascii="Arial" w:cs="Arial" w:eastAsia="Arial" w:hAnsi="Arial"/>
          <w:sz w:val="18"/>
          <w:szCs w:val="18"/>
          <w:i w:val="1"/>
          <w:iCs w:val="1"/>
          <w:color w:val="auto"/>
        </w:rPr>
        <w:t>Pherin</w:t>
      </w:r>
      <w:r>
        <w:rPr>
          <w:rFonts w:ascii="Arial" w:cs="Arial" w:eastAsia="Arial" w:hAnsi="Arial"/>
          <w:sz w:val="18"/>
          <w:szCs w:val="18"/>
          <w:color w:val="auto"/>
        </w:rPr>
        <w:t>) pursuant to our PH94B license from Pherin, and payment for consulting services related to the consummation of the AffaMed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Capital Resources and Going Concern</w:t>
      </w:r>
    </w:p>
    <w:p>
      <w:pPr>
        <w:spacing w:after="0" w:line="225" w:lineRule="exact"/>
        <w:rPr>
          <w:sz w:val="20"/>
          <w:szCs w:val="20"/>
          <w:color w:val="auto"/>
        </w:rPr>
      </w:pPr>
    </w:p>
    <w:p>
      <w:pPr>
        <w:jc w:val="both"/>
        <w:ind w:left="20"/>
        <w:spacing w:after="0" w:line="289" w:lineRule="auto"/>
        <w:rPr>
          <w:sz w:val="20"/>
          <w:szCs w:val="20"/>
          <w:color w:val="auto"/>
        </w:rPr>
      </w:pPr>
      <w:r>
        <w:rPr>
          <w:rFonts w:ascii="Arial" w:cs="Arial" w:eastAsia="Arial" w:hAnsi="Arial"/>
          <w:sz w:val="16"/>
          <w:szCs w:val="16"/>
          <w:color w:val="auto"/>
        </w:rPr>
        <w:t>During our fiscal year ended March 31, 2021, we received approximately $119 million in net cash proceeds, primarily from the transactions described above. As disclosed above, during the nine months ended December 31, 2021, we received an additional $6.2 million in cash proceeds from the exercise of outstanding warrants and approximately $4.45 million in gross cash proceeds from the sale of our common stock under the Sales Agreement. Although we had cash and cash equivalents of approximately $83.7 million at December 31, 2021, should the clinical development and regulatory initiatives in our PALISADE Phase 3 Program for PH94B in SAD prove successful, it is probable that such cash position will not be sufficient to fund our planned operations, including, notably, our planned expansion of phase-appropriate preparations for commercialization of PH94B in the United States, for the twelve months following the issuance of these financial statements, which raises substantial doubt that we can continue as a going concern without securing additional capital. Additionally,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166"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During the next twelve months, we plan to (i) continue to advance and complete our PALISADE Phase 3 Program designed to develop and commercialize PH94B as a new acute treatment of anxiety in adults with SAD, (ii) continue to advance our exploratory clinical program for PH94B in a series of small studies to advance our understanding of its therapeutic potential in anxiety disorders beyond SAD, (iii) complete preparations for and initiate Phase 2B clinical development of PH10 as a potential stand-alone treatment for MDD, (iv) complete our exploratory Phase 1B drug-drug interaction clinical study of AV-101 in combination with probenecid to enhance our understanding of its therapeutic potential in certain neurological disorders, (v) conduct various nonclinical studies involving PH94B, PH10 and AV-101, and (vi) continue phase-appropriate preparations for commercialization of PH94B should the development and regulatory initiatives in our PALISADE Phase 3 Program in SAD prove successful.</w:t>
      </w:r>
    </w:p>
    <w:p>
      <w:pPr>
        <w:spacing w:after="0" w:line="177" w:lineRule="exact"/>
        <w:rPr>
          <w:sz w:val="20"/>
          <w:szCs w:val="20"/>
          <w:color w:val="auto"/>
        </w:rPr>
      </w:pPr>
    </w:p>
    <w:p>
      <w:pPr>
        <w:jc w:val="both"/>
        <w:ind w:left="20"/>
        <w:spacing w:after="0" w:line="291" w:lineRule="auto"/>
        <w:rPr>
          <w:sz w:val="20"/>
          <w:szCs w:val="20"/>
          <w:color w:val="auto"/>
        </w:rPr>
      </w:pPr>
      <w:r>
        <w:rPr>
          <w:rFonts w:ascii="Arial" w:cs="Arial" w:eastAsia="Arial" w:hAnsi="Arial"/>
          <w:sz w:val="16"/>
          <w:szCs w:val="16"/>
          <w:color w:val="auto"/>
        </w:rPr>
        <w:t xml:space="preserve">As we have been in the past, we expect that, when necessary and advantageous, we will be successful in obtaining additional financial resources to fund our planned operations through (i) the potential issuance of debt securities or sales of our equity securities in one or more (ii) public offerings, including strategic transactions under the Sales Agreement, (iii) private placements, (iv) the exercises of some or all of the currently outstanding 9,307,858 warrants prior to their expiration, and/or (v) in strategic licensing collaborations involving one or more of our drug candidates in markets outside the United States, similar to the AffaMed Agreement. Subject to certain restrictions, our Registration Statement on Form S-3 (the </w:t>
      </w:r>
      <w:r>
        <w:rPr>
          <w:rFonts w:ascii="Arial" w:cs="Arial" w:eastAsia="Arial" w:hAnsi="Arial"/>
          <w:sz w:val="16"/>
          <w:szCs w:val="16"/>
          <w:i w:val="1"/>
          <w:iCs w:val="1"/>
          <w:color w:val="auto"/>
        </w:rPr>
        <w:t>S-3 Shelf Registration Statement</w:t>
      </w:r>
      <w:r>
        <w:rPr>
          <w:rFonts w:ascii="Arial" w:cs="Arial" w:eastAsia="Arial" w:hAnsi="Arial"/>
          <w:sz w:val="16"/>
          <w:szCs w:val="16"/>
          <w:color w:val="auto"/>
        </w:rPr>
        <w:t>) remains available for future sales of our equity securities in one or more public offerings from time to time. While we may make additional sales of our equity securities under the S-3 Shelf Registration Statement and/or under the Sales Agreement, we do not have an obligation to do so.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In addition to the potential issuance of debt securities or sale of our equity securities, we may also seek to enter into research, development and/or commercialization collaborations similar to the AffaMed Agreement to provide non-dilutive funding for our operations, while also reducing a portion of our future cash outlays and working capital requirements. Although we may seek additional collaborations that could generate revenue and/or provide non-dilutive funding for development and commercialization of our product candidates, no assurance can be provided that any such collaborations will occur in the future.</w:t>
      </w:r>
    </w:p>
    <w:p>
      <w:pPr>
        <w:spacing w:after="0" w:line="188"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Our future working capital requirements will depend on many factors, including, without limitation, potential impacts related to the on-going COVID-19 pandemic, the scope and nature of opportunities related to our success and the success of certain other companies in nonclinical and clinical trials, including our development and commercialization of our current product candidates, the availability of, and our ability to enter into collaborations on terms acceptable to us. To further advance the clinical development and potential commercialization of PH94B, PH10, and AV-101, as well as support our operating activities, we plan to continue to carefully manage our routine operating costs as well as our clinical and nonclinical programs and pre-launch commercialization initiatives.</w:t>
      </w:r>
    </w:p>
    <w:p>
      <w:pPr>
        <w:spacing w:after="0" w:line="192" w:lineRule="exact"/>
        <w:rPr>
          <w:sz w:val="20"/>
          <w:szCs w:val="20"/>
          <w:color w:val="auto"/>
        </w:rPr>
      </w:pPr>
    </w:p>
    <w:p>
      <w:pPr>
        <w:jc w:val="both"/>
        <w:ind w:left="20"/>
        <w:spacing w:after="0" w:line="273" w:lineRule="auto"/>
        <w:rPr>
          <w:sz w:val="20"/>
          <w:szCs w:val="20"/>
          <w:color w:val="auto"/>
        </w:rPr>
      </w:pPr>
      <w:r>
        <w:rPr>
          <w:rFonts w:ascii="Arial" w:cs="Arial" w:eastAsia="Arial" w:hAnsi="Arial"/>
          <w:sz w:val="17"/>
          <w:szCs w:val="17"/>
          <w:color w:val="auto"/>
        </w:rPr>
        <w:t>Notwithstanding the foregoing, there can be no assurance that our current strategic collaboration under the AffaMed Agreement will generate revenue from future potential milestone payments, or that future financings or other strategic collaborations will be available to us in sufficient amounts, in a timely manner, or on terms acceptable to us, if at all. If we are unable to obtain additional financing on a timely basis when needed, our business, financial condition, and results of operations may be harmed, the price of our stock may decline, we may be required to reduce, defer, or discontinue certain of our research and development activities and we may not be able to continue as a going concern. These Condensed Consolidated Financial Statements do not include any adjustments that might result from the negative outcome of this uncertainty.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right-of-use assets and lease liabilities and assumptions that have been used historically to value warrants and warrant modifications.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left="20"/>
        <w:spacing w:after="0" w:line="269" w:lineRule="auto"/>
        <w:rPr>
          <w:sz w:val="20"/>
          <w:szCs w:val="20"/>
          <w:color w:val="auto"/>
        </w:rPr>
      </w:pPr>
      <w:r>
        <w:rPr>
          <w:rFonts w:ascii="Arial" w:cs="Arial" w:eastAsia="Arial" w:hAnsi="Arial"/>
          <w:sz w:val="17"/>
          <w:szCs w:val="17"/>
          <w:color w:val="auto"/>
        </w:rPr>
        <w:t>We generate revenue from collaborative research and development arrangements and licensing and technology transfer agreements, including strategic licenses or sublicenses. Until such time as we commence commercial sales of any of our product candidates following successful development, clinical and regulatory approval, we expect that our primary source of revenue beginning from the quarter ended September 30, 2020 will be from the AffaMed Agreement involving clinical development and commercialization of PH94B for acute treatment of anxiety in adults with SAD, and potentially other anxiety-related disorders, in Greater China, South Korea, and Southeast Asia. The terms of the AffaMed Agreement include a $5.0 million non-refundable upfront license fee which we received in August 2020, potential payments based upon achievement of certain development and commercial milestones, and royalties on product sales. In addition, we are also party to an Exclusive License and Sublicense Agreement with BlueRock Therapeutics, LP, a subsidiary of Bayer AG (</w:t>
      </w:r>
      <w:r>
        <w:rPr>
          <w:rFonts w:ascii="Arial" w:cs="Arial" w:eastAsia="Arial" w:hAnsi="Arial"/>
          <w:sz w:val="17"/>
          <w:szCs w:val="17"/>
          <w:i w:val="1"/>
          <w:iCs w:val="1"/>
          <w:color w:val="auto"/>
        </w:rPr>
        <w:t>BlueRock</w:t>
      </w:r>
      <w:r>
        <w:rPr>
          <w:rFonts w:ascii="Arial" w:cs="Arial" w:eastAsia="Arial" w:hAnsi="Arial"/>
          <w:sz w:val="17"/>
          <w:szCs w:val="17"/>
          <w:color w:val="auto"/>
        </w:rPr>
        <w:t>), pursuant to which BlueRock received exclusive rights to utilize certain technologies exclusively licensed by us from University Health Network (</w:t>
      </w:r>
      <w:r>
        <w:rPr>
          <w:rFonts w:ascii="Arial" w:cs="Arial" w:eastAsia="Arial" w:hAnsi="Arial"/>
          <w:sz w:val="17"/>
          <w:szCs w:val="17"/>
          <w:i w:val="1"/>
          <w:iCs w:val="1"/>
          <w:color w:val="auto"/>
        </w:rPr>
        <w:t>UHN</w:t>
      </w:r>
      <w:r>
        <w:rPr>
          <w:rFonts w:ascii="Arial" w:cs="Arial" w:eastAsia="Arial" w:hAnsi="Arial"/>
          <w:sz w:val="17"/>
          <w:szCs w:val="17"/>
          <w:color w:val="auto"/>
        </w:rPr>
        <w:t xml:space="preserve">) for the production of cardiac stem cells for the treatment of heart disease. As a result Bayer AG holds the rights to develop and commercialize our hPSC technologies relating to the production of heart cells for the treatment of heart disease (the </w:t>
      </w:r>
      <w:r>
        <w:rPr>
          <w:rFonts w:ascii="Arial" w:cs="Arial" w:eastAsia="Arial" w:hAnsi="Arial"/>
          <w:sz w:val="17"/>
          <w:szCs w:val="17"/>
          <w:i w:val="1"/>
          <w:iCs w:val="1"/>
          <w:color w:val="auto"/>
        </w:rPr>
        <w:t>Bayer Agreement</w:t>
      </w:r>
      <w:r>
        <w:rPr>
          <w:rFonts w:ascii="Arial" w:cs="Arial" w:eastAsia="Arial" w:hAnsi="Arial"/>
          <w:sz w:val="17"/>
          <w:szCs w:val="17"/>
          <w:color w:val="auto"/>
        </w:rPr>
        <w:t>). To date, we have recognized $1.25 million of sublicense revenue received pursuant to the Bayer Agreement, recorded in the third quarter of our fiscal year ended March 31, 2017.</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Accounting 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xml:space="preserve">) Topic 606,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we recognize revenue when our customers obtain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w:t>
      </w:r>
    </w:p>
    <w:p>
      <w:pPr>
        <w:spacing w:after="0" w:line="2" w:lineRule="exact"/>
        <w:rPr>
          <w:sz w:val="20"/>
          <w:szCs w:val="20"/>
          <w:color w:val="auto"/>
        </w:rPr>
      </w:pPr>
    </w:p>
    <w:p>
      <w:pPr>
        <w:jc w:val="both"/>
        <w:ind w:firstLine="8"/>
        <w:spacing w:after="0" w:line="253" w:lineRule="auto"/>
        <w:tabs>
          <w:tab w:leader="none" w:pos="228"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components are separable from the other aspects of the contractual relationship. In assessing whether a promised good or service is distinct in the evaluation of a collaboration arrangement subject to Topic 606, we consider factors such as the research, manufacturing and commercialization capabilities of the collaboration partner and the availability of the associated expertise in the general marketplace.</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Collaboration arrangements can have several promised goods or services including a license for our intellectual property, product supply and development and regulatory services. When the customer could not obtain the intended benefit of the contract from a promised good or service without one or more other promises in the contract, the promise is determined to be not distinct in the context of the contract and is combined with other promises until the combined promises are distinct to identify performance obligations. We have determined that the AffaMed Agreement includes a single combined performance obligation that includes both the license to intellectual property and development and regulatory services.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Arrangements can include promises for optional additional items, which are considered marketing offers and are accounted for as separate contracts when the customer elects such options. Arrangements that include a promise for future supply of product for either clinical development or commercial supply and optional research and development services at the customer’s or the Company’s discretion are generally considered as options. We assess whether these options provide a material right to the customer and if so, such material rights are accounted for as separate performance obligations. When the customer exercises an option, any additional payments related to the option are recorded in revenue when the customer obtains control of the goods or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Arrangements may have both fixed and variable consideration. For collaboration agreements, the non-refundable upfront fees and product supply selling prices are considered fixed, while milestone payments are considered variable consideration when determining the transaction price. At the inception of each arrangement, we evaluate whether the development milestones are considered probable of being achieved and estimate an amount to be included in the transaction price using the most likely amount method. If it is probable that a significant revenue reversal would not occur, the value of the associated milestone is included in the transaction price. Milestone payments that are not within our control or the licensee’s control, such as approvals from regulators, are generally not considered probable of being achieved until such approvals are received.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sales-based royalties, including commercial milestone payments based on the level of sales, for which the license is deemed to be the predominant item to which the royalties relate, we recognize revenue at the later of when (a) the related sales occur, or (b) the performance obligation to which some or all of the royalty has been allocated has been satisfied (or partially satisfied).</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Consideration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part of the accounting for collaboration arrangements, we must develop assumptions that require judgment to determine the stand-alone selling price of each performance obligation identified in the contract. The transaction price is allocated to the identified performance obligations in proportion to their standalone selling prices (</w:t>
      </w:r>
      <w:r>
        <w:rPr>
          <w:rFonts w:ascii="Arial" w:cs="Arial" w:eastAsia="Arial" w:hAnsi="Arial"/>
          <w:sz w:val="17"/>
          <w:szCs w:val="17"/>
          <w:i w:val="1"/>
          <w:iCs w:val="1"/>
          <w:color w:val="auto"/>
        </w:rPr>
        <w:t>SSP</w:t>
      </w:r>
      <w:r>
        <w:rPr>
          <w:rFonts w:ascii="Arial" w:cs="Arial" w:eastAsia="Arial" w:hAnsi="Arial"/>
          <w:sz w:val="17"/>
          <w:szCs w:val="17"/>
          <w:color w:val="auto"/>
        </w:rPr>
        <w:t>) on a relative SSP basis. SSP is determined at contract inception and is not updated to reflect changes between contract inception and satisfaction of the performance obligations. In developing the SSP for a performance obligation, we consider applicable market conditions and relevant Company-specific factors, including factors that were contemplated in negotiating the agreement with the customer and estimated costs. We validate the SSP for performance obligations by evaluating whether changes in the key assumptions used to determine the SSP will have a significant effect on the allocation of arrangement consideration between multiple performance obligations. Since the AffaMed Agreement includes a single combined performance obligation that is not distinct, there is no allocation of consideration.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Recognition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Significant management judgment is required to determine the level of effort required under collaboration arrangements and the period over which we expect to complete our performance obligations under the arrangement. The performance period or measure of progress is estimated at the inception of the arrangement and re-evaluated in each reporting period. This re-evaluation may shorten or lengthen the period over which revenue is recognized. Changes to these estimates are recorded on a cumulative catch-up basis. Revenue is recognized for products at a point in time and for licenses of functional intellectual property at the point in time the customer can use and benefit from the license. For performance obligations that are services, revenue is recognized over time using an output or input method. For performance obligations that are a combination of licenses to intellectual property and interdependent services, the nature of the combined performance obligation is considered when determining the method and measure of progress that best represents the satisfaction of the performance obligation. For the single combined performance obligation of the AffaMed Agreement, the measure of progress is stand-ready straight-line over the period in which we expect to perform the services related to the license of PH94B.</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difference between revenue recognized to-date and the consideration invoiced or received to-date is recognized as either a contract asset/unbilled revenue (revenue earned exceeds cash received) or a contract liability/deferred revenue (cash received exceeds revenue earned). At December 31, 2021, we have recorded deferred revenue of $2,840,500. The following table presents changes in our contract liabilities for the nine months ended December 31, 2021:</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3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Balance at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March 31, 2021</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Additions</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Deductions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0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 current portion</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1,420,200</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1,420,200</w:t>
            </w: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Deferred Revenue - non-current portion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2,490,300</w:t>
            </w:r>
          </w:p>
        </w:tc>
        <w:tc>
          <w:tcPr>
            <w:tcW w:w="12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(1,070,000)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1,420,300</w:t>
            </w:r>
          </w:p>
        </w:tc>
      </w:tr>
      <w:tr>
        <w:trPr>
          <w:trHeight w:val="20"/>
        </w:trPr>
        <w:tc>
          <w:tcPr>
            <w:tcW w:w="3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3,915,500</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2,840,500</w:t>
            </w:r>
          </w:p>
        </w:tc>
      </w:tr>
      <w:tr>
        <w:trPr>
          <w:trHeight w:val="20"/>
        </w:trPr>
        <w:tc>
          <w:tcPr>
            <w:tcW w:w="36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single combined performance obligation under the AffaMed Agreement, the measure of progress is stand-ready straight-line over the period in which we expect to perform the services related to the sublicense of PH94B. Accordingly, deferred revenue is being recognized on a straight-line basis over the period in which we expect to perform the services.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and nine months ended December 31, 2021, we recognized $357,900 and $1,070,000, respectively, as revenue related to the AffaMed Agreement, compared to $313,600 and $647,600 for the three- and nine-month periods ended December 31, 2020,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quarter ended September 30, 2020, we made cash payments aggregating $345,000 for sublicense fees, which we were obligated to make pursuant to our PH94B license from Pherin, and fees for consulting services exclusively related to the AffaMed Agreement. Additionally, on June 24, 2020, we issued 233,645 unregistered shares of our common stock, valued at $125,000, as partial compensation for consulting services related exclusively to the consummation of the AffaMed Agreement. These sublicense fees and consulting payments and the fair value of the common stock issued, aggregating $470,000, were incurred solely to obtain the AffaMed Agreement, and, accordingly, have been capitalized as deferred contract acquisition costs in our Condensed Consolidated Balance Sheet. Capitalized contract acquisition costs are amortized over the period in which we expect to satisfy the performance obligations under the AffaMed Agreement and the amortization expense has been included in general and administrative expenses in our Condensed Consolidated Statement of Operations and Comprehensive Loss. In the three and nine months ended December 31, 2021, we amortized $33,600 and $100,600, respectively to general and administrative expense in recognition of the services performed under the arrangement. We amortized $29,500 and $60,900 for the three and nine months ended December 31, 2020, respectively. There has been no impairment loss in relation to the costs capitalized.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4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700" w:type="dxa"/>
            <w:vAlign w:val="bottom"/>
            <w:gridSpan w:val="1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7980" w:type="dxa"/>
            <w:vAlign w:val="bottom"/>
            <w:gridSpan w:val="12"/>
          </w:tcPr>
          <w:p>
            <w:pPr>
              <w:spacing w:after="0"/>
              <w:rPr>
                <w:sz w:val="20"/>
                <w:szCs w:val="20"/>
                <w:color w:val="auto"/>
              </w:rPr>
            </w:pPr>
            <w:r>
              <w:rPr>
                <w:rFonts w:ascii="Arial" w:cs="Arial" w:eastAsia="Arial" w:hAnsi="Arial"/>
                <w:sz w:val="18"/>
                <w:szCs w:val="18"/>
                <w:color w:val="auto"/>
                <w:w w:val="91"/>
              </w:rPr>
              <w:t>The following table summarizes our contract acquisition costs for the nine months ended December 31, 2021.</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Balance at</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March 31, 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Additions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Deductions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 - current portion</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133,500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133,500</w:t>
            </w:r>
          </w:p>
        </w:tc>
      </w:tr>
      <w:tr>
        <w:trPr>
          <w:trHeight w:val="216"/>
        </w:trPr>
        <w:tc>
          <w:tcPr>
            <w:tcW w:w="160" w:type="dxa"/>
            <w:vAlign w:val="bottom"/>
          </w:tcPr>
          <w:p>
            <w:pPr>
              <w:spacing w:after="0"/>
              <w:rPr>
                <w:sz w:val="18"/>
                <w:szCs w:val="18"/>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w w:val="93"/>
              </w:rPr>
              <w:t>Deferred Contract Acquisition Costs - non-current portion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234,100</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(100,600)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133,500</w:t>
            </w:r>
          </w:p>
        </w:tc>
      </w:tr>
      <w:tr>
        <w:trPr>
          <w:trHeight w:val="20"/>
        </w:trPr>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160" w:type="dxa"/>
            <w:vAlign w:val="bottom"/>
          </w:tcPr>
          <w:p>
            <w:pPr>
              <w:spacing w:after="0"/>
              <w:rPr>
                <w:sz w:val="19"/>
                <w:szCs w:val="19"/>
                <w:color w:val="auto"/>
              </w:rPr>
            </w:pP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367,600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267,000</w:t>
            </w:r>
          </w:p>
        </w:tc>
      </w:tr>
      <w:tr>
        <w:trPr>
          <w:trHeight w:val="20"/>
        </w:trPr>
        <w:tc>
          <w:tcPr>
            <w:tcW w:w="16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PH94B, PH10, AV-101, and other research and development costs, and costs related to the application and prosecution of patents related to those product candidates and, to a lesser extent, our stem cell technology platform. All such costs are charged to expense as incurred. We also record accruals for estimated ongoing clinical trial costs. Clinical trial costs represent costs incurred by contract research organizations (</w:t>
      </w:r>
      <w:r>
        <w:rPr>
          <w:rFonts w:ascii="Arial" w:cs="Arial" w:eastAsia="Arial" w:hAnsi="Arial"/>
          <w:sz w:val="16"/>
          <w:szCs w:val="16"/>
          <w:i w:val="1"/>
          <w:iCs w:val="1"/>
          <w:color w:val="auto"/>
        </w:rPr>
        <w:t>CRO</w:t>
      </w:r>
      <w:r>
        <w:rPr>
          <w:rFonts w:ascii="Arial" w:cs="Arial" w:eastAsia="Arial" w:hAnsi="Arial"/>
          <w:sz w:val="16"/>
          <w:szCs w:val="16"/>
          <w:color w:val="auto"/>
        </w:rPr>
        <w:t>s) and clinical trial sites. Progress payments are generally made to contract research and development organizations, clinical sites, investigators and other professional service providers. We analyze the progress of clinical trials,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 Costs incurred in obtaining product or technology licenses are charged immediately to research and development expense if the product or technology licensed has not achieved regulatory approval or reached technical feasibility and has no alternative future uses, as was the case with our acquisition of the exclusive worldwide licenses for PH94B and PH10 from Pherin during our fiscal year ended March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compensation cost for all stock-based awards to employees, independent directors and non-employee consultants based on the grant date fair value of the award. We record non-cash, stock-based compensation expense over the period during which the employee or other grantee is required to perform services in exchange for the award, which generally represents the scheduled vesting period. We have not granted restricted stock awards to employees or others, nor do we have any awards with market or performance conditions. Non-cash expense attributable to compensatory grants of shares of our common stock to non-employees is determined by the quoted market price of the stock on the date of grant and is either recognized as fully-earned at the time of the grant or amortized ratably over the term of the related service agreement, depending on the terms of the specific agreement.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stock-based compensation expense included in the accompanying Condensed Consolidated Statements of Operations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Three Months Ended December 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1"/>
              </w:rPr>
              <w:t>Nine Months Ended December 31,</w:t>
            </w:r>
          </w:p>
        </w:tc>
      </w:tr>
      <w:tr>
        <w:trPr>
          <w:trHeight w:val="210"/>
        </w:trPr>
        <w:tc>
          <w:tcPr>
            <w:tcW w:w="3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281,800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836,200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567,900</w:t>
            </w: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442,000</w:t>
            </w: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511,500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1,242,500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1,248,000</w:t>
            </w:r>
          </w:p>
        </w:tc>
      </w:tr>
      <w:tr>
        <w:trPr>
          <w:trHeight w:val="20"/>
        </w:trPr>
        <w:tc>
          <w:tcPr>
            <w:tcW w:w="3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723,800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730,400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2,078,700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1,815,900</w:t>
            </w: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Expense amounts reported above include $14,400 and $31,100 in research and development expense for the three and nine months ended December 31, 2021, respectively, and $6,000 and $14,600 in general and administrative expense for the three and nine months ended December 31, 2021, respectively, attributable to our 2019 Employee Stock Purchase Plan (the </w:t>
      </w:r>
      <w:r>
        <w:rPr>
          <w:rFonts w:ascii="Arial" w:cs="Arial" w:eastAsia="Arial" w:hAnsi="Arial"/>
          <w:sz w:val="17"/>
          <w:szCs w:val="17"/>
          <w:i w:val="1"/>
          <w:iCs w:val="1"/>
          <w:color w:val="auto"/>
        </w:rPr>
        <w:t>2019 ESPP</w:t>
      </w:r>
      <w:r>
        <w:rPr>
          <w:rFonts w:ascii="Arial" w:cs="Arial" w:eastAsia="Arial" w:hAnsi="Arial"/>
          <w:sz w:val="17"/>
          <w:szCs w:val="17"/>
          <w:color w:val="auto"/>
        </w:rPr>
        <w:t>). Expense amounts reported above include $1,400 and $5,200 in research and development expense for the three and nine months ended December 31, 2020, respectively, and $1,300 and $4,100 in general and administrative expense for the three and nine months ended December 31, 2020, respectively, attributable to the 2019 ESPP.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At our Annual Meeting of Stockholders held on September 17, 2021, our stockholders approved an amendment and restatement of our 2019 Omnibus Equity Incentive Plan (the </w:t>
      </w:r>
      <w:r>
        <w:rPr>
          <w:rFonts w:ascii="Arial" w:cs="Arial" w:eastAsia="Arial" w:hAnsi="Arial"/>
          <w:sz w:val="17"/>
          <w:szCs w:val="17"/>
          <w:i w:val="1"/>
          <w:iCs w:val="1"/>
          <w:color w:val="auto"/>
        </w:rPr>
        <w:t>Amended 2019 Plan</w:t>
      </w:r>
      <w:r>
        <w:rPr>
          <w:rFonts w:ascii="Arial" w:cs="Arial" w:eastAsia="Arial" w:hAnsi="Arial"/>
          <w:sz w:val="17"/>
          <w:szCs w:val="17"/>
          <w:color w:val="auto"/>
        </w:rPr>
        <w:t xml:space="preserve">) which made certain changes to our 2019 Omnibus Equity Incentive Plan, including increasing the number of shares of our common stock authorized for issuance thereunder from 7.5 million shares to 18.0 million shares. During the nine months ended December 31, 2021, we granted from the Amended 2019 Plan and its predecessor options to purchase an aggregate of 1,690,000 shares of our common stock at exercise prices at or above the closing market price of our common stock on each respective date of grant, 1,275,000 of which were granted to newly-hired employees, 225,000 of which were granted to three new independent members of our Board of Directors (the </w:t>
      </w:r>
      <w:r>
        <w:rPr>
          <w:rFonts w:ascii="Arial" w:cs="Arial" w:eastAsia="Arial" w:hAnsi="Arial"/>
          <w:sz w:val="17"/>
          <w:szCs w:val="17"/>
          <w:i w:val="1"/>
          <w:iCs w:val="1"/>
          <w:color w:val="auto"/>
        </w:rPr>
        <w:t>Board</w:t>
      </w:r>
      <w:r>
        <w:rPr>
          <w:rFonts w:ascii="Arial" w:cs="Arial" w:eastAsia="Arial" w:hAnsi="Arial"/>
          <w:sz w:val="17"/>
          <w:szCs w:val="17"/>
          <w:color w:val="auto"/>
        </w:rPr>
        <w:t>), and 190,000 of which were granted to consultants. The options granted to newly hired employees vest 25% on the first anniversary of the grant date with the remaining shares vesting ratably monthly over the next three years. Options granted to new members of the Board and certain consultants vest ratably over a period of twelve months. Options granted to one consultant vest 25% on the first anniversary of the grant date with the remaining shares vesting ratably monthly over the next two years We valued the options granted during the nine months ended December 31, 2021 using the Black-Scholes Option Pricing Model and the following assumptions:</w:t>
      </w:r>
    </w:p>
    <w:p>
      <w:pPr>
        <w:spacing w:after="0" w:line="178"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Assumption:</w:t>
            </w:r>
          </w:p>
        </w:tc>
        <w:tc>
          <w:tcPr>
            <w:tcW w:w="100" w:type="dxa"/>
            <w:vAlign w:val="bottom"/>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Weighted Average</w:t>
            </w:r>
          </w:p>
        </w:tc>
        <w:tc>
          <w:tcPr>
            <w:tcW w:w="240" w:type="dxa"/>
            <w:vAlign w:val="bottom"/>
          </w:tcPr>
          <w:p>
            <w:pPr>
              <w:spacing w:after="0"/>
              <w:rPr>
                <w:sz w:val="20"/>
                <w:szCs w:val="20"/>
                <w:color w:val="auto"/>
              </w:rPr>
            </w:pPr>
          </w:p>
        </w:tc>
        <w:tc>
          <w:tcPr>
            <w:tcW w:w="112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b w:val="1"/>
                <w:bCs w:val="1"/>
                <w:color w:val="auto"/>
                <w:w w:val="87"/>
              </w:rPr>
              <w:t>Range</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2.56</w:t>
            </w:r>
          </w:p>
        </w:tc>
        <w:tc>
          <w:tcPr>
            <w:tcW w:w="700" w:type="dxa"/>
            <w:vAlign w:val="bottom"/>
          </w:tcPr>
          <w:p>
            <w:pPr>
              <w:jc w:val="right"/>
              <w:spacing w:after="0"/>
              <w:rPr>
                <w:sz w:val="20"/>
                <w:szCs w:val="20"/>
                <w:color w:val="auto"/>
              </w:rPr>
            </w:pPr>
            <w:r>
              <w:rPr>
                <w:rFonts w:ascii="Arial" w:cs="Arial" w:eastAsia="Arial" w:hAnsi="Arial"/>
                <w:sz w:val="18"/>
                <w:szCs w:val="18"/>
                <w:color w:val="auto"/>
              </w:rPr>
              <w:t>$1.80</w:t>
            </w:r>
          </w:p>
        </w:tc>
        <w:tc>
          <w:tcPr>
            <w:tcW w:w="42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5.92</w:t>
            </w:r>
          </w:p>
        </w:tc>
        <w:tc>
          <w:tcPr>
            <w:tcW w:w="700" w:type="dxa"/>
            <w:vAlign w:val="bottom"/>
          </w:tcPr>
          <w:p>
            <w:pPr>
              <w:jc w:val="right"/>
              <w:spacing w:after="0"/>
              <w:rPr>
                <w:sz w:val="20"/>
                <w:szCs w:val="20"/>
                <w:color w:val="auto"/>
              </w:rPr>
            </w:pPr>
            <w:r>
              <w:rPr>
                <w:rFonts w:ascii="Arial" w:cs="Arial" w:eastAsia="Arial" w:hAnsi="Arial"/>
                <w:sz w:val="18"/>
                <w:szCs w:val="18"/>
                <w:color w:val="auto"/>
              </w:rPr>
              <w:t>5.27</w:t>
            </w:r>
          </w:p>
        </w:tc>
        <w:tc>
          <w:tcPr>
            <w:tcW w:w="42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83.48%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Dividend rate</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7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Shares granted</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1,690,000</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1.77</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During the nine months ended December 31, 2021, grantees exercised options to purchase an aggregate of 324,449 shares of our common stock at a weighted average exercise price of $0.82 per share and we received cash proceeds of $116,000. Certain of the exercises were on a net issuance basis as permitted by the option plans and we issued an aggregate of 274,950 shares of our common stock pursuant to the exercises. At December 31, 2021, there were stock options outstanding under our 2016 Equity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and our Amended 2019 Plan to purchase 15,903,139 shares of our common stock at a weighted average exercise price of $1.48 per share. At that date, there were also 10,803,157 shares of our common stock available for future issuance under the Amended 2019 Plan. There are no additional shares available for issuance under our 2016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Right-of-Use Assets and Lease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account for our leases in accordance with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Accounting Standards Update No. 2016-02 – Leases (Topic</w:t>
      </w:r>
    </w:p>
    <w:p>
      <w:pPr>
        <w:spacing w:after="0" w:line="46" w:lineRule="exact"/>
        <w:rPr>
          <w:sz w:val="20"/>
          <w:szCs w:val="20"/>
          <w:color w:val="auto"/>
        </w:rPr>
      </w:pPr>
    </w:p>
    <w:p>
      <w:pPr>
        <w:jc w:val="both"/>
        <w:ind w:firstLine="8"/>
        <w:spacing w:after="0" w:line="290" w:lineRule="auto"/>
        <w:tabs>
          <w:tab w:leader="none" w:pos="375"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ASC 842</w:t>
      </w:r>
      <w:r>
        <w:rPr>
          <w:rFonts w:ascii="Arial" w:cs="Arial" w:eastAsia="Arial" w:hAnsi="Arial"/>
          <w:sz w:val="16"/>
          <w:szCs w:val="16"/>
          <w:color w:val="auto"/>
        </w:rPr>
        <w:t>). We determine whether an arrangement is an operating or financing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we will exercise that option. In determining the present value of the lease payments, we use the interest rate implicit in the lease when it is readily determinable and we use our estimated incremental borrowing rate based upon information available at the commencement date when the implicit rate is not readily determinable.</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lease payments used to determine our operating lease assets include lease incentives and stated rent increases and may include escalation or other clauses linked to rates of inflation or other factors when determinable and are recognized in our operating lease assets in our Condensed Consolidated Balance Sheets.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leases are reflected in right of use asset – operating leases, other current liabilities and non-current operating lease liability in our Condensed Consolidated Balance Sheets. 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accounting for financing leases, previously referred to as “capital leases” under earlier guidance, remained substantially unchanged with our adoption of ASC 842. Financing leases are included in property and equipment, net and as current and non-current financing lease liabilities in our Condensed Consolidated Balance Sheets. Refer to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information regarding ASC 842 and its impact on our Condensed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Basic net loss attributable to common stockholders per share of common stock excludes the effect of dilution and is computed by dividing net loss increased by the accrual of dividends on outstanding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xml:space="preserve">),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 As described in greater detail in Note 8, </w:t>
      </w:r>
      <w:r>
        <w:rPr>
          <w:rFonts w:ascii="Arial" w:cs="Arial" w:eastAsia="Arial" w:hAnsi="Arial"/>
          <w:sz w:val="16"/>
          <w:szCs w:val="16"/>
          <w:i w:val="1"/>
          <w:iCs w:val="1"/>
          <w:color w:val="auto"/>
        </w:rPr>
        <w:t>Common Stock</w:t>
      </w:r>
      <w:r>
        <w:rPr>
          <w:rFonts w:ascii="Arial" w:cs="Arial" w:eastAsia="Arial" w:hAnsi="Arial"/>
          <w:sz w:val="16"/>
          <w:szCs w:val="16"/>
          <w:color w:val="auto"/>
        </w:rPr>
        <w:t>, during the quarter ended December 31, 2021, the custodial holder of all outstanding shares of our Series A Convertible Preferred Stock (</w:t>
      </w:r>
      <w:r>
        <w:rPr>
          <w:rFonts w:ascii="Arial" w:cs="Arial" w:eastAsia="Arial" w:hAnsi="Arial"/>
          <w:sz w:val="16"/>
          <w:szCs w:val="16"/>
          <w:i w:val="1"/>
          <w:iCs w:val="1"/>
          <w:color w:val="auto"/>
        </w:rPr>
        <w:t>Series A Preferred</w:t>
      </w:r>
      <w:r>
        <w:rPr>
          <w:rFonts w:ascii="Arial" w:cs="Arial" w:eastAsia="Arial" w:hAnsi="Arial"/>
          <w:sz w:val="16"/>
          <w:szCs w:val="16"/>
          <w:color w:val="auto"/>
        </w:rPr>
        <w:t>),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and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 exercised its conversion rights and we issued shares of common stock upon conversion. The holders of our Series D Convertible Preferred Stock (</w:t>
      </w:r>
      <w:r>
        <w:rPr>
          <w:rFonts w:ascii="Arial" w:cs="Arial" w:eastAsia="Arial" w:hAnsi="Arial"/>
          <w:sz w:val="16"/>
          <w:szCs w:val="16"/>
          <w:i w:val="1"/>
          <w:iCs w:val="1"/>
          <w:color w:val="auto"/>
        </w:rPr>
        <w:t>Series D Preferred</w:t>
      </w:r>
      <w:r>
        <w:rPr>
          <w:rFonts w:ascii="Arial" w:cs="Arial" w:eastAsia="Arial" w:hAnsi="Arial"/>
          <w:sz w:val="16"/>
          <w:szCs w:val="16"/>
          <w:color w:val="auto"/>
        </w:rPr>
        <w:t>) outstanding at March 31, 2021 exercised their conversion rights during the quarter ended June 30, 2021.</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our net loss for all periods presented, potentially dilutive securities were excluded from the computation of diluted net loss per share, as their effect would be antidilutive. Potentially dilutive securities excluded in determining diluted net loss attributable to common stockholders per common share are as follows:</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At December 31,</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At March 31,</w:t>
            </w:r>
          </w:p>
        </w:tc>
      </w:tr>
      <w:tr>
        <w:trPr>
          <w:trHeight w:val="234"/>
        </w:trPr>
        <w:tc>
          <w:tcPr>
            <w:tcW w:w="114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Series A Preferred stock issued and outstanding </w:t>
            </w:r>
            <w:r>
              <w:rPr>
                <w:rFonts w:ascii="Arial" w:cs="Arial" w:eastAsia="Arial" w:hAnsi="Arial"/>
                <w:sz w:val="25"/>
                <w:szCs w:val="25"/>
                <w:color w:val="auto"/>
                <w:vertAlign w:val="superscript"/>
              </w:rPr>
              <w:t>(1)</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16"/>
        </w:trPr>
        <w:tc>
          <w:tcPr>
            <w:tcW w:w="11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Series B Preferred stock issued and outstanding </w:t>
            </w:r>
            <w:r>
              <w:rPr>
                <w:rFonts w:ascii="Arial" w:cs="Arial" w:eastAsia="Arial" w:hAnsi="Arial"/>
                <w:sz w:val="25"/>
                <w:szCs w:val="25"/>
                <w:color w:val="auto"/>
                <w:vertAlign w:val="superscript"/>
              </w:rPr>
              <w:t>(2)</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1,131,669</w:t>
            </w:r>
          </w:p>
        </w:tc>
      </w:tr>
      <w:tr>
        <w:trPr>
          <w:trHeight w:val="216"/>
        </w:trPr>
        <w:tc>
          <w:tcPr>
            <w:tcW w:w="11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Series C Preferred stock issued and outstanding </w:t>
            </w:r>
            <w:r>
              <w:rPr>
                <w:rFonts w:ascii="Arial" w:cs="Arial" w:eastAsia="Arial" w:hAnsi="Arial"/>
                <w:sz w:val="25"/>
                <w:szCs w:val="25"/>
                <w:color w:val="auto"/>
                <w:vertAlign w:val="superscript"/>
              </w:rPr>
              <w:t>(3)</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2,318,012</w:t>
            </w:r>
          </w:p>
        </w:tc>
      </w:tr>
      <w:tr>
        <w:trPr>
          <w:trHeight w:val="216"/>
        </w:trPr>
        <w:tc>
          <w:tcPr>
            <w:tcW w:w="11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Series D Preferred stock issued and outstanding </w:t>
            </w:r>
            <w:r>
              <w:rPr>
                <w:rFonts w:ascii="Arial" w:cs="Arial" w:eastAsia="Arial" w:hAnsi="Arial"/>
                <w:sz w:val="25"/>
                <w:szCs w:val="25"/>
                <w:color w:val="auto"/>
                <w:vertAlign w:val="superscript"/>
              </w:rPr>
              <w:t>(4)</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9,249,427</w:t>
            </w:r>
          </w:p>
        </w:tc>
      </w:tr>
      <w:tr>
        <w:trPr>
          <w:trHeight w:val="216"/>
        </w:trPr>
        <w:tc>
          <w:tcPr>
            <w:tcW w:w="11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3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Outstanding options under the Company's Amended and Restated 2016 Stock Incentive Plan and</w:t>
            </w: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Amended and Restated 2019 Omnibus Equity Incentive Plan</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15,903,139</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14,638,088</w:t>
            </w:r>
          </w:p>
        </w:tc>
      </w:tr>
      <w:tr>
        <w:trPr>
          <w:trHeight w:val="216"/>
        </w:trPr>
        <w:tc>
          <w:tcPr>
            <w:tcW w:w="11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warrants to purchase common stock</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9,307,858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19,362,532</w:t>
            </w:r>
          </w:p>
        </w:tc>
      </w:tr>
      <w:tr>
        <w:trPr>
          <w:trHeight w:val="216"/>
        </w:trPr>
        <w:tc>
          <w:tcPr>
            <w:tcW w:w="11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25,210,997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47,449,728</w:t>
            </w:r>
          </w:p>
        </w:tc>
      </w:tr>
      <w:tr>
        <w:trPr>
          <w:trHeight w:val="34"/>
        </w:trPr>
        <w:tc>
          <w:tcPr>
            <w:tcW w:w="1140" w:type="dxa"/>
            <w:vAlign w:val="bottom"/>
            <w:tcBorders>
              <w:top w:val="single" w:sz="8" w:color="CCEEFF"/>
              <w:bottom w:val="single" w:sz="8" w:color="auto"/>
            </w:tcBorders>
          </w:tcPr>
          <w:p>
            <w:pPr>
              <w:spacing w:after="0"/>
              <w:rPr>
                <w:sz w:val="3"/>
                <w:szCs w:val="3"/>
                <w:color w:val="auto"/>
              </w:rPr>
            </w:pPr>
          </w:p>
        </w:tc>
        <w:tc>
          <w:tcPr>
            <w:tcW w:w="6240" w:type="dxa"/>
            <w:vAlign w:val="bottom"/>
            <w:tcBorders>
              <w:top w:val="single" w:sz="8" w:color="CCEEFF"/>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220" w:type="dxa"/>
            <w:vAlign w:val="bottom"/>
            <w:tcBorders>
              <w:top w:val="single" w:sz="8" w:color="CCEEFF"/>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r>
    </w:tbl>
    <w:p>
      <w:pPr>
        <w:spacing w:after="0" w:line="154" w:lineRule="exact"/>
        <w:rPr>
          <w:sz w:val="20"/>
          <w:szCs w:val="20"/>
          <w:color w:val="auto"/>
        </w:rPr>
      </w:pPr>
    </w:p>
    <w:p>
      <w:pPr>
        <w:ind w:left="180"/>
        <w:spacing w:after="0"/>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1</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7"/>
          <w:szCs w:val="17"/>
          <w:color w:val="auto"/>
        </w:rPr>
        <w:t>Based on exchange in November 2021 under the terms of the October 11, 2012 Note Exchange and Purchase Agreement, as amended</w:t>
      </w:r>
    </w:p>
    <w:p>
      <w:pPr>
        <w:jc w:val="both"/>
        <w:ind w:left="180"/>
        <w:spacing w:after="0" w:line="225" w:lineRule="auto"/>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2</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7"/>
          <w:szCs w:val="17"/>
          <w:color w:val="auto"/>
        </w:rPr>
        <w:t>Based on exchange in November 2021 under the terms of the Certificate of Designation of the Relative Rights and Preferences of the Series B 10%</w:t>
      </w:r>
      <w:r>
        <w:rPr>
          <w:rFonts w:ascii="Arial" w:cs="Arial" w:eastAsia="Arial" w:hAnsi="Arial"/>
          <w:sz w:val="15"/>
          <w:szCs w:val="15"/>
          <w:color w:val="auto"/>
        </w:rPr>
        <w:t xml:space="preserve"> </w:t>
      </w:r>
      <w:r>
        <w:rPr>
          <w:rFonts w:ascii="Arial" w:cs="Arial" w:eastAsia="Arial" w:hAnsi="Arial"/>
          <w:sz w:val="17"/>
          <w:szCs w:val="17"/>
          <w:color w:val="auto"/>
        </w:rPr>
        <w:t>Convertible Preferred Stock, effective May 5, 2015. March 31, 2021 figure excludes shares of unregistered common stock issuable in payment of dividends on Series B Preferred upon conversion; 3,295,778 unregistered shares of common stock were issued in payment of accrued dividends upon conversion.</w:t>
      </w:r>
    </w:p>
    <w:p>
      <w:pPr>
        <w:jc w:val="both"/>
        <w:ind w:left="180"/>
        <w:spacing w:after="0" w:line="196" w:lineRule="auto"/>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3</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7"/>
          <w:szCs w:val="17"/>
          <w:color w:val="auto"/>
        </w:rPr>
        <w:t>Based on exchange in October 2021 under the terms of the Certificate of Designation of the Relative Rights and Preferences of the Series C</w:t>
      </w:r>
      <w:r>
        <w:rPr>
          <w:rFonts w:ascii="Arial" w:cs="Arial" w:eastAsia="Arial" w:hAnsi="Arial"/>
          <w:sz w:val="15"/>
          <w:szCs w:val="15"/>
          <w:color w:val="auto"/>
        </w:rPr>
        <w:t xml:space="preserve"> </w:t>
      </w:r>
      <w:r>
        <w:rPr>
          <w:rFonts w:ascii="Arial" w:cs="Arial" w:eastAsia="Arial" w:hAnsi="Arial"/>
          <w:sz w:val="17"/>
          <w:szCs w:val="17"/>
          <w:color w:val="auto"/>
        </w:rPr>
        <w:t>Convertible Preferred Stock, effective January 25, 2016</w:t>
      </w:r>
    </w:p>
    <w:p>
      <w:pPr>
        <w:jc w:val="both"/>
        <w:ind w:left="180"/>
        <w:spacing w:after="0" w:line="196" w:lineRule="auto"/>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4</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7"/>
          <w:szCs w:val="17"/>
          <w:color w:val="auto"/>
        </w:rPr>
        <w:t>Based on exchanges under the terms of the Certificate of Designation of the Relative Rights and Preferences of the Series D Convertible Preferred</w:t>
      </w:r>
      <w:r>
        <w:rPr>
          <w:rFonts w:ascii="Arial" w:cs="Arial" w:eastAsia="Arial" w:hAnsi="Arial"/>
          <w:sz w:val="15"/>
          <w:szCs w:val="15"/>
          <w:color w:val="auto"/>
        </w:rPr>
        <w:t xml:space="preserve"> </w:t>
      </w:r>
      <w:r>
        <w:rPr>
          <w:rFonts w:ascii="Arial" w:cs="Arial" w:eastAsia="Arial" w:hAnsi="Arial"/>
          <w:sz w:val="17"/>
          <w:szCs w:val="17"/>
          <w:color w:val="auto"/>
        </w:rPr>
        <w:t>Stock, effective December 21, 2020.</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do not use derivative instruments for hedging of market risks or for trading or speculative purposes. Our only financial assets that are measured on a recurring basis at fair value were $80,090,200 and $90,074,700 held in money market funds and classified as cash equivalents at December 31, 2021 and March 31, 2021, respectively. Our money market funds are classified within Level 1 of the fair value hierarchy and are valued based on quoted prices in active markets for identical securities. We had no financial liabilities that are measured on a recurring basis at fair value at December 31, 2021 or March 31, 2021.</w:t>
      </w:r>
    </w:p>
    <w:p>
      <w:pPr>
        <w:sectPr>
          <w:pgSz w:w="11900" w:h="16838" w:orient="portrait"/>
          <w:cols w:equalWidth="0" w:num="1">
            <w:col w:w="11240"/>
          </w:cols>
          <w:pgMar w:left="320" w:top="125" w:right="339" w:bottom="1440" w:gutter="0" w:footer="0" w:header="0"/>
        </w:sectPr>
      </w:pP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recent accounting pronouncement is of significance or potential significance to the Company.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2020, the FASB issued ASU 2020-06, Debt – Debt with Conversion and Other Options (Subtopic 470- 20) and Derivatives and Hedging – Contracts in Entity’s Own Equity (Subtopic 815-40): Accounting for Convertible Instruments and Contracts in an Entity’s Own Equity (</w:t>
      </w:r>
      <w:r>
        <w:rPr>
          <w:rFonts w:ascii="Arial" w:cs="Arial" w:eastAsia="Arial" w:hAnsi="Arial"/>
          <w:sz w:val="18"/>
          <w:szCs w:val="18"/>
          <w:i w:val="1"/>
          <w:iCs w:val="1"/>
          <w:color w:val="auto"/>
        </w:rPr>
        <w:t>ASU 2020-06</w:t>
      </w:r>
      <w:r>
        <w:rPr>
          <w:rFonts w:ascii="Arial" w:cs="Arial" w:eastAsia="Arial" w:hAnsi="Arial"/>
          <w:sz w:val="18"/>
          <w:szCs w:val="18"/>
          <w:color w:val="auto"/>
        </w:rPr>
        <w:t>), to reduce complexity in applying GAAP to certain financial instruments with characteristics of liabilities and equity.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guidance in ASU 2020-06 simplifies the accounting for convertible debt instruments and convertible preferred stock by removing the existing guidance in ASC 470-20, Debt: Debt with Conversion and Other Options, that requires entities to account for beneficial conversion features and cash conversion features in equity, separately from the host convertible debt or preferred stock. The guidance in ASC 470-20 applies to convertible instruments for which the embedded conversion features are not required to be bifurcated from the host contract and accounted for as derivatives.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the amendments revise the scope exception from derivative accounting in ASC 815-40 for freestanding financial instruments and embedded features that are both indexed to the issuer’s own stock and classified in stockholders’ equity, by removing certain criteria required for equity classification. These amendments are expected to result in more freestanding financial instruments qualifying for equity classification (and, therefore, not accounted for as derivatives), as well as fewer embedded features requiring separate accounting from the host contract.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amendments in ASU 2020-06 further revise the guidance in ASC 260, Earnings Per Share, to require entities to calculate diluted earnings per share (</w:t>
      </w:r>
      <w:r>
        <w:rPr>
          <w:rFonts w:ascii="Arial" w:cs="Arial" w:eastAsia="Arial" w:hAnsi="Arial"/>
          <w:sz w:val="18"/>
          <w:szCs w:val="18"/>
          <w:i w:val="1"/>
          <w:iCs w:val="1"/>
          <w:color w:val="auto"/>
        </w:rPr>
        <w:t>EPS</w:t>
      </w:r>
      <w:r>
        <w:rPr>
          <w:rFonts w:ascii="Arial" w:cs="Arial" w:eastAsia="Arial" w:hAnsi="Arial"/>
          <w:sz w:val="18"/>
          <w:szCs w:val="18"/>
          <w:color w:val="auto"/>
        </w:rPr>
        <w:t>) for convertible instruments by using the if-converted method. In addition, entities must presume share settlement for purposes of calculating diluted EPS when an instrument may be settled in cash or shares.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amendments in ASU 2020-06 are effective for our fiscal year beginning April 1, 2024. We are evaluating the impact of this new guidance, but do not believe that our adoption of ASU 2020-06 will have a material impact on our consolidated financial statements.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our consolidated financial statements upon adoption.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Receivable from Collaboration Partner</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balance at March 31, 2021 reflects a payment we made to a contract manufacturing organization for certain drug substance manufacturing services on behalf of our collaboration partner. Our collaboration partner reimbursed us for the outstanding payment at March 31, 2021 in May 2021.</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Note 5. Prepaid Expenses and Other Current Assets</w:t>
            </w: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w w:val="90"/>
              </w:rPr>
              <w:t>Prepaid expenses and other current assets are composed of the following:</w:t>
            </w: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Clinical and nonclinical materials and contract services</w:t>
            </w:r>
          </w:p>
        </w:tc>
        <w:tc>
          <w:tcPr>
            <w:tcW w:w="2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2,605,900</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686,900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Insurance</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253,100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121,800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w:t>
            </w:r>
          </w:p>
        </w:tc>
        <w:tc>
          <w:tcPr>
            <w:tcW w:w="1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2,936,600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835,100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960" w:type="dxa"/>
            <w:vAlign w:val="bottom"/>
            <w:vMerge w:val="restart"/>
          </w:tcPr>
          <w:p>
            <w:pPr>
              <w:jc w:val="right"/>
              <w:ind w:right="155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39"/>
        </w:trPr>
        <w:tc>
          <w:tcPr>
            <w:tcW w:w="7180" w:type="dxa"/>
            <w:vAlign w:val="bottom"/>
            <w:gridSpan w:val="3"/>
          </w:tcPr>
          <w:p>
            <w:pPr>
              <w:spacing w:after="0"/>
              <w:rPr>
                <w:sz w:val="20"/>
                <w:szCs w:val="20"/>
                <w:color w:val="auto"/>
              </w:rPr>
            </w:pPr>
            <w:r>
              <w:rPr>
                <w:rFonts w:ascii="Arial" w:cs="Arial" w:eastAsia="Arial" w:hAnsi="Arial"/>
                <w:sz w:val="18"/>
                <w:szCs w:val="18"/>
                <w:b w:val="1"/>
                <w:bCs w:val="1"/>
                <w:color w:val="auto"/>
              </w:rPr>
              <w:t>Note 6. Property and Equipment</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180" w:type="dxa"/>
            <w:vAlign w:val="bottom"/>
            <w:gridSpan w:val="3"/>
          </w:tcPr>
          <w:p>
            <w:pPr>
              <w:spacing w:after="0"/>
              <w:rPr>
                <w:sz w:val="20"/>
                <w:szCs w:val="20"/>
                <w:color w:val="auto"/>
              </w:rPr>
            </w:pPr>
            <w:r>
              <w:rPr>
                <w:rFonts w:ascii="Arial" w:cs="Arial" w:eastAsia="Arial" w:hAnsi="Arial"/>
                <w:sz w:val="18"/>
                <w:szCs w:val="18"/>
                <w:color w:val="auto"/>
              </w:rPr>
              <w:t>Property and equipment is composed of the following:</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December 31,</w:t>
            </w:r>
          </w:p>
        </w:tc>
        <w:tc>
          <w:tcPr>
            <w:tcW w:w="24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1,181,300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1,003,800</w:t>
            </w:r>
          </w:p>
        </w:tc>
      </w:tr>
      <w:tr>
        <w:trPr>
          <w:trHeight w:val="216"/>
        </w:trPr>
        <w:tc>
          <w:tcPr>
            <w:tcW w:w="98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Tenant improvements</w:t>
            </w: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214,400</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214,400</w:t>
            </w:r>
          </w:p>
        </w:tc>
      </w:tr>
      <w:tr>
        <w:trPr>
          <w:trHeight w:val="216"/>
        </w:trPr>
        <w:tc>
          <w:tcPr>
            <w:tcW w:w="98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8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76,200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92,100</w:t>
            </w:r>
          </w:p>
        </w:tc>
      </w:tr>
      <w:tr>
        <w:trPr>
          <w:trHeight w:val="216"/>
        </w:trPr>
        <w:tc>
          <w:tcPr>
            <w:tcW w:w="98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Manufacturing equipment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211,200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211,200</w:t>
            </w: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1,683,100</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1,521,500</w:t>
            </w:r>
          </w:p>
        </w:tc>
      </w:tr>
      <w:tr>
        <w:trPr>
          <w:trHeight w:val="216"/>
        </w:trPr>
        <w:tc>
          <w:tcPr>
            <w:tcW w:w="98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(1,230,300)</w:t>
            </w:r>
          </w:p>
        </w:tc>
        <w:tc>
          <w:tcPr>
            <w:tcW w:w="2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(1,154,100)</w:t>
            </w: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980" w:type="dxa"/>
            <w:vAlign w:val="bottom"/>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452,800</w:t>
            </w: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367,400</w:t>
            </w:r>
          </w:p>
        </w:tc>
      </w:tr>
      <w:tr>
        <w:trPr>
          <w:trHeight w:val="20"/>
        </w:trPr>
        <w:tc>
          <w:tcPr>
            <w:tcW w:w="98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recorded depreciation and amortization expense of $43,700 and $114,900 for the three and nine months ended December 31, 2021, respectively, compared to $26,400 and $77,300 for the three and nine months ended December 31, 2020, respectively. During the nine months ended December 31, 2021, we have purchased certain analytical and laboratory equipment used in connection with the development and manufacture of PH94B drug product and other research projects. Included in amounts reported above for office furniture and equipment is the right-of-use asset related to a financing lease of certain office equipment. Amounts associated with assets subject to the financing lease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9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subject to financing lease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14,700</w:t>
            </w: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(14,600)</w:t>
            </w:r>
          </w:p>
        </w:tc>
        <w:tc>
          <w:tcPr>
            <w:tcW w:w="2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(12,400)</w:t>
            </w:r>
          </w:p>
        </w:tc>
      </w:tr>
      <w:tr>
        <w:trPr>
          <w:trHeight w:val="20"/>
        </w:trPr>
        <w:tc>
          <w:tcPr>
            <w:tcW w:w="9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98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book value of office equipment subject to financing lease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2,300</w:t>
            </w:r>
          </w:p>
        </w:tc>
      </w:tr>
      <w:tr>
        <w:trPr>
          <w:trHeight w:val="20"/>
        </w:trPr>
        <w:tc>
          <w:tcPr>
            <w:tcW w:w="980" w:type="dxa"/>
            <w:vAlign w:val="bottom"/>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56"/>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Note 7. Accrued Expenses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180" w:type="dxa"/>
            <w:vAlign w:val="bottom"/>
            <w:gridSpan w:val="2"/>
          </w:tcPr>
          <w:p>
            <w:pPr>
              <w:spacing w:after="0"/>
              <w:rPr>
                <w:sz w:val="20"/>
                <w:szCs w:val="20"/>
                <w:color w:val="auto"/>
              </w:rPr>
            </w:pPr>
            <w:r>
              <w:rPr>
                <w:rFonts w:ascii="Arial" w:cs="Arial" w:eastAsia="Arial" w:hAnsi="Arial"/>
                <w:sz w:val="18"/>
                <w:szCs w:val="18"/>
                <w:color w:val="auto"/>
              </w:rPr>
              <w:t>Accrued expenses are composed of the following:</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9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80" w:type="dxa"/>
            <w:vAlign w:val="bottom"/>
          </w:tcPr>
          <w:p>
            <w:pPr>
              <w:spacing w:after="0"/>
              <w:rPr>
                <w:sz w:val="17"/>
                <w:szCs w:val="17"/>
                <w:color w:val="auto"/>
              </w:rPr>
            </w:pPr>
          </w:p>
        </w:tc>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Accrued expenses for clinical and nonclinical materials, development and contract</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80" w:type="dxa"/>
            <w:vAlign w:val="bottom"/>
          </w:tcPr>
          <w:p>
            <w:pPr>
              <w:spacing w:after="0"/>
              <w:rPr>
                <w:sz w:val="20"/>
                <w:szCs w:val="20"/>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397,850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1,449,400</w:t>
            </w: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2,150,000</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18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79,650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85,500</w:t>
            </w: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All other</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27,800</w:t>
            </w:r>
          </w:p>
        </w:tc>
      </w:tr>
      <w:tr>
        <w:trPr>
          <w:trHeight w:val="20"/>
        </w:trPr>
        <w:tc>
          <w:tcPr>
            <w:tcW w:w="9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980" w:type="dxa"/>
            <w:vAlign w:val="bottom"/>
          </w:tcPr>
          <w:p>
            <w:pPr>
              <w:spacing w:after="0"/>
              <w:rPr>
                <w:sz w:val="19"/>
                <w:szCs w:val="19"/>
                <w:color w:val="auto"/>
              </w:rPr>
            </w:pPr>
          </w:p>
        </w:tc>
        <w:tc>
          <w:tcPr>
            <w:tcW w:w="6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2,627,500</w:t>
            </w: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1,562,700</w:t>
            </w:r>
          </w:p>
        </w:tc>
      </w:tr>
      <w:tr>
        <w:trPr>
          <w:trHeight w:val="20"/>
        </w:trPr>
        <w:tc>
          <w:tcPr>
            <w:tcW w:w="980" w:type="dxa"/>
            <w:vAlign w:val="bottom"/>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Series A, Series B, Series C and Series D Preferred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2021, the custodial holder of 2,318,012 outstanding shares of our Series C Preferred exercised its rights for conversion into common stock under the terms of the Certificate of Designation of the Relative Rights and Preferences of the Series C Preferred Stock and we issued 2,318,012 unregistered shares of our common stock.</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November 2021, the custodial holder of 500,000 outstanding shares of our Series A Preferred exercised its rights for conversion into common stock under the terms of the October 11, 2012 Note Exchange and Purchase Agreement and we issued 750,000 unregistered shares of our common stock.</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 xml:space="preserve">Also in November 2021, the custodial holder of 1,131,669 outstanding shares of our Series B Preferred exercised its rights for conversion into common stock under the terms of the Certificate of Designation of the Relative Rights and Preferences of the Series B 10% Convertible Preferred Stock </w:t>
      </w:r>
      <w:r>
        <w:rPr>
          <w:rFonts w:ascii="Arial" w:cs="Arial" w:eastAsia="Arial" w:hAnsi="Arial"/>
          <w:sz w:val="18"/>
          <w:szCs w:val="18"/>
          <w:i w:val="1"/>
          <w:iCs w:val="1"/>
          <w:color w:val="auto"/>
        </w:rPr>
        <w:t>(Series 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Certificate of Designation) </w:t>
      </w:r>
      <w:r>
        <w:rPr>
          <w:rFonts w:ascii="Arial" w:cs="Arial" w:eastAsia="Arial" w:hAnsi="Arial"/>
          <w:sz w:val="18"/>
          <w:szCs w:val="18"/>
          <w:color w:val="auto"/>
        </w:rPr>
        <w:t>and we issued 1,131,669 shares of our common stock, of which 394,523 shares were registered and 737,146 were unregistered.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From initial issuance in May 2015 through the time of conversion in November 2021, the Series B Preferred had accrued 10% payable-in-kind dividends aggregating $7,217,800 and, in accordance with the terms of the Series B Certificate of Designation, we issued 3,295,778 shares of our unregistered common stock in payment of the accrued dividends.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described in Note 2,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connection with the December 2020 Public Offering, we issued an aggregate of 2.0 million shares of Series D Preferred which shares were convertible into an aggregate of 46.0 million shares of common stock. At March 31, 2021, there were 402,149 shares of Series D Preferred outstanding. During April 2021, the remaining investors in the December 2020 Public Offering converted their outstanding shares of Series D Preferred into an aggregate of 9,249,427 registered shares of common stock.</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a result of the preceding transactions, at December 31, 2021, and as of the date of this Report, there are no shares of preferred stock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May 2021, we entered into an Open Market Sale Agreement SM (the </w:t>
      </w:r>
      <w:r>
        <w:rPr>
          <w:rFonts w:ascii="Arial" w:cs="Arial" w:eastAsia="Arial" w:hAnsi="Arial"/>
          <w:sz w:val="17"/>
          <w:szCs w:val="17"/>
          <w:i w:val="1"/>
          <w:iCs w:val="1"/>
          <w:color w:val="auto"/>
        </w:rPr>
        <w:t>Sales Agreement</w:t>
      </w:r>
      <w:r>
        <w:rPr>
          <w:rFonts w:ascii="Arial" w:cs="Arial" w:eastAsia="Arial" w:hAnsi="Arial"/>
          <w:sz w:val="17"/>
          <w:szCs w:val="17"/>
          <w:color w:val="auto"/>
        </w:rPr>
        <w:t>) with Jefferies LLC, as sales agent (</w:t>
      </w:r>
      <w:r>
        <w:rPr>
          <w:rFonts w:ascii="Arial" w:cs="Arial" w:eastAsia="Arial" w:hAnsi="Arial"/>
          <w:sz w:val="17"/>
          <w:szCs w:val="17"/>
          <w:i w:val="1"/>
          <w:iCs w:val="1"/>
          <w:color w:val="auto"/>
        </w:rPr>
        <w:t>Jefferies</w:t>
      </w:r>
      <w:r>
        <w:rPr>
          <w:rFonts w:ascii="Arial" w:cs="Arial" w:eastAsia="Arial" w:hAnsi="Arial"/>
          <w:sz w:val="17"/>
          <w:szCs w:val="17"/>
          <w:color w:val="auto"/>
        </w:rPr>
        <w:t xml:space="preserve">), with respect to an at-the-market offering program (the </w:t>
      </w:r>
      <w:r>
        <w:rPr>
          <w:rFonts w:ascii="Arial" w:cs="Arial" w:eastAsia="Arial" w:hAnsi="Arial"/>
          <w:sz w:val="17"/>
          <w:szCs w:val="17"/>
          <w:i w:val="1"/>
          <w:iCs w:val="1"/>
          <w:color w:val="auto"/>
        </w:rPr>
        <w:t>ATM</w:t>
      </w:r>
      <w:r>
        <w:rPr>
          <w:rFonts w:ascii="Arial" w:cs="Arial" w:eastAsia="Arial" w:hAnsi="Arial"/>
          <w:sz w:val="17"/>
          <w:szCs w:val="17"/>
          <w:color w:val="auto"/>
        </w:rPr>
        <w:t xml:space="preserve">) under which we may, at our sole discretion, offer and sell, from time to time, shares of our common stock having an aggregate offering price of up to $75.0 million (the </w:t>
      </w:r>
      <w:r>
        <w:rPr>
          <w:rFonts w:ascii="Arial" w:cs="Arial" w:eastAsia="Arial" w:hAnsi="Arial"/>
          <w:sz w:val="17"/>
          <w:szCs w:val="17"/>
          <w:i w:val="1"/>
          <w:iCs w:val="1"/>
          <w:color w:val="auto"/>
        </w:rPr>
        <w:t>Shares</w:t>
      </w:r>
      <w:r>
        <w:rPr>
          <w:rFonts w:ascii="Arial" w:cs="Arial" w:eastAsia="Arial" w:hAnsi="Arial"/>
          <w:sz w:val="17"/>
          <w:szCs w:val="17"/>
          <w:color w:val="auto"/>
        </w:rPr>
        <w:t>) through Jefferies. We will pay Jefferies a commission equal to three percent (3.0%) of the aggregate gross proceeds from any sales of the Shares under the Sales Agreement. If and when we direct Jefferies to offer and sell Shares under the Sales Agreement, Jefferies may sell the Shares by any method permitted by law and deemed to be an “at the market offering” as defined in Rule 415(a)(4) promulgated under the Securities Act of 1933, as amended, including block transactions, sales made directly on the Nasdaq Capital Market or any other trading market for our common stock. In addition, with our consent, Jefferies may sell the Shares in negotiated transactions. Under certain circumstances, we may instruct Jefferies not to sell the Shares if the sales cannot be effected at or above the price we may designate from time to time. Shares offered and sold under the Sales Agreement will be issued and sold pursuant to our Shelf Registration Statement on Form S-3 filed with the SEC on March 15, 2021 and declared effective on March 26, 2021.</w:t>
      </w:r>
    </w:p>
    <w:p>
      <w:pPr>
        <w:spacing w:after="0" w:line="185" w:lineRule="exact"/>
        <w:rPr>
          <w:sz w:val="20"/>
          <w:szCs w:val="20"/>
          <w:color w:val="auto"/>
        </w:rPr>
      </w:pPr>
    </w:p>
    <w:p>
      <w:pPr>
        <w:jc w:val="both"/>
        <w:ind w:left="20"/>
        <w:spacing w:after="0" w:line="254" w:lineRule="auto"/>
        <w:rPr>
          <w:sz w:val="20"/>
          <w:szCs w:val="20"/>
          <w:color w:val="auto"/>
        </w:rPr>
      </w:pPr>
      <w:r>
        <w:rPr>
          <w:rFonts w:ascii="Arial" w:cs="Arial" w:eastAsia="Arial" w:hAnsi="Arial"/>
          <w:sz w:val="18"/>
          <w:szCs w:val="18"/>
          <w:color w:val="auto"/>
        </w:rPr>
        <w:t>In transactions occurring in September 2021 and on October 1, 2021, we sold an aggregate of 1,517,798 shares of our common stock and received gross cash proceeds of approximately $4.45 million under the ATM. We have not sold any additional shares of our common stock under the ATM from October 2, 2021 through the date of this Report. We record transactions under the Sales Agreement on a settlement date basis. All legal fees and accounting expenses incurred in connection with the Sales Agreement are recorded as Deferred Offering Costs and are amortized to Additional Paid-in Capital as costs of the offering as sales of Shares are made under the Sales Agreement. Between execution of the Sales Agreement in May 2021 and December 31, 2021, we incurred legal fees and accounting expenses aggregating approximately $276,500 in connection with the Sales Agreement. The Sales Agreement will terminate upon the earlier of (i) the sale of all Shares subject to the Sales Agreement or (ii) the termination of the Sales Agreement by Jefferies or by us, as permitted.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and Expiration of Warrants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nine months ended December 31, 2021, holders of outstanding warrants exercised such warrants to purchase an aggregate of 7,298,791 shares of our common stock and we received cash proceeds of approximately $6,207,400. On May 16, 2021, outstanding warrants to purchase 2,705,883 shares of our common stock at an exercise price of $5.30 per share expired unexercised. During the nine months ended December 31, 2020, holders of outstanding warrants exercised such warrants to purchase an aggregate of 228,000 shares of our common stock and we received cash proceeds of $114,000.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Exercises and ESPP Purchases</w:t>
      </w:r>
    </w:p>
    <w:p>
      <w:pPr>
        <w:spacing w:after="0" w:line="225" w:lineRule="exact"/>
        <w:rPr>
          <w:sz w:val="20"/>
          <w:szCs w:val="20"/>
          <w:color w:val="auto"/>
        </w:rPr>
      </w:pPr>
    </w:p>
    <w:p>
      <w:pPr>
        <w:jc w:val="both"/>
        <w:ind w:left="20"/>
        <w:spacing w:after="0" w:line="254" w:lineRule="auto"/>
        <w:rPr>
          <w:sz w:val="20"/>
          <w:szCs w:val="20"/>
          <w:color w:val="auto"/>
        </w:rPr>
      </w:pPr>
      <w:r>
        <w:rPr>
          <w:rFonts w:ascii="Arial" w:cs="Arial" w:eastAsia="Arial" w:hAnsi="Arial"/>
          <w:sz w:val="18"/>
          <w:szCs w:val="18"/>
          <w:color w:val="auto"/>
        </w:rPr>
        <w:t>During the nine months ended December 31, 2021, certain holders of outstanding stock options exercised such options to purchase an aggregate of 324,449 shares of our common stock and we received cash proceeds of $116,000. Certain of the options were exercised on a net exercise basis and we issued an aggregate of 274,950 shares of our common stock pursuant to the exercises. There were no option exercises during the nine months ended December 31, 2020. On June 30, 2021 and December 31, 2021, our 2019 ESPP completed offering periods pursuant to which we issued 16,251 shares and 40,960 shares of common stock and received proceeds of $31,600 and $67,800, respectively. On June 30, 2020 and December 31, 2020, our 2019 ESPP completed offering periods pursuant to which we issued 28,125 shares and 30,000 shares of common stock and received proceeds of $12,600 and $13,600,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 with Lincoln Park Capital Fund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March 2020, we entered into a purchase agreement and a registration rights agreement with Lincoln Park Capital Fund (</w:t>
      </w:r>
      <w:r>
        <w:rPr>
          <w:rFonts w:ascii="Arial" w:cs="Arial" w:eastAsia="Arial" w:hAnsi="Arial"/>
          <w:sz w:val="16"/>
          <w:szCs w:val="16"/>
          <w:i w:val="1"/>
          <w:iCs w:val="1"/>
          <w:color w:val="auto"/>
        </w:rPr>
        <w:t>Lincoln Park</w:t>
      </w:r>
      <w:r>
        <w:rPr>
          <w:rFonts w:ascii="Arial" w:cs="Arial" w:eastAsia="Arial" w:hAnsi="Arial"/>
          <w:sz w:val="16"/>
          <w:szCs w:val="16"/>
          <w:color w:val="auto"/>
        </w:rPr>
        <w:t xml:space="preserve">) pursuant to which Lincoln Park committed to purchase up to $10,250,000 of our common stock at market-based prices over a period of 24 months (the </w:t>
      </w:r>
      <w:r>
        <w:rPr>
          <w:rFonts w:ascii="Arial" w:cs="Arial" w:eastAsia="Arial" w:hAnsi="Arial"/>
          <w:sz w:val="16"/>
          <w:szCs w:val="16"/>
          <w:i w:val="1"/>
          <w:iCs w:val="1"/>
          <w:color w:val="auto"/>
        </w:rPr>
        <w:t>LPC Agreement</w:t>
      </w:r>
      <w:r>
        <w:rPr>
          <w:rFonts w:ascii="Arial" w:cs="Arial" w:eastAsia="Arial" w:hAnsi="Arial"/>
          <w:sz w:val="16"/>
          <w:szCs w:val="16"/>
          <w:color w:val="auto"/>
        </w:rPr>
        <w:t xml:space="preserve">). On March 24, 2020, we sold 500,000 unregistered shares of our common stock (the </w:t>
      </w:r>
      <w:r>
        <w:rPr>
          <w:rFonts w:ascii="Arial" w:cs="Arial" w:eastAsia="Arial" w:hAnsi="Arial"/>
          <w:sz w:val="16"/>
          <w:szCs w:val="16"/>
          <w:i w:val="1"/>
          <w:iCs w:val="1"/>
          <w:color w:val="auto"/>
        </w:rPr>
        <w:t>Initial Purchase Shares</w:t>
      </w:r>
      <w:r>
        <w:rPr>
          <w:rFonts w:ascii="Arial" w:cs="Arial" w:eastAsia="Arial" w:hAnsi="Arial"/>
          <w:sz w:val="16"/>
          <w:szCs w:val="16"/>
          <w:color w:val="auto"/>
        </w:rPr>
        <w:t xml:space="preserve">) to Lincoln Park under the purchase agreement at a price of $0.50 per share for gross cash proceeds of $250,000 (the </w:t>
      </w:r>
      <w:r>
        <w:rPr>
          <w:rFonts w:ascii="Arial" w:cs="Arial" w:eastAsia="Arial" w:hAnsi="Arial"/>
          <w:sz w:val="16"/>
          <w:szCs w:val="16"/>
          <w:i w:val="1"/>
          <w:iCs w:val="1"/>
          <w:color w:val="auto"/>
        </w:rPr>
        <w:t>Initial Purchase</w:t>
      </w:r>
      <w:r>
        <w:rPr>
          <w:rFonts w:ascii="Arial" w:cs="Arial" w:eastAsia="Arial" w:hAnsi="Arial"/>
          <w:sz w:val="16"/>
          <w:szCs w:val="16"/>
          <w:color w:val="auto"/>
        </w:rPr>
        <w:t xml:space="preserve">) and we also issued 750,000 unregistered shares of our common stock to Lincoln Park under the terms of the LPC Agreement for its purchase commitments under the LPC Agreement (the </w:t>
      </w:r>
      <w:r>
        <w:rPr>
          <w:rFonts w:ascii="Arial" w:cs="Arial" w:eastAsia="Arial" w:hAnsi="Arial"/>
          <w:sz w:val="16"/>
          <w:szCs w:val="16"/>
          <w:i w:val="1"/>
          <w:iCs w:val="1"/>
          <w:color w:val="auto"/>
        </w:rPr>
        <w:t>Commitment Shares</w:t>
      </w:r>
      <w:r>
        <w:rPr>
          <w:rFonts w:ascii="Arial" w:cs="Arial" w:eastAsia="Arial" w:hAnsi="Arial"/>
          <w:sz w:val="16"/>
          <w:szCs w:val="16"/>
          <w:color w:val="auto"/>
        </w:rPr>
        <w:t xml:space="preserve">). To satisfy our obligations under the registration rights agreement associated with the LPC Agreement, we filed a Registration Statement on Form S-1 (the </w:t>
      </w:r>
      <w:r>
        <w:rPr>
          <w:rFonts w:ascii="Arial" w:cs="Arial" w:eastAsia="Arial" w:hAnsi="Arial"/>
          <w:sz w:val="16"/>
          <w:szCs w:val="16"/>
          <w:i w:val="1"/>
          <w:iCs w:val="1"/>
          <w:color w:val="auto"/>
        </w:rPr>
        <w:t>LPC</w:t>
      </w:r>
      <w:r>
        <w:rPr>
          <w:rFonts w:ascii="Arial" w:cs="Arial" w:eastAsia="Arial" w:hAnsi="Arial"/>
          <w:sz w:val="16"/>
          <w:szCs w:val="16"/>
          <w:color w:val="auto"/>
        </w:rPr>
        <w:t xml:space="preserve"> </w:t>
      </w:r>
      <w:r>
        <w:rPr>
          <w:rFonts w:ascii="Arial" w:cs="Arial" w:eastAsia="Arial" w:hAnsi="Arial"/>
          <w:sz w:val="16"/>
          <w:szCs w:val="16"/>
          <w:i w:val="1"/>
          <w:iCs w:val="1"/>
          <w:color w:val="auto"/>
        </w:rPr>
        <w:t>Registration Statement</w:t>
      </w:r>
      <w:r>
        <w:rPr>
          <w:rFonts w:ascii="Arial" w:cs="Arial" w:eastAsia="Arial" w:hAnsi="Arial"/>
          <w:sz w:val="16"/>
          <w:szCs w:val="16"/>
          <w:color w:val="auto"/>
        </w:rPr>
        <w:t>) with the SEC on March 31, 2020, which the SEC declared effective on April 14, 2020 (the</w:t>
      </w:r>
      <w:r>
        <w:rPr>
          <w:rFonts w:ascii="Arial" w:cs="Arial" w:eastAsia="Arial" w:hAnsi="Arial"/>
          <w:sz w:val="16"/>
          <w:szCs w:val="16"/>
          <w:i w:val="1"/>
          <w:iCs w:val="1"/>
          <w:color w:val="auto"/>
        </w:rPr>
        <w:t xml:space="preserve"> Commencement Date</w:t>
      </w:r>
      <w:r>
        <w:rPr>
          <w:rFonts w:ascii="Arial" w:cs="Arial" w:eastAsia="Arial" w:hAnsi="Arial"/>
          <w:sz w:val="16"/>
          <w:szCs w:val="16"/>
          <w:color w:val="auto"/>
        </w:rPr>
        <w:t>). The LPC</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included registration of the Initial Purchase Shares and the Commitment Shares. The fair value of the Commitment Shares, $284,400, determined based on the quoted closing market price of our common stock on March 24, 2020, was a component of deferred offering costs attributable to this offering, which costs were amortized ratably to additional paid-in capital as we sold shares of our common stock to Lincoln Park under the LPC Agreement. Subsequent to the Commencement Date and through July 2020, we sold an additional 6,301,995 registered shares of our common stock to Lincoln Park and received aggregate gross cash proceeds of $2,891,200. We sold no shares of our common stock under the LPC Agreement after July 2020 and through June 2021, when we terminated the LPC Agreement. Upon termination of the LPC Agreement, we expensed the remaining $232,100 of deferred offering costs associated with the LPC Agreement. The expense is reflected as a noncash component of our general and administrative expenses in the accompanying Condensed Consolidated Statements of Operations and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warrants outstanding and exercisable as of December 31, 2021. All outstanding warrants are currently exercisable and the weighted average exercise price of such warrants at December 31, 2021 is $1.47 per share.</w:t>
      </w:r>
    </w:p>
    <w:p>
      <w:pPr>
        <w:spacing w:after="0" w:line="166"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Warrants Outstanding</w:t>
            </w: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and Exercisable at</w:t>
            </w: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00" w:type="dxa"/>
            <w:vAlign w:val="bottom"/>
          </w:tcPr>
          <w:p>
            <w:pPr>
              <w:spacing w:after="0"/>
              <w:rPr>
                <w:sz w:val="18"/>
                <w:szCs w:val="18"/>
                <w:color w:val="auto"/>
              </w:rPr>
            </w:pPr>
          </w:p>
        </w:tc>
        <w:tc>
          <w:tcPr>
            <w:tcW w:w="2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1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4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r>
      <w:tr>
        <w:trPr>
          <w:trHeight w:val="210"/>
        </w:trPr>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$0.50</w:t>
            </w:r>
          </w:p>
        </w:tc>
        <w:tc>
          <w:tcPr>
            <w:tcW w:w="5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12/9/2022</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8"/>
                <w:szCs w:val="18"/>
                <w:color w:val="auto"/>
              </w:rPr>
            </w:pP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color w:val="auto"/>
                <w:w w:val="93"/>
              </w:rPr>
              <w:t>$0.73</w:t>
            </w:r>
          </w:p>
        </w:tc>
        <w:tc>
          <w:tcPr>
            <w:tcW w:w="5060" w:type="dxa"/>
            <w:vAlign w:val="bottom"/>
            <w:gridSpan w:val="2"/>
          </w:tcPr>
          <w:p>
            <w:pPr>
              <w:ind w:left="120"/>
              <w:spacing w:after="0"/>
              <w:rPr>
                <w:sz w:val="20"/>
                <w:szCs w:val="20"/>
                <w:color w:val="auto"/>
              </w:rPr>
            </w:pPr>
            <w:r>
              <w:rPr>
                <w:rFonts w:ascii="Arial" w:cs="Arial" w:eastAsia="Arial" w:hAnsi="Arial"/>
                <w:sz w:val="18"/>
                <w:szCs w:val="18"/>
                <w:color w:val="auto"/>
              </w:rPr>
              <w:t>7/25/2025</w:t>
            </w:r>
          </w:p>
        </w:tc>
        <w:tc>
          <w:tcPr>
            <w:tcW w:w="2560" w:type="dxa"/>
            <w:vAlign w:val="bottom"/>
            <w:gridSpan w:val="3"/>
          </w:tcPr>
          <w:p>
            <w:pPr>
              <w:jc w:val="right"/>
              <w:ind w:right="80"/>
              <w:spacing w:after="0"/>
              <w:rPr>
                <w:sz w:val="20"/>
                <w:szCs w:val="20"/>
                <w:color w:val="auto"/>
              </w:rPr>
            </w:pPr>
            <w:r>
              <w:rPr>
                <w:rFonts w:ascii="Arial" w:cs="Arial" w:eastAsia="Arial" w:hAnsi="Arial"/>
                <w:sz w:val="18"/>
                <w:szCs w:val="18"/>
                <w:color w:val="auto"/>
              </w:rPr>
              <w:t>370,544</w:t>
            </w:r>
          </w:p>
        </w:tc>
      </w:tr>
      <w:tr>
        <w:trPr>
          <w:trHeight w:val="216"/>
        </w:trPr>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$0.805</w:t>
            </w:r>
          </w:p>
        </w:tc>
        <w:tc>
          <w:tcPr>
            <w:tcW w:w="5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12/31/2022</w:t>
            </w:r>
          </w:p>
        </w:tc>
        <w:tc>
          <w:tcPr>
            <w:tcW w:w="2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76,859</w:t>
            </w: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1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2/28/2022 to 12/13/2022</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6,821,243</w:t>
            </w:r>
          </w:p>
        </w:tc>
        <w:tc>
          <w:tcPr>
            <w:tcW w:w="80" w:type="dxa"/>
            <w:vAlign w:val="bottom"/>
          </w:tcPr>
          <w:p>
            <w:pPr>
              <w:spacing w:after="0"/>
              <w:rPr>
                <w:sz w:val="18"/>
                <w:szCs w:val="18"/>
                <w:color w:val="auto"/>
              </w:rPr>
            </w:pPr>
          </w:p>
        </w:tc>
      </w:tr>
      <w:tr>
        <w:trPr>
          <w:trHeight w:val="216"/>
        </w:trPr>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$1.70</w:t>
            </w:r>
          </w:p>
        </w:tc>
        <w:tc>
          <w:tcPr>
            <w:tcW w:w="5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10/5/2022</w:t>
            </w:r>
          </w:p>
        </w:tc>
        <w:tc>
          <w:tcPr>
            <w:tcW w:w="2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12,162</w:t>
            </w: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color w:val="auto"/>
                <w:w w:val="93"/>
              </w:rPr>
              <w:t>$1.82</w:t>
            </w:r>
          </w:p>
        </w:tc>
        <w:tc>
          <w:tcPr>
            <w:tcW w:w="5060" w:type="dxa"/>
            <w:vAlign w:val="bottom"/>
            <w:gridSpan w:val="2"/>
          </w:tcPr>
          <w:p>
            <w:pPr>
              <w:ind w:left="120"/>
              <w:spacing w:after="0"/>
              <w:rPr>
                <w:sz w:val="20"/>
                <w:szCs w:val="20"/>
                <w:color w:val="auto"/>
              </w:rPr>
            </w:pPr>
            <w:r>
              <w:rPr>
                <w:rFonts w:ascii="Arial" w:cs="Arial" w:eastAsia="Arial" w:hAnsi="Arial"/>
                <w:sz w:val="18"/>
                <w:szCs w:val="18"/>
                <w:color w:val="auto"/>
              </w:rPr>
              <w:t>3/7/2023</w:t>
            </w:r>
          </w:p>
        </w:tc>
        <w:tc>
          <w:tcPr>
            <w:tcW w:w="2560" w:type="dxa"/>
            <w:vAlign w:val="bottom"/>
            <w:gridSpan w:val="3"/>
          </w:tcPr>
          <w:p>
            <w:pPr>
              <w:jc w:val="right"/>
              <w:ind w:right="80"/>
              <w:spacing w:after="0"/>
              <w:rPr>
                <w:sz w:val="20"/>
                <w:szCs w:val="20"/>
                <w:color w:val="auto"/>
              </w:rPr>
            </w:pPr>
            <w:r>
              <w:rPr>
                <w:rFonts w:ascii="Arial" w:cs="Arial" w:eastAsia="Arial" w:hAnsi="Arial"/>
                <w:sz w:val="18"/>
                <w:szCs w:val="18"/>
                <w:color w:val="auto"/>
              </w:rPr>
              <w:t>880,050</w:t>
            </w:r>
          </w:p>
        </w:tc>
      </w:tr>
      <w:tr>
        <w:trPr>
          <w:trHeight w:val="216"/>
        </w:trPr>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$7.00</w:t>
            </w:r>
          </w:p>
        </w:tc>
        <w:tc>
          <w:tcPr>
            <w:tcW w:w="5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3/3/2023</w:t>
            </w:r>
          </w:p>
        </w:tc>
        <w:tc>
          <w:tcPr>
            <w:tcW w:w="1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147,000</w:t>
            </w:r>
          </w:p>
        </w:tc>
      </w:tr>
      <w:tr>
        <w:trPr>
          <w:trHeight w:val="210"/>
        </w:trPr>
        <w:tc>
          <w:tcPr>
            <w:tcW w:w="1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9,307,858</w:t>
            </w:r>
          </w:p>
        </w:tc>
        <w:tc>
          <w:tcPr>
            <w:tcW w:w="80" w:type="dxa"/>
            <w:vAlign w:val="bottom"/>
            <w:tcBorders>
              <w:top w:val="single" w:sz="8" w:color="CCEEFF"/>
            </w:tcBorders>
          </w:tcPr>
          <w:p>
            <w:pPr>
              <w:spacing w:after="0"/>
              <w:rPr>
                <w:sz w:val="18"/>
                <w:szCs w:val="18"/>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spacing w:after="0" w:line="286" w:lineRule="auto"/>
        <w:rPr>
          <w:sz w:val="20"/>
          <w:szCs w:val="20"/>
          <w:color w:val="auto"/>
        </w:rPr>
      </w:pPr>
      <w:r>
        <w:rPr>
          <w:rFonts w:ascii="Arial" w:cs="Arial" w:eastAsia="Arial" w:hAnsi="Arial"/>
          <w:sz w:val="17"/>
          <w:szCs w:val="17"/>
          <w:color w:val="auto"/>
        </w:rPr>
        <w:t>At December 31, 2021, substantially all of the shares of common stock underlying the outstanding warrants, except those having an exercise price of $7.00 per share, have been registered for resale by the warrant holders. No outstanding warrant is subject to any down round anti-dilution protection feature. All of the outstanding warrants are exercisable by the holders only by payment in cash of the stated exercise price per share.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December 31, 2021, we entered into a consulting agreement with one of the independent members of our Board to assist us in developing a phase-appropriate research and development human resources staffing plan to support our development of PH94B, PH10 and AV-101. We recorded expense of $6,800 during the quarter ended December 31, 2021 related to this agreement and an accounts payable balance of $1,800 at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w:t>
      </w:r>
    </w:p>
    <w:p>
      <w:pPr>
        <w:spacing w:after="0" w:line="225"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During the nine months ended December 31, 2020, we engaged a consulting firm headed by one of the then-independent members of our Board to provide various market research studies, competitive analyses, and commercial advisory projects for certain of our CNS pipeline candidates pursuant to which we recorded research and development expense of $20,000 and $48,000 for the three and nine months ended December 31, 2020, respectively. In May 2021, that Board member ceased to be independent upon acceptance of a position as our Chief Commercial Officer while remaining a member of our Board. We have not engaged in business with the related consulting firm in the current fiscal year prior to or subsequent to the acceptance of employment by our Chief Commercial Officer. We recorded accounts payable and accrued expenses to the consulting firm of $20,000 at December 31, 2020 and no amounts payable at March 31, 2021 or December 31, 2021 to the consulting firm.</w:t>
      </w:r>
    </w:p>
    <w:p>
      <w:pPr>
        <w:sectPr>
          <w:pgSz w:w="11900" w:h="16838" w:orient="portrait"/>
          <w:cols w:equalWidth="0" w:num="1">
            <w:col w:w="11240"/>
          </w:cols>
          <w:pgMar w:left="320" w:top="125"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lease our headquarters office and laboratory space in South San Francisco, California under the terms of a lease that was set to expire on July 31, 2022 but which provided an option to renew for an additional five years at then-current market rates. On October 14, 2021, we entered into an amendment to the lease (the </w:t>
      </w:r>
      <w:r>
        <w:rPr>
          <w:rFonts w:ascii="Arial" w:cs="Arial" w:eastAsia="Arial" w:hAnsi="Arial"/>
          <w:sz w:val="16"/>
          <w:szCs w:val="16"/>
          <w:i w:val="1"/>
          <w:iCs w:val="1"/>
          <w:color w:val="auto"/>
        </w:rPr>
        <w:t>Lease Amendment</w:t>
      </w:r>
      <w:r>
        <w:rPr>
          <w:rFonts w:ascii="Arial" w:cs="Arial" w:eastAsia="Arial" w:hAnsi="Arial"/>
          <w:sz w:val="16"/>
          <w:szCs w:val="16"/>
          <w:color w:val="auto"/>
        </w:rPr>
        <w:t xml:space="preserve">), pursuant to which the term of the lease was extended from August 1, 2022 to July 31, 2027 and the base rent under the lease for the five-year extension period was specified. Under the terms of the Lease Amendment, we have the option to renew the lease for an additional five-year term commencing on August 1, 2027. Consistent with the guidance in </w:t>
      </w:r>
      <w:r>
        <w:rPr>
          <w:rFonts w:ascii="Arial" w:cs="Arial" w:eastAsia="Arial" w:hAnsi="Arial"/>
          <w:sz w:val="16"/>
          <w:szCs w:val="16"/>
          <w:i w:val="1"/>
          <w:iCs w:val="1"/>
          <w:color w:val="auto"/>
        </w:rPr>
        <w:t>ASC 842</w:t>
      </w:r>
      <w:r>
        <w:rPr>
          <w:rFonts w:ascii="Arial" w:cs="Arial" w:eastAsia="Arial" w:hAnsi="Arial"/>
          <w:sz w:val="16"/>
          <w:szCs w:val="16"/>
          <w:color w:val="auto"/>
        </w:rPr>
        <w:t>, beginning April 1, 2019, we recorded this lease in our Condensed Consolidated Balance Sheet as an operating lease. For the purpose of determining the right-of-use asset and associated lease liability, we determined that the renewal of this lease for the period of the Lease Amendment was reasonably probable at the time we adopted ASC 842. The lease of our South San Francisco facilities does not include any restrictions or covenants requiring special treatment under ASC 842.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presentation of the operating lease in our Condensed Consolidated Balance Sheet:</w:t>
      </w:r>
    </w:p>
    <w:p>
      <w:pPr>
        <w:spacing w:after="0" w:line="22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 December 31,</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As of March 31,</w:t>
            </w:r>
          </w:p>
        </w:tc>
      </w:tr>
      <w:tr>
        <w:trPr>
          <w:trHeight w:val="234"/>
        </w:trPr>
        <w:tc>
          <w:tcPr>
            <w:tcW w:w="6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ind w:left="320"/>
              <w:spacing w:after="0"/>
              <w:rPr>
                <w:sz w:val="20"/>
                <w:szCs w:val="20"/>
                <w:color w:val="auto"/>
              </w:rPr>
            </w:pPr>
            <w:r>
              <w:rPr>
                <w:rFonts w:ascii="Arial" w:cs="Arial" w:eastAsia="Arial" w:hAnsi="Arial"/>
                <w:sz w:val="18"/>
                <w:szCs w:val="18"/>
                <w:color w:val="auto"/>
              </w:rPr>
              <w:t>Right of use asset – operating lease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2,756,800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3,219,600</w:t>
            </w: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operating lease obligation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364,800</w:t>
            </w:r>
          </w:p>
        </w:tc>
      </w:tr>
      <w:tr>
        <w:trPr>
          <w:trHeight w:val="216"/>
        </w:trPr>
        <w:tc>
          <w:tcPr>
            <w:tcW w:w="6480" w:type="dxa"/>
            <w:vAlign w:val="bottom"/>
          </w:tcPr>
          <w:p>
            <w:pPr>
              <w:ind w:left="320"/>
              <w:spacing w:after="0"/>
              <w:rPr>
                <w:sz w:val="20"/>
                <w:szCs w:val="20"/>
                <w:color w:val="auto"/>
              </w:rPr>
            </w:pPr>
            <w:r>
              <w:rPr>
                <w:rFonts w:ascii="Arial" w:cs="Arial" w:eastAsia="Arial" w:hAnsi="Arial"/>
                <w:sz w:val="18"/>
                <w:szCs w:val="18"/>
                <w:color w:val="auto"/>
              </w:rPr>
              <w:t>Non-current operating lease obligation</w:t>
            </w:r>
          </w:p>
        </w:tc>
        <w:tc>
          <w:tcPr>
            <w:tcW w:w="10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2,717,200</w:t>
            </w: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3,350,800</w:t>
            </w:r>
          </w:p>
        </w:tc>
      </w:tr>
      <w:tr>
        <w:trPr>
          <w:trHeight w:val="20"/>
        </w:trPr>
        <w:tc>
          <w:tcPr>
            <w:tcW w:w="6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lease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3,141,300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3,715,600</w:t>
            </w:r>
          </w:p>
        </w:tc>
      </w:tr>
      <w:tr>
        <w:trPr>
          <w:trHeight w:val="20"/>
        </w:trPr>
        <w:tc>
          <w:tcPr>
            <w:tcW w:w="6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 of operating lease costs in the Company’s Condensed Consolidated Statements of Operations:</w:t>
      </w:r>
    </w:p>
    <w:p>
      <w:pPr>
        <w:spacing w:after="0" w:line="221"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For the Three Months</w:t>
            </w:r>
          </w:p>
        </w:tc>
        <w:tc>
          <w:tcPr>
            <w:tcW w:w="280" w:type="dxa"/>
            <w:vAlign w:val="bottom"/>
          </w:tcPr>
          <w:p>
            <w:pPr>
              <w:spacing w:after="0"/>
              <w:rPr>
                <w:sz w:val="18"/>
                <w:szCs w:val="18"/>
                <w:color w:val="auto"/>
              </w:rPr>
            </w:pPr>
          </w:p>
        </w:tc>
        <w:tc>
          <w:tcPr>
            <w:tcW w:w="2480" w:type="dxa"/>
            <w:vAlign w:val="bottom"/>
            <w:gridSpan w:val="6"/>
          </w:tcPr>
          <w:p>
            <w:pPr>
              <w:ind w:left="26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2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0"/>
              </w:rPr>
              <w:t>Ended December 31,</w:t>
            </w:r>
          </w:p>
        </w:tc>
        <w:tc>
          <w:tcPr>
            <w:tcW w:w="280" w:type="dxa"/>
            <w:vAlign w:val="bottom"/>
          </w:tcPr>
          <w:p>
            <w:pPr>
              <w:spacing w:after="0"/>
              <w:rPr>
                <w:sz w:val="20"/>
                <w:szCs w:val="20"/>
                <w:color w:val="auto"/>
              </w:rPr>
            </w:pPr>
          </w:p>
        </w:tc>
        <w:tc>
          <w:tcPr>
            <w:tcW w:w="2480" w:type="dxa"/>
            <w:vAlign w:val="bottom"/>
            <w:gridSpan w:val="6"/>
          </w:tcPr>
          <w:p>
            <w:pPr>
              <w:ind w:left="260"/>
              <w:spacing w:after="0"/>
              <w:rPr>
                <w:sz w:val="20"/>
                <w:szCs w:val="20"/>
                <w:color w:val="auto"/>
              </w:rPr>
            </w:pPr>
            <w:r>
              <w:rPr>
                <w:rFonts w:ascii="Arial" w:cs="Arial" w:eastAsia="Arial" w:hAnsi="Arial"/>
                <w:sz w:val="18"/>
                <w:szCs w:val="18"/>
                <w:b w:val="1"/>
                <w:bCs w:val="1"/>
                <w:color w:val="auto"/>
              </w:rPr>
              <w:t>Ended December 31,</w:t>
            </w:r>
          </w:p>
        </w:tc>
      </w:tr>
      <w:tr>
        <w:trPr>
          <w:trHeight w:val="210"/>
        </w:trPr>
        <w:tc>
          <w:tcPr>
            <w:tcW w:w="2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2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207,300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526,300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627,400</w:t>
            </w:r>
          </w:p>
        </w:tc>
      </w:tr>
      <w:tr>
        <w:trPr>
          <w:trHeight w:val="20"/>
        </w:trPr>
        <w:tc>
          <w:tcPr>
            <w:tcW w:w="27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minimum (base rental) lease payments related to our South San Francisco operating lease are expected to be as indicated in the table below. Cash payments related to variable lease costs are not included in the measurement of lease liabilities, and, as such, are excluded from the amounts below.</w:t>
      </w:r>
    </w:p>
    <w:p>
      <w:pPr>
        <w:spacing w:after="0" w:line="12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Years Ending March 31,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2022 (remaining three months)</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169,000</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676,000</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689,500</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710,200</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731,500</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1,007,000</w:t>
            </w:r>
          </w:p>
        </w:tc>
      </w:tr>
      <w:tr>
        <w:trPr>
          <w:trHeight w:val="20"/>
        </w:trPr>
        <w:tc>
          <w:tcPr>
            <w:tcW w:w="8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3,983,200</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(841,900)</w:t>
            </w:r>
          </w:p>
        </w:tc>
      </w:tr>
      <w:tr>
        <w:trPr>
          <w:trHeight w:val="20"/>
        </w:trPr>
        <w:tc>
          <w:tcPr>
            <w:tcW w:w="8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Present value of operating lease liabilities</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3,141,300</w:t>
            </w:r>
          </w:p>
        </w:tc>
      </w:tr>
      <w:tr>
        <w:trPr>
          <w:trHeight w:val="20"/>
        </w:trPr>
        <w:tc>
          <w:tcPr>
            <w:tcW w:w="8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remaining lease term, including the assumed five-year extension at the expiration of the current lease period, and the discount rate assumption for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operating lease is as follows:</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8740" w:type="dxa"/>
            <w:vAlign w:val="bottom"/>
          </w:tcPr>
          <w:p>
            <w:pPr>
              <w:spacing w:after="0"/>
              <w:rPr>
                <w:sz w:val="18"/>
                <w:szCs w:val="18"/>
                <w:color w:val="auto"/>
              </w:rPr>
            </w:pPr>
          </w:p>
        </w:tc>
        <w:tc>
          <w:tcPr>
            <w:tcW w:w="1920" w:type="dxa"/>
            <w:vAlign w:val="bottom"/>
            <w:gridSpan w:val="2"/>
          </w:tcPr>
          <w:p>
            <w:pPr>
              <w:ind w:left="160"/>
              <w:spacing w:after="0"/>
              <w:rPr>
                <w:sz w:val="20"/>
                <w:szCs w:val="20"/>
                <w:color w:val="auto"/>
              </w:rPr>
            </w:pPr>
            <w:r>
              <w:rPr>
                <w:rFonts w:ascii="Arial" w:cs="Arial" w:eastAsia="Arial" w:hAnsi="Arial"/>
                <w:sz w:val="18"/>
                <w:szCs w:val="18"/>
                <w:b w:val="1"/>
                <w:bCs w:val="1"/>
                <w:color w:val="auto"/>
              </w:rPr>
              <w:t>As of December 31,</w:t>
            </w:r>
          </w:p>
        </w:tc>
      </w:tr>
      <w:tr>
        <w:trPr>
          <w:trHeight w:val="234"/>
        </w:trPr>
        <w:tc>
          <w:tcPr>
            <w:tcW w:w="8740" w:type="dxa"/>
            <w:vAlign w:val="bottom"/>
          </w:tcPr>
          <w:p>
            <w:pPr>
              <w:spacing w:after="0"/>
              <w:rPr>
                <w:sz w:val="20"/>
                <w:szCs w:val="20"/>
                <w:color w:val="auto"/>
              </w:rPr>
            </w:pPr>
          </w:p>
        </w:tc>
        <w:tc>
          <w:tcPr>
            <w:tcW w:w="182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Assumed remaining lease term in years</w:t>
            </w:r>
          </w:p>
        </w:tc>
        <w:tc>
          <w:tcPr>
            <w:tcW w:w="1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Assumed discount rate</w:t>
            </w:r>
          </w:p>
        </w:tc>
        <w:tc>
          <w:tcPr>
            <w:tcW w:w="1820" w:type="dxa"/>
            <w:vAlign w:val="bottom"/>
          </w:tcPr>
          <w:p>
            <w:pPr>
              <w:ind w:left="74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interest rate implicit in lease contracts is typically not readily determinable and, as such, we used our estimated incremental borrowing rate based on information available at the adoption of ASC 842, which represents an internally developed rate that would be incurred to borrow, on a collateralized basis, over a similar term, an amount equal to the lease payments in a similar economic environment.</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Supplemental disclosure of cash flow information related to our operating lease included in cash flows used by operating activities in the Condensed Consolidated Statements of Cash Flows is as follows:</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For the Nine Months</w:t>
            </w:r>
          </w:p>
        </w:tc>
        <w:tc>
          <w:tcPr>
            <w:tcW w:w="16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 the Nine Months</w:t>
            </w:r>
          </w:p>
        </w:tc>
      </w:tr>
      <w:tr>
        <w:trPr>
          <w:trHeight w:val="216"/>
        </w:trPr>
        <w:tc>
          <w:tcPr>
            <w:tcW w:w="5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5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December 31, 2021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Pr>
          <w:p>
            <w:pPr>
              <w:spacing w:after="0"/>
              <w:rPr>
                <w:sz w:val="20"/>
                <w:szCs w:val="20"/>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637,800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590,600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December 31, 2021, we recorded no new right of use assets arising from new lease liabilities.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lease a small office in the San Francisco Bay Area under a month-to-month arrangement at insignificant cost and have made an accounting policy election not to apply the ASC 842 operating lease recognition requirements to such short-term lease. We recognize the lease payments for this lease in general and administrative expense over the lease term. We recorded rent expense of $3,500 each for the three months ended December 31, 2021 and 2020, and $10,600 each for the nine months ended December 31, 2021 and 2020, attributable to this lease.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Sublicensing and Collaborative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 Sublicense Agreement with EverInsight Therapeutics, Inc. (now AffaMed Therapeutics, Inc.)</w:t>
      </w:r>
    </w:p>
    <w:p>
      <w:pPr>
        <w:spacing w:after="0" w:line="225" w:lineRule="exact"/>
        <w:rPr>
          <w:sz w:val="20"/>
          <w:szCs w:val="20"/>
          <w:color w:val="auto"/>
        </w:rPr>
      </w:pPr>
    </w:p>
    <w:p>
      <w:pPr>
        <w:jc w:val="both"/>
        <w:ind w:left="20"/>
        <w:spacing w:after="0" w:line="291" w:lineRule="auto"/>
        <w:rPr>
          <w:sz w:val="20"/>
          <w:szCs w:val="20"/>
          <w:color w:val="auto"/>
        </w:rPr>
      </w:pPr>
      <w:r>
        <w:rPr>
          <w:rFonts w:ascii="Arial" w:cs="Arial" w:eastAsia="Arial" w:hAnsi="Arial"/>
          <w:sz w:val="16"/>
          <w:szCs w:val="16"/>
          <w:color w:val="auto"/>
        </w:rPr>
        <w:t>On June 24, 2020, we entered into a license and collaboration agreement with EverInsight Therapeutics Inc. (</w:t>
      </w:r>
      <w:r>
        <w:rPr>
          <w:rFonts w:ascii="Arial" w:cs="Arial" w:eastAsia="Arial" w:hAnsi="Arial"/>
          <w:sz w:val="16"/>
          <w:szCs w:val="16"/>
          <w:i w:val="1"/>
          <w:iCs w:val="1"/>
          <w:color w:val="auto"/>
        </w:rPr>
        <w:t>EverInsight</w:t>
      </w:r>
      <w:r>
        <w:rPr>
          <w:rFonts w:ascii="Arial" w:cs="Arial" w:eastAsia="Arial" w:hAnsi="Arial"/>
          <w:sz w:val="16"/>
          <w:szCs w:val="16"/>
          <w:color w:val="auto"/>
        </w:rPr>
        <w:t xml:space="preserve">). Subsequent to entering into the agreement with EverInsight, in October 2020, EverInsight merged with AffaMed Therapeutics, Inc., which as a combined entity is focusing on developing and commercializing therapeutics to address ophthalmologic and CNS disorders in Greater China (which includes Mainland China, Hong Kong, Macau and Taiwan) and beyond. Accordingly, we are now referring to EverInsight as AffaMed and the agreement originally entered into with EverInsght as the AffaMed Agreement. Under the AffaMed Agreement, we granted AffaMed an exclusive license to develop and commercialize PH94B for SAD and other anxiety-related disorders in Greater China, South Korea and Southeast Asia (which includes Indonesia, Malaysia, Philippines, Thailand and Vietnam) (collectively, the </w:t>
      </w:r>
      <w:r>
        <w:rPr>
          <w:rFonts w:ascii="Arial" w:cs="Arial" w:eastAsia="Arial" w:hAnsi="Arial"/>
          <w:sz w:val="16"/>
          <w:szCs w:val="16"/>
          <w:i w:val="1"/>
          <w:iCs w:val="1"/>
          <w:color w:val="auto"/>
        </w:rPr>
        <w:t>Territory</w:t>
      </w:r>
      <w:r>
        <w:rPr>
          <w:rFonts w:ascii="Arial" w:cs="Arial" w:eastAsia="Arial" w:hAnsi="Arial"/>
          <w:sz w:val="16"/>
          <w:szCs w:val="16"/>
          <w:color w:val="auto"/>
        </w:rPr>
        <w:t>). We retain exclusive development and commercialization rights for PH94B in the U.S. and throughout the rest of the world.</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terms of the AffaMed Agreement, AffaMed is responsible for all costs related to developing, obtaining regulatory approval of, and commercializing PH94B for treatment of SAD, and potentially other anxiety-related indications, in the Territory. A joint development committee has been established between us and AffaMed to coordinate and review the development and commercialization plans with respect to PH94B in the Territory.</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responsible for pursuing clinical development and regulatory submissions of PH94B for acute treatment of anxiety in adults with SAD, and potentially other anxiety-related indications, in the United States on a ‘‘best efforts’’ basis, with no guarantee of success. AffaMed has agreed to participate in the global Phase 3 clinical trial of PH94B and will assume all direct costs and expenses of conducting such clinical trial in the Territory and a portion of the indirect costs of the global trial. We will transfer all development data (nonclinical and clinical data) and our regulatory documentation related to PH94B throughout the term as it is developed or generated or otherwise comes into our control. We will grant to AffaMed a Right of Reference to all of our regulatory documentation and our development data.</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AffaMed Agreement, AffaMed agreed to pay us a non-refundable upfront license payment of $5.0 million within 30 business days of the effective date of the AffaMed Agreement, and AffaMed paid the $5.0 million in August 2020. Additionally, upon successful development and commercialization of PH94B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that there is no market exclusivity in the period. Royalty payments may also be reduced if there is generic competitive product in the period.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determined that we have one combined performance obligation for the license to develop and commercialize PH94B in the Territory and related development and regulatory services. In addition, AffaMed has an option that will create manufacturing obligations for us during development upon exercise by AffaMed. This option for manufacturing services was evaluated and determined not to include a material right.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the royalty constraint.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as the combined performance obligation is satisfied over time using an output method. The measure of progress is stand-ready straight-line over the period in which we expect to perform the services related to the license of PH94B.</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and nine months ended December 31, 2021, we recognized $357,900 and $1,070,000, respectively, as sublicense revenue under the AffaMed Agreement compared to $313,600 and $647,600 for the three and nine months ended December 31, 2020, respectively. At December 31, 2021, the aggregate amount of the transaction price allocated to the remaining performance obligation is $2,840,500 which will be recognized as revenue as the services are completed. Significant management judgment is required to determine the level of effort attributable to the AffaMed Agreement and the period over which we expect to complete our performance obligations under the arrangement. The performance period or measure of progress is estimated at the inception of the arrangement and re-evaluated in subsequent reporting periods. This re-evaluation may shorten or lengthen the period over which we recognize revenue. Changes to these estimates, if any, will be recorded on a cumulative catch-up basis. We currently estimate that we will complete our performance obligations at the end of calendar 2023.</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earlier terminated due to certain material breaches of the contract, or otherwise, the AffaMed Agreement will expire on a jurisdiction-by-jurisdiction basis until the latest to occur of expiration of the last valid claim under a licensed patent of PH94B in such jurisdiction, the expiration of regulatory exclusivity in such jurisdiction or ten years after the first commercial sale of PH94B in such jurisdiction.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the date of this Report and have identified the following matter requiring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of Options from 2019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January 1, 2022 through the date of this Report, we have granted options to purchase 225,000 shares of our common stock under the terms of our Amended 2019 Plan to newly-hired employees. The options have an exercise price equal to the quoted closing market price of our common stock on the Nasdaq Capital Market on the date of grant, a term of ten years and vest 25% on the first anniversary of the grant date and ratably on a monthly basis for three years thereafter.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This Quarterly Report on Form 10-Q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w:t>
      </w:r>
      <w:r>
        <w:rPr>
          <w:rFonts w:ascii="Arial" w:cs="Arial" w:eastAsia="Arial" w:hAnsi="Arial"/>
          <w:sz w:val="17"/>
          <w:szCs w:val="17"/>
          <w:color w:val="auto"/>
        </w:rPr>
        <w:t>“</w:t>
      </w:r>
      <w:r>
        <w:rPr>
          <w:rFonts w:ascii="Arial" w:cs="Arial" w:eastAsia="Arial" w:hAnsi="Arial"/>
          <w:sz w:val="17"/>
          <w:szCs w:val="17"/>
          <w:i w:val="1"/>
          <w:iCs w:val="1"/>
          <w:color w:val="auto"/>
        </w:rPr>
        <w:t>believe,</w:t>
      </w:r>
      <w:r>
        <w:rPr>
          <w:rFonts w:ascii="Arial" w:cs="Arial" w:eastAsia="Arial" w:hAnsi="Arial"/>
          <w:sz w:val="17"/>
          <w:szCs w:val="17"/>
          <w:color w:val="auto"/>
        </w:rPr>
        <w:t>” “</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w:t>
      </w:r>
      <w:r>
        <w:rPr>
          <w:rFonts w:ascii="Arial" w:cs="Arial" w:eastAsia="Arial" w:hAnsi="Arial"/>
          <w:sz w:val="17"/>
          <w:szCs w:val="17"/>
          <w:i w:val="1"/>
          <w:iCs w:val="1"/>
          <w:color w:val="auto"/>
        </w:rPr>
        <w:t>expect</w:t>
      </w:r>
      <w:r>
        <w:rPr>
          <w:rFonts w:ascii="Arial" w:cs="Arial" w:eastAsia="Arial" w:hAnsi="Arial"/>
          <w:sz w:val="17"/>
          <w:szCs w:val="17"/>
          <w:color w:val="auto"/>
        </w:rPr>
        <w:t>”</w:t>
      </w:r>
      <w:r>
        <w:rPr>
          <w:rFonts w:ascii="Arial" w:cs="Arial" w:eastAsia="Arial" w:hAnsi="Arial"/>
          <w:sz w:val="17"/>
          <w:szCs w:val="17"/>
          <w:i w:val="1"/>
          <w:iCs w:val="1"/>
          <w:color w:val="auto"/>
        </w:rPr>
        <w:t xml:space="preserve">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effects of the ongoing COVID-19 pandemic, the effect of regulation by the U.S. Food and Drug Administration (FDA) and other domestic and foreign regulatory agencies, the impact of competitive products, product development, commercialization and technological difficulties, the effect of our accounting policies, and other risks as detailed in the section entitled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in this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(Board) and stockholders.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left="20"/>
        <w:spacing w:after="0" w:line="279" w:lineRule="auto"/>
        <w:rPr>
          <w:sz w:val="20"/>
          <w:szCs w:val="20"/>
          <w:color w:val="auto"/>
        </w:rPr>
      </w:pPr>
      <w:r>
        <w:rPr>
          <w:rFonts w:ascii="Arial" w:cs="Arial" w:eastAsia="Arial" w:hAnsi="Arial"/>
          <w:sz w:val="17"/>
          <w:szCs w:val="17"/>
          <w:color w:val="auto"/>
        </w:rPr>
        <w:t>We are a late-stage clinical biopharmaceutical company committed to developing and commercializing a new generation of medicines with potential to go beyond the current standard of care for widespread anxiety, depression and other central nervous system (</w:t>
      </w:r>
      <w:r>
        <w:rPr>
          <w:rFonts w:ascii="Arial" w:cs="Arial" w:eastAsia="Arial" w:hAnsi="Arial"/>
          <w:sz w:val="17"/>
          <w:szCs w:val="17"/>
          <w:i w:val="1"/>
          <w:iCs w:val="1"/>
          <w:color w:val="auto"/>
        </w:rPr>
        <w:t>CNS</w:t>
      </w:r>
      <w:r>
        <w:rPr>
          <w:rFonts w:ascii="Arial" w:cs="Arial" w:eastAsia="Arial" w:hAnsi="Arial"/>
          <w:sz w:val="17"/>
          <w:szCs w:val="17"/>
          <w:color w:val="auto"/>
        </w:rPr>
        <w:t>) disorders. Our CNS pipeline includes three clinical-stage CNS product candidates, PH94B Nasal Spray (</w:t>
      </w:r>
      <w:r>
        <w:rPr>
          <w:rFonts w:ascii="Arial" w:cs="Arial" w:eastAsia="Arial" w:hAnsi="Arial"/>
          <w:sz w:val="17"/>
          <w:szCs w:val="17"/>
          <w:i w:val="1"/>
          <w:iCs w:val="1"/>
          <w:color w:val="auto"/>
        </w:rPr>
        <w:t>PH94B</w:t>
      </w:r>
      <w:r>
        <w:rPr>
          <w:rFonts w:ascii="Arial" w:cs="Arial" w:eastAsia="Arial" w:hAnsi="Arial"/>
          <w:sz w:val="17"/>
          <w:szCs w:val="17"/>
          <w:color w:val="auto"/>
        </w:rPr>
        <w:t>), PH10 Nasal Spray (</w:t>
      </w:r>
      <w:r>
        <w:rPr>
          <w:rFonts w:ascii="Arial" w:cs="Arial" w:eastAsia="Arial" w:hAnsi="Arial"/>
          <w:sz w:val="17"/>
          <w:szCs w:val="17"/>
          <w:i w:val="1"/>
          <w:iCs w:val="1"/>
          <w:color w:val="auto"/>
        </w:rPr>
        <w:t>PH10</w:t>
      </w:r>
      <w:r>
        <w:rPr>
          <w:rFonts w:ascii="Arial" w:cs="Arial" w:eastAsia="Arial" w:hAnsi="Arial"/>
          <w:sz w:val="17"/>
          <w:szCs w:val="17"/>
          <w:color w:val="auto"/>
        </w:rPr>
        <w:t>) and AV-101, each with a differentiated profile, favorable safety results observed in all clinical studies to date and therapeutic potential in multiple CNS indications.</w:t>
      </w:r>
    </w:p>
    <w:p>
      <w:pPr>
        <w:spacing w:after="0" w:line="171" w:lineRule="exact"/>
        <w:rPr>
          <w:sz w:val="20"/>
          <w:szCs w:val="20"/>
          <w:color w:val="auto"/>
        </w:rPr>
      </w:pPr>
    </w:p>
    <w:p>
      <w:pPr>
        <w:jc w:val="both"/>
        <w:ind w:left="20"/>
        <w:spacing w:after="0" w:line="289" w:lineRule="auto"/>
        <w:rPr>
          <w:sz w:val="20"/>
          <w:szCs w:val="20"/>
          <w:color w:val="auto"/>
        </w:rPr>
      </w:pPr>
      <w:r>
        <w:rPr>
          <w:rFonts w:ascii="Arial" w:cs="Arial" w:eastAsia="Arial" w:hAnsi="Arial"/>
          <w:sz w:val="16"/>
          <w:szCs w:val="16"/>
          <w:color w:val="auto"/>
        </w:rPr>
        <w:t>PH94B is being developed for multiple anxiety disorders. Our PALISADE Phase 3 Program for PH94B is underway, anchored by PALISADE-1 and PALISADE-2, each a U.S., multi-center, randomized, double-blind, placebo-controlled Phase 3 clinical study to evaluate the efficacy, safety and tolerability of PH94B for the acute treatment of anxiety in adults with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In addition, our PALISADE Phase 3 Program long-term safety study is underway, as are advanced preparations for additional small clinical studies that we believe are required to support a potential U.S.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for PH94B in SAD as early as 2023 should our PALISADE Phase 3 Program be successful. In addition, our exploratory Phase 2A clinical program for PH94B, which is designed to assess its therapeutic potential in anxiety disorders beyond SAD, is now underway, with an initial focus on adults experiencing Adjustment Disorder with Anxiety (</w:t>
      </w:r>
      <w:r>
        <w:rPr>
          <w:rFonts w:ascii="Arial" w:cs="Arial" w:eastAsia="Arial" w:hAnsi="Arial"/>
          <w:sz w:val="16"/>
          <w:szCs w:val="16"/>
          <w:i w:val="1"/>
          <w:iCs w:val="1"/>
          <w:color w:val="auto"/>
        </w:rPr>
        <w:t>AjDA</w:t>
      </w:r>
      <w:r>
        <w:rPr>
          <w:rFonts w:ascii="Arial" w:cs="Arial" w:eastAsia="Arial" w:hAnsi="Arial"/>
          <w:sz w:val="16"/>
          <w:szCs w:val="16"/>
          <w:color w:val="auto"/>
        </w:rPr>
        <w:t>). We are preparing to expand this program in 2022 by initiating Phase 2A biomarker studies as an initial step in assessing PH94B’s potential in each of procedural anxiety and post-traumatic stress disorder. We are also preparing to initiate our postpartum anxiety program for PH94B with a Phase 1 lactation study to assess whether PH94B is excreted to breast milk.</w:t>
      </w:r>
    </w:p>
    <w:p>
      <w:pPr>
        <w:spacing w:after="0" w:line="166"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PH10 is being developed as a stand-alone treatment for multiple depression disorders. Exploratory Phase 2A clinical development of PH10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has been completed. Based on the positive results demonstrated in that study, we are now preparing for planned Phase 2B clinical development of PH10 in MDD.</w:t>
      </w:r>
    </w:p>
    <w:p>
      <w:pPr>
        <w:spacing w:after="0" w:line="184"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We are also preparing to initiate exploratory Phase 1B clinical development of AV-101 in combination with probenecid to further assess the potential of the combination in multiple neurological indications involving the NMDA (N-methyl-D-aspartate) receptor.</w:t>
      </w:r>
    </w:p>
    <w:p>
      <w:pPr>
        <w:spacing w:after="0" w:line="170" w:lineRule="exact"/>
        <w:rPr>
          <w:sz w:val="20"/>
          <w:szCs w:val="20"/>
          <w:color w:val="auto"/>
        </w:rPr>
      </w:pPr>
    </w:p>
    <w:p>
      <w:pPr>
        <w:jc w:val="both"/>
        <w:ind w:left="20"/>
        <w:spacing w:after="0" w:line="308" w:lineRule="auto"/>
        <w:rPr>
          <w:sz w:val="20"/>
          <w:szCs w:val="20"/>
          <w:color w:val="auto"/>
        </w:rPr>
      </w:pPr>
      <w:r>
        <w:rPr>
          <w:rFonts w:ascii="Arial" w:cs="Arial" w:eastAsia="Arial" w:hAnsi="Arial"/>
          <w:sz w:val="17"/>
          <w:szCs w:val="17"/>
          <w:color w:val="auto"/>
        </w:rPr>
        <w:t>Our goal is to become a biopharmaceutical company that develops and commercializes innovative CNS therapies for highly prevalent neuropsychiatric and neurological indications where current treatment options are inadequate to meet the needs of millions of patients worldwide.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jc w:val="both"/>
        <w:ind w:left="20"/>
        <w:spacing w:after="0" w:line="217" w:lineRule="exact"/>
        <w:rPr>
          <w:sz w:val="20"/>
          <w:szCs w:val="20"/>
          <w:color w:val="auto"/>
        </w:rPr>
      </w:pPr>
      <w:r>
        <w:rPr>
          <w:rFonts w:ascii="Arial" w:cs="Arial" w:eastAsia="Arial" w:hAnsi="Arial"/>
          <w:sz w:val="16"/>
          <w:szCs w:val="16"/>
          <w:color w:val="auto"/>
        </w:rPr>
        <w:t>PH94B is a first-in-class synthetic investigational neurosteroid developed from proprietary compounds called pherines. With its novel mechanism of action, PH94B is an odorless nasal spray designed to be administered at microgram-level doses to achieve rapid-onset anti-anxiety, or anxiolytic, effects. The pharmacological activity of PH94B is fundamentally differentiated from that of all FDA-approved anti-anxiety drugs, including all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for treatment of SAD, as well as all benzodiazepines and beta blockers prescribed for treatment of SAD on an off-label basis. PH94B engages peripheral chemosensory receptors in nasal passages that trigger a subset of neurons in the main olfactory bulbs (</w:t>
      </w:r>
      <w:r>
        <w:rPr>
          <w:rFonts w:ascii="Arial" w:cs="Arial" w:eastAsia="Arial" w:hAnsi="Arial"/>
          <w:sz w:val="16"/>
          <w:szCs w:val="16"/>
          <w:i w:val="1"/>
          <w:iCs w:val="1"/>
          <w:color w:val="auto"/>
        </w:rPr>
        <w:t>OB</w:t>
      </w:r>
      <w:r>
        <w:rPr>
          <w:rFonts w:ascii="Arial" w:cs="Arial" w:eastAsia="Arial" w:hAnsi="Arial"/>
          <w:sz w:val="16"/>
          <w:szCs w:val="16"/>
          <w:color w:val="auto"/>
        </w:rPr>
        <w:t>) at the base of the brain. The OB neurons then stimulate inhibitory GABAergic neurons in the limbic amygdala, decreasing the activity of the sympathetic nervous system, and facilitating fear extinction activity of the limbic-hypothalamic system, the main fear and anxiety center in the brain, as well as in other parts of the brain. Importantly, we believe PH94B, even at microgram-level doses, does not require systemic uptake and distribution to produce its rapid-onset anti-anxiety effects. With its unique mechanism of action, which is distinct from other anxiolytic agents, throughout clinical development of PH94B to date, very few CNS</w:t>
      </w:r>
      <w:r>
        <w:rPr>
          <w:rFonts w:ascii="MS PGothic" w:cs="MS PGothic" w:eastAsia="MS PGothic" w:hAnsi="MS PGothic"/>
          <w:sz w:val="16"/>
          <w:szCs w:val="16"/>
          <w:color w:val="auto"/>
        </w:rPr>
        <w:t>‑</w:t>
      </w:r>
      <w:r>
        <w:rPr>
          <w:rFonts w:ascii="Arial" w:cs="Arial" w:eastAsia="Arial" w:hAnsi="Arial"/>
          <w:sz w:val="16"/>
          <w:szCs w:val="16"/>
          <w:color w:val="auto"/>
        </w:rPr>
        <w:t>related adverse events (</w:t>
      </w:r>
      <w:r>
        <w:rPr>
          <w:rFonts w:ascii="Arial" w:cs="Arial" w:eastAsia="Arial" w:hAnsi="Arial"/>
          <w:sz w:val="16"/>
          <w:szCs w:val="16"/>
          <w:i w:val="1"/>
          <w:iCs w:val="1"/>
          <w:color w:val="auto"/>
        </w:rPr>
        <w:t>AEs</w:t>
      </w:r>
      <w:r>
        <w:rPr>
          <w:rFonts w:ascii="Arial" w:cs="Arial" w:eastAsia="Arial" w:hAnsi="Arial"/>
          <w:sz w:val="16"/>
          <w:szCs w:val="16"/>
          <w:color w:val="auto"/>
        </w:rPr>
        <w:t>), no abuse-related AEs, and no drug-related serious adverse events (</w:t>
      </w:r>
      <w:r>
        <w:rPr>
          <w:rFonts w:ascii="Arial" w:cs="Arial" w:eastAsia="Arial" w:hAnsi="Arial"/>
          <w:sz w:val="16"/>
          <w:szCs w:val="16"/>
          <w:i w:val="1"/>
          <w:iCs w:val="1"/>
          <w:color w:val="auto"/>
        </w:rPr>
        <w:t>SAEs</w:t>
      </w:r>
      <w:r>
        <w:rPr>
          <w:rFonts w:ascii="Arial" w:cs="Arial" w:eastAsia="Arial" w:hAnsi="Arial"/>
          <w:sz w:val="16"/>
          <w:szCs w:val="16"/>
          <w:color w:val="auto"/>
        </w:rPr>
        <w:t>) have been reported. Our ongoing PALISADE Phase 3 Program for PH94B is designed to further demonstrate its potential as a fast-acting, non-sedating, non-addictive acute treatment of anxiety in adults with SAD. We believe PH94B also has potential to be developed as a novel treatment for additional indications including adjustment disorder with anxiety, postpartum anxiety, post-traumatic stress disorder, procedural anxiety, panic and other anxiety disorders. PH94B has been granted Fast Track designation status by the FDA for development for treatment of SAD.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PH10 is a synthetic investigational neurosteroid, which also was developed from proprietary compounds called pherines. Its novel, rapid-onset potential mechanism of action (</w:t>
      </w:r>
      <w:r>
        <w:rPr>
          <w:rFonts w:ascii="Arial" w:cs="Arial" w:eastAsia="Arial" w:hAnsi="Arial"/>
          <w:sz w:val="16"/>
          <w:szCs w:val="16"/>
          <w:i w:val="1"/>
          <w:iCs w:val="1"/>
          <w:color w:val="auto"/>
        </w:rPr>
        <w:t>MOA</w:t>
      </w:r>
      <w:r>
        <w:rPr>
          <w:rFonts w:ascii="Arial" w:cs="Arial" w:eastAsia="Arial" w:hAnsi="Arial"/>
          <w:sz w:val="16"/>
          <w:szCs w:val="16"/>
          <w:color w:val="auto"/>
        </w:rPr>
        <w:t>) is fundamentally differentiated from the MOA of all currently approved treatments for depression disorders. PH10 is administered at microgram-level doses as an odorless nasal spray. PH10 engages and activates chemosensory cells in the nasal passages, connected to neural circuits in the brain that produce antidepressant effects. Specifically, PH10 is designed to engage peripheral chemosensory receptors in the nasal passages that trigger a subset of neurons in the main OB that stimulate neurons in the limbic amygdala. This is turn is believed to increase activity of the limbic-hypothalamic sympathetic nervous system and increase the release of catecholamines. Importantly, unlike all currently approved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and rapid-onset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including both intravenous ketamine and intranasal ketamine (esketamine), we believe PH10 does not require systemic uptake and distribution to produce rapid-onset of antidepressant effects. In all clinical studies to date, PH10 has been well-tolerated and has not caused psychological side effects (such as dissociation and hallucinations) or other safety concerns that may be associated with KBT. Our planned Phase 2B clinical program for PH10 is designed to further demonstrate its potential as a fast-acting stand-alone treatment for MDD. We believe PH10 also has potential to be developed as a novel treatment for several other depression-related disorders.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Abnormal function of the NMDAR (N-methyl-D-aspartate receptor), an ionotropic glutamate receptor in the brain, is associated with numerous CNS disorders. AV-101 is an oral prodrug of 7-chloro-kynurenic acid (7-Cl-KYNA), which is a potent and selective full antagonist of the glycine co-agonist site of the NMDAR that inhibits the function of the NMDAR. However, unlike ketamine and many other NMDAR antagonists, 7-Cl-KYNA is not an ion channel blocker. At doses administered in all studies to date, AV-101 has been observed to be well tolerated and has not exhibited dissociative or hallucinogenic psychological side effects or safety concerns. In light of these observations and findings from preclinical studies, we believe that AV-101, in combination with FDA-approved oral probenecid, has potential to become a new oral treatment alternative for certain CNS indications involving the NMDAR. We are currently preparing to evaluate AV-101 in combination with probenecid in an exploratory Phase 1B drug-drug interaction clinical study. The FDA has granted Fast Track designation for development of AV-101 as a potential adjunctive treatment for MDD and as a non-opioid treatment for neuropathic pain (</w:t>
      </w:r>
      <w:r>
        <w:rPr>
          <w:rFonts w:ascii="Arial" w:cs="Arial" w:eastAsia="Arial" w:hAnsi="Arial"/>
          <w:sz w:val="18"/>
          <w:szCs w:val="18"/>
          <w:i w:val="1"/>
          <w:iCs w:val="1"/>
          <w:color w:val="auto"/>
        </w:rPr>
        <w:t>NP</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ind w:left="20"/>
        <w:spacing w:after="0" w:line="311" w:lineRule="auto"/>
        <w:rPr>
          <w:sz w:val="20"/>
          <w:szCs w:val="20"/>
          <w:color w:val="auto"/>
        </w:rPr>
      </w:pPr>
      <w:r>
        <w:rPr>
          <w:rFonts w:ascii="Arial" w:cs="Arial" w:eastAsia="Arial" w:hAnsi="Arial"/>
          <w:sz w:val="16"/>
          <w:szCs w:val="16"/>
          <w:color w:val="auto"/>
        </w:rPr>
        <w:t xml:space="preserve">As noted above, VistaStem Therapeutics, a California corporation, is our wholly-owned subsidiary. Our Condensed Consolidated Financial Statements in this Report (also referred to herein as the </w:t>
      </w:r>
      <w:r>
        <w:rPr>
          <w:rFonts w:ascii="Arial" w:cs="Arial" w:eastAsia="Arial" w:hAnsi="Arial"/>
          <w:sz w:val="16"/>
          <w:szCs w:val="16"/>
          <w:i w:val="1"/>
          <w:iCs w:val="1"/>
          <w:color w:val="auto"/>
        </w:rPr>
        <w:t>Financial Statements</w:t>
      </w:r>
      <w:r>
        <w:rPr>
          <w:rFonts w:ascii="Arial" w:cs="Arial" w:eastAsia="Arial" w:hAnsi="Arial"/>
          <w:sz w:val="16"/>
          <w:szCs w:val="16"/>
          <w:color w:val="auto"/>
        </w:rPr>
        <w:t>) also include the accounts of VistaStem and VistaStem’s two wholly-owned inactive subsidiaries, Artemis Neuroscience, Inc., a Maryland corporation, and VistaStem Canada, Inc., a corporation organized under the laws of Ontario, Canada.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critical accounting policies and estimates and recent accounting pronouncements are disclosed in our Annual Report on Form 10-K for the fiscal year ended March 31, 2021, as filed with the SEC on June 29, 2021, and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accompanying unaudited Condensed Consolidated Financial Statements included in Part 1, Item 1 of this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left="20"/>
        <w:spacing w:after="0" w:line="284" w:lineRule="auto"/>
        <w:rPr>
          <w:sz w:val="20"/>
          <w:szCs w:val="20"/>
          <w:color w:val="auto"/>
        </w:rPr>
      </w:pPr>
      <w:r>
        <w:rPr>
          <w:rFonts w:ascii="Arial" w:cs="Arial" w:eastAsia="Arial" w:hAnsi="Arial"/>
          <w:sz w:val="16"/>
          <w:szCs w:val="16"/>
          <w:color w:val="auto"/>
        </w:rPr>
        <w:t>We have not yet achieved recurring revenue-generating status from any of our product candidates or technologies in amounts sufficient to sustain our operations and enable our strategic business plans. Since we entered into the AffaMed Agreement with respect to PH94B in June 2020 and the Bayer Agreement with respect to cardiac stem cell technology in December 2016, those agreements have provided initial, non-dilutive cash payments, but no recurring revenues, although we may potentially receive additional cash payments and royalties under such agreements in the future, in the event certain performance-based milestones and commercial sales are achieved. Since acquiring our exclusive worldwide licenses to our intranasal investigational product candidates, PH94B and PH10, in 2018, we have devoted substantial resources to advance initiatives related to research, development, and contract manufacturing of such product candidates, including initiatives related to manufacturing processes, analytical methods and production programs for drug substance and finished drug product, as well as for preclinical and clinical studies focused on potential commercialization of these product candidate for neuropsychiatry indications. For example, with respect to PH94B, during 2021 we initiated our PALISADE Phase 3 Program for the acute treatment of anxiety in adults with SAD, and with respect to PH10, we conducted and are continuing to conduct various preclinical studies and manufacturing activities intended to enable commencement of a Phase 2B clinical study of PH10 as a stand-alone treatment for MDD in 2022. In addition, we have devoted substantial resources to advance initiatives related to research, development and contract manufacturing of our oral prodrug candidate, AV-101, including initiatives related to manufacturing processes, analytical methods and production programs for drug substance and finished drug product, as well as several preclinical studies and clinical studies focused on potential commercialization of AV-101 in several CNS indications. For example, our current focus on AV-101 is in combination with probenecid which may provide the potential for a new oral treatment alternative for certain CNS indications involving the NMDAR. Also, from-time-to-time, although not during the period covered by this Report, we have devoted resources to VistaStem’s stem cell technology research and development, bioassay development and small molecule drug rescue-related initiatives, in addition to creating, protecting and patenting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related to our product candidates and technologies, with the corollary initiatives of recruiting and retaining personnel and raising working capital. At December 31, 2021, we had an accumulated deficit of approximately $250.9 million. Our net loss for the nine months ended December 31, 2021 and 2020 was approximately $31.1 million and $11.7 million, respectively. We expect losses to continue through our fiscal year ending March 31, 2022 (</w:t>
      </w:r>
      <w:r>
        <w:rPr>
          <w:rFonts w:ascii="Arial" w:cs="Arial" w:eastAsia="Arial" w:hAnsi="Arial"/>
          <w:sz w:val="16"/>
          <w:szCs w:val="16"/>
          <w:i w:val="1"/>
          <w:iCs w:val="1"/>
          <w:color w:val="auto"/>
        </w:rPr>
        <w:t>Fiscal 2022</w:t>
      </w:r>
      <w:r>
        <w:rPr>
          <w:rFonts w:ascii="Arial" w:cs="Arial" w:eastAsia="Arial" w:hAnsi="Arial"/>
          <w:sz w:val="16"/>
          <w:szCs w:val="16"/>
          <w:color w:val="auto"/>
        </w:rPr>
        <w:t>) and for the foreseeable future, primarily as we engage in further research, development and commercialization activities related to PH94B, PH10 and AV-101.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Nine Months December 31, 2021</w:t>
      </w:r>
    </w:p>
    <w:p>
      <w:pPr>
        <w:spacing w:after="0" w:line="225" w:lineRule="exact"/>
        <w:rPr>
          <w:sz w:val="20"/>
          <w:szCs w:val="20"/>
          <w:color w:val="auto"/>
        </w:rPr>
      </w:pPr>
    </w:p>
    <w:p>
      <w:pPr>
        <w:jc w:val="both"/>
        <w:ind w:left="20"/>
        <w:spacing w:after="0" w:line="271" w:lineRule="auto"/>
        <w:rPr>
          <w:sz w:val="20"/>
          <w:szCs w:val="20"/>
          <w:color w:val="auto"/>
        </w:rPr>
      </w:pPr>
      <w:r>
        <w:rPr>
          <w:rFonts w:ascii="Arial" w:cs="Arial" w:eastAsia="Arial" w:hAnsi="Arial"/>
          <w:sz w:val="17"/>
          <w:szCs w:val="17"/>
          <w:color w:val="auto"/>
        </w:rPr>
        <w:t xml:space="preserve">In December 2020, we completed a $100 million underwritten public offering (the </w:t>
      </w:r>
      <w:r>
        <w:rPr>
          <w:rFonts w:ascii="Arial" w:cs="Arial" w:eastAsia="Arial" w:hAnsi="Arial"/>
          <w:sz w:val="17"/>
          <w:szCs w:val="17"/>
          <w:i w:val="1"/>
          <w:iCs w:val="1"/>
          <w:color w:val="auto"/>
        </w:rPr>
        <w:t>December 2020 Public Offering</w:t>
      </w:r>
      <w:r>
        <w:rPr>
          <w:rFonts w:ascii="Arial" w:cs="Arial" w:eastAsia="Arial" w:hAnsi="Arial"/>
          <w:sz w:val="17"/>
          <w:szCs w:val="17"/>
          <w:color w:val="auto"/>
        </w:rPr>
        <w:t>) of our securities, from which, after deducting underwriting discounts and commissions and offering expenses payable by us, we received net proceeds of approximately $93.6 million. Combined with financing and development and commercialization partnering transactions completed earlier in our fiscal year ended March 31, 2021 (</w:t>
      </w:r>
      <w:r>
        <w:rPr>
          <w:rFonts w:ascii="Arial" w:cs="Arial" w:eastAsia="Arial" w:hAnsi="Arial"/>
          <w:sz w:val="17"/>
          <w:szCs w:val="17"/>
          <w:i w:val="1"/>
          <w:iCs w:val="1"/>
          <w:color w:val="auto"/>
        </w:rPr>
        <w:t>Fiscal 2021</w:t>
      </w:r>
      <w:r>
        <w:rPr>
          <w:rFonts w:ascii="Arial" w:cs="Arial" w:eastAsia="Arial" w:hAnsi="Arial"/>
          <w:sz w:val="17"/>
          <w:szCs w:val="17"/>
          <w:color w:val="auto"/>
        </w:rPr>
        <w:t>), aggregating an additional approximately $25 million, and warrant exercises and other financing activities through December 31, 2021 in our current fiscal year, aggregating approximately $10.7 million, our financial position has permitted us to advance and accelerate an important stream of potential catalysts across our CNS pipeline, including, among others, our PALISADE Phase 3 Program for PH94B for the acute treatment of anxiety in adults with SAD and, if Phase 3 development is successful, potential submission of a PH94B New Drug Application (</w:t>
      </w:r>
      <w:r>
        <w:rPr>
          <w:rFonts w:ascii="Arial" w:cs="Arial" w:eastAsia="Arial" w:hAnsi="Arial"/>
          <w:sz w:val="17"/>
          <w:szCs w:val="17"/>
          <w:i w:val="1"/>
          <w:iCs w:val="1"/>
          <w:color w:val="auto"/>
        </w:rPr>
        <w:t>NDA</w:t>
      </w:r>
      <w:r>
        <w:rPr>
          <w:rFonts w:ascii="Arial" w:cs="Arial" w:eastAsia="Arial" w:hAnsi="Arial"/>
          <w:sz w:val="17"/>
          <w:szCs w:val="17"/>
          <w:color w:val="auto"/>
        </w:rPr>
        <w:t>) to the U.S. Food and Drug Administration (</w:t>
      </w:r>
      <w:r>
        <w:rPr>
          <w:rFonts w:ascii="Arial" w:cs="Arial" w:eastAsia="Arial" w:hAnsi="Arial"/>
          <w:sz w:val="17"/>
          <w:szCs w:val="17"/>
          <w:i w:val="1"/>
          <w:iCs w:val="1"/>
          <w:color w:val="auto"/>
        </w:rPr>
        <w:t>FDA</w:t>
      </w:r>
      <w:r>
        <w:rPr>
          <w:rFonts w:ascii="Arial" w:cs="Arial" w:eastAsia="Arial" w:hAnsi="Arial"/>
          <w:sz w:val="17"/>
          <w:szCs w:val="17"/>
          <w:color w:val="auto"/>
        </w:rPr>
        <w:t>) and potential U.S. market approval of PH94B for the acute treatment of anxiety in adults with SAD.</w:t>
      </w:r>
    </w:p>
    <w:p>
      <w:pPr>
        <w:spacing w:after="0" w:line="178" w:lineRule="exact"/>
        <w:rPr>
          <w:sz w:val="20"/>
          <w:szCs w:val="20"/>
          <w:color w:val="auto"/>
        </w:rPr>
      </w:pPr>
    </w:p>
    <w:p>
      <w:pPr>
        <w:jc w:val="both"/>
        <w:ind w:left="20"/>
        <w:spacing w:after="0" w:line="286" w:lineRule="auto"/>
        <w:rPr>
          <w:sz w:val="20"/>
          <w:szCs w:val="20"/>
          <w:color w:val="auto"/>
        </w:rPr>
      </w:pPr>
      <w:r>
        <w:rPr>
          <w:rFonts w:ascii="Arial" w:cs="Arial" w:eastAsia="Arial" w:hAnsi="Arial"/>
          <w:sz w:val="16"/>
          <w:szCs w:val="16"/>
          <w:color w:val="auto"/>
        </w:rPr>
        <w:t>From an operational perspective, throughout calendar 2021 and through the date of this Report, we have continued to advance our nonclinical and clinical development, manufacturing, and regulatory activities necessary for (i) Phase 3 clinical development of PH94B as a potential acute treatment of anxiety in adults with SAD, (ii) exploratory Phase 2A clinical development of PH94B in anxiety disorders beyond SAD, (iii) Phase 2B development of PH10 as a potential stand-alone treatment of MDD and (iv) exploratory Phase 1B development of AV-101 in combination with probenecid as a potential treatment for multiple CNS indications. Notably, we initiated our PALISADE Phase 3 Program for PH94B in SAD with the commencement of PALISADE-1 in May 2021 and PALISADE-2 in August 2021. Each is a U.S. multi-center, randomized, double-blind, placebo-controlled Phase 3 clinical trial to evaluate the efficacy, safety and tolerability of PH94B for the acute treatment of anxiety in adults with SAD. Each of the studies is being conducted across various sites in the U.S., with a combined target of approximately 400 randomized subjects. Dr. Michael Liebowitz, a Columbia University psychiatrist, former director and founder of the Anxiety Disorders Clinic at the New York State Psychiatric Institute, director of the Medical Research Network in New York City, and creator of the Liebowitz Social Anxiety Scale (</w:t>
      </w:r>
      <w:r>
        <w:rPr>
          <w:rFonts w:ascii="Arial" w:cs="Arial" w:eastAsia="Arial" w:hAnsi="Arial"/>
          <w:sz w:val="16"/>
          <w:szCs w:val="16"/>
          <w:i w:val="1"/>
          <w:iCs w:val="1"/>
          <w:color w:val="auto"/>
        </w:rPr>
        <w:t>LSAS</w:t>
      </w:r>
      <w:r>
        <w:rPr>
          <w:rFonts w:ascii="Arial" w:cs="Arial" w:eastAsia="Arial" w:hAnsi="Arial"/>
          <w:sz w:val="16"/>
          <w:szCs w:val="16"/>
          <w:color w:val="auto"/>
        </w:rPr>
        <w:t>), is serving as Principal Investigator of both studies. Topline results from PALISADE-1 are anticipated in mid-2022 and those from PALISADE-2 later in 2022. In addition to the initiation of PALISADE-1 and PALISADE-2, during the nine months ended December 31, 2021, we initiated the PALISADE Long-term Safety Study and advanced our planned exploratory Phase 2A clinical program for PH94B with the initiation of our Phase 2A clinical study in adults experiencing AjDA. We are continuing preparations for additional clinical trials of PH94B and PH10 that we plan to commence in calendar 2022. Further, we continue to expand our regulatory and intellectual property foundation to support broad clinical development and, ultimately, commercialization of our CNS product candidates in the U.S. and foreign markets.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advance these initiatives, beginning in the first quarter of calendar 2021 and continuing to the present, we have significantly expanded our employee infrastructure with experienced personnel additions across multiple functional areas, including clinical operations, data management, chemistry, manufacturing and controls (</w:t>
      </w:r>
      <w:r>
        <w:rPr>
          <w:rFonts w:ascii="Arial" w:cs="Arial" w:eastAsia="Arial" w:hAnsi="Arial"/>
          <w:sz w:val="17"/>
          <w:szCs w:val="17"/>
          <w:i w:val="1"/>
          <w:iCs w:val="1"/>
          <w:color w:val="auto"/>
        </w:rPr>
        <w:t>CMC</w:t>
      </w:r>
      <w:r>
        <w:rPr>
          <w:rFonts w:ascii="Arial" w:cs="Arial" w:eastAsia="Arial" w:hAnsi="Arial"/>
          <w:sz w:val="17"/>
          <w:szCs w:val="17"/>
          <w:color w:val="auto"/>
        </w:rPr>
        <w:t>) and quality assurance, biostatistics and clinical analytics, regulatory affairs, medical affairs, translational medicine, commercial operations, contracts and corporate affairs, development operations, and investor and public relations. Between April 2021 and July 2021, we filled vacancies on our Board created, in part, by the departure of two of our long-term Board members, by appointing three new independent members to our Board. We believe these appointments increase our Board’s diversity and expand its expertise in multiple areas, including among others, communications, drug development, regulatory affairs, product commercialization and marketing.</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Throughout Fiscal 2021 and through the date of this Report, strains of SARS-CoV-2, commonly referred to as COVID-19 and multiple variants of the virus, have spread globally and the outbreak has been declared a pandemic by the World Health Organization and a public health emergency in the U.S. by the U.S. Secretary of Health and Human Services. Operations at our headquarters in South San Francisco were significantly curtailed during Fiscal 2021 and throughout the quarter ended September 30, 2021, and, to some extent, periodically thereafter, while state and local restrictions required remote working conditions. Most of our recent employee additions are geographically located away from our headquarters facility in South San Francisco and routinely work remotely. Our employees have worked efficiently and productively while remotely-located and working from home whether as a result of the COVID-19 pandemic or otherwise. From time to time during the COVID-19 pandemic, however, the efficiency and productivity of certain preclinical and clinical development programs and our third-party collaborators, including, among others, contract research and development organizations (</w:t>
      </w:r>
      <w:r>
        <w:rPr>
          <w:rFonts w:ascii="Arial" w:cs="Arial" w:eastAsia="Arial" w:hAnsi="Arial"/>
          <w:sz w:val="17"/>
          <w:szCs w:val="17"/>
          <w:i w:val="1"/>
          <w:iCs w:val="1"/>
          <w:color w:val="auto"/>
        </w:rPr>
        <w:t>CROs</w:t>
      </w:r>
      <w:r>
        <w:rPr>
          <w:rFonts w:ascii="Arial" w:cs="Arial" w:eastAsia="Arial" w:hAnsi="Arial"/>
          <w:sz w:val="17"/>
          <w:szCs w:val="17"/>
          <w:color w:val="auto"/>
        </w:rPr>
        <w:t>), contract manufacturing organizations (</w:t>
      </w:r>
      <w:r>
        <w:rPr>
          <w:rFonts w:ascii="Arial" w:cs="Arial" w:eastAsia="Arial" w:hAnsi="Arial"/>
          <w:sz w:val="17"/>
          <w:szCs w:val="17"/>
          <w:i w:val="1"/>
          <w:iCs w:val="1"/>
          <w:color w:val="auto"/>
        </w:rPr>
        <w:t>CMOs</w:t>
      </w:r>
      <w:r>
        <w:rPr>
          <w:rFonts w:ascii="Arial" w:cs="Arial" w:eastAsia="Arial" w:hAnsi="Arial"/>
          <w:sz w:val="17"/>
          <w:szCs w:val="17"/>
          <w:color w:val="auto"/>
        </w:rPr>
        <w:t>) and other third-party service providers have been, and may be in the future, impacted by prevailing surges in the spread of variants of COVID-19, such as spreads induced by the Delta and Omicron variants during Fiscal 2021 and Fiscal 2022, shelter-in-place orders, social distancing measures, travel bans and restrictions, and certain business and government closures or reductions in service. From time to time since the beginning of the COVID-19 pandemic, we have experienced delays in the delivery of supplies of active pharmaceutical product (</w:t>
      </w:r>
      <w:r>
        <w:rPr>
          <w:rFonts w:ascii="Arial" w:cs="Arial" w:eastAsia="Arial" w:hAnsi="Arial"/>
          <w:sz w:val="17"/>
          <w:szCs w:val="17"/>
          <w:i w:val="1"/>
          <w:iCs w:val="1"/>
          <w:color w:val="auto"/>
        </w:rPr>
        <w:t>API</w:t>
      </w:r>
      <w:r>
        <w:rPr>
          <w:rFonts w:ascii="Arial" w:cs="Arial" w:eastAsia="Arial" w:hAnsi="Arial"/>
          <w:sz w:val="17"/>
          <w:szCs w:val="17"/>
          <w:color w:val="auto"/>
        </w:rPr>
        <w:t>) or other key materials required to continue development of PH94B and PH10, as well as temporary disruptions in the availability of third-party personnel and others involved in the conduct of our preclinical and clinical programs. Future unexpected delays may result in a significant, material delay or disruption to our current clinical development plans, programs, and operations.</w:t>
      </w:r>
    </w:p>
    <w:p>
      <w:pPr>
        <w:spacing w:after="0" w:line="182" w:lineRule="exact"/>
        <w:rPr>
          <w:sz w:val="20"/>
          <w:szCs w:val="20"/>
          <w:color w:val="auto"/>
        </w:rPr>
      </w:pPr>
    </w:p>
    <w:p>
      <w:pPr>
        <w:jc w:val="both"/>
        <w:ind w:left="20"/>
        <w:spacing w:after="0" w:line="255" w:lineRule="auto"/>
        <w:rPr>
          <w:sz w:val="20"/>
          <w:szCs w:val="20"/>
          <w:color w:val="auto"/>
        </w:rPr>
      </w:pPr>
      <w:r>
        <w:rPr>
          <w:rFonts w:ascii="Arial" w:cs="Arial" w:eastAsia="Arial" w:hAnsi="Arial"/>
          <w:sz w:val="17"/>
          <w:szCs w:val="17"/>
          <w:color w:val="auto"/>
        </w:rPr>
        <w:t xml:space="preserve">From a financial perspective, in addition to the December 2020 Public Offering, between December 2020 and December 31, 2021, holders of outstanding warrants to purchase an aggregate of 13,695,093 shares of our common stock exercised such warrants and we received cash proceeds of approximately $11,132,200, including exercises of warrants to purchase 7,298,791 shares for cash proceeds of $6,207,400 during the nine months ended December 31, 2021. Additionally, in May 2021, we entered into an Open Market Sale Agreement </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(the </w:t>
      </w:r>
      <w:r>
        <w:rPr>
          <w:rFonts w:ascii="Arial" w:cs="Arial" w:eastAsia="Arial" w:hAnsi="Arial"/>
          <w:sz w:val="17"/>
          <w:szCs w:val="17"/>
          <w:i w:val="1"/>
          <w:iCs w:val="1"/>
          <w:color w:val="auto"/>
        </w:rPr>
        <w:t>Sales Agreement</w:t>
      </w:r>
      <w:r>
        <w:rPr>
          <w:rFonts w:ascii="Arial" w:cs="Arial" w:eastAsia="Arial" w:hAnsi="Arial"/>
          <w:sz w:val="17"/>
          <w:szCs w:val="17"/>
          <w:color w:val="auto"/>
        </w:rPr>
        <w:t>) with Jefferies LLC as sales agent (</w:t>
      </w:r>
      <w:r>
        <w:rPr>
          <w:rFonts w:ascii="Arial" w:cs="Arial" w:eastAsia="Arial" w:hAnsi="Arial"/>
          <w:sz w:val="17"/>
          <w:szCs w:val="17"/>
          <w:i w:val="1"/>
          <w:iCs w:val="1"/>
          <w:color w:val="auto"/>
        </w:rPr>
        <w:t>Jefferies</w:t>
      </w:r>
      <w:r>
        <w:rPr>
          <w:rFonts w:ascii="Arial" w:cs="Arial" w:eastAsia="Arial" w:hAnsi="Arial"/>
          <w:sz w:val="17"/>
          <w:szCs w:val="17"/>
          <w:color w:val="auto"/>
        </w:rPr>
        <w:t xml:space="preserve">), with respect to an at-the-market offering program (the </w:t>
      </w:r>
      <w:r>
        <w:rPr>
          <w:rFonts w:ascii="Arial" w:cs="Arial" w:eastAsia="Arial" w:hAnsi="Arial"/>
          <w:sz w:val="17"/>
          <w:szCs w:val="17"/>
          <w:i w:val="1"/>
          <w:iCs w:val="1"/>
          <w:color w:val="auto"/>
        </w:rPr>
        <w:t>ATM</w:t>
      </w:r>
      <w:r>
        <w:rPr>
          <w:rFonts w:ascii="Arial" w:cs="Arial" w:eastAsia="Arial" w:hAnsi="Arial"/>
          <w:sz w:val="17"/>
          <w:szCs w:val="17"/>
          <w:color w:val="auto"/>
        </w:rPr>
        <w:t xml:space="preserve">) under which we may, at our option, offer and sell, from time to time, shares of our common stock having an aggregate offering price of up to $75.0 million through Jefferies as our sales agent. In September 2021 and on October 1, 2021, we sold an aggregate of 1,517,798 shares of our common stock and received gross cash proceeds of approximately $4.45 million under the ATM. We have not sold any shares under the ATM from October 2, 2021 through the date of this Report. Subject to certain restrictions, our Registration Statement on Form S-3 (the </w:t>
      </w:r>
      <w:r>
        <w:rPr>
          <w:rFonts w:ascii="Arial" w:cs="Arial" w:eastAsia="Arial" w:hAnsi="Arial"/>
          <w:sz w:val="17"/>
          <w:szCs w:val="17"/>
          <w:i w:val="1"/>
          <w:iCs w:val="1"/>
          <w:color w:val="auto"/>
        </w:rPr>
        <w:t>S-3 Shelf Registration Statement</w:t>
      </w:r>
      <w:r>
        <w:rPr>
          <w:rFonts w:ascii="Arial" w:cs="Arial" w:eastAsia="Arial" w:hAnsi="Arial"/>
          <w:sz w:val="17"/>
          <w:szCs w:val="17"/>
          <w:color w:val="auto"/>
        </w:rPr>
        <w:t>) remains available for future sales of our equity securities in one or more public offerings, including under the ATM with Jefferies, from time to time. Further, we were added to the Russell 2000® Index at the conclusion of the 2021 Russell Indexes annual reconstitution at the end of June 2021. The Russell 2000® Index is one of the most cited performance benchmarks for small-cap companies and is widely used by investment managers and institutional investors as the basis for index funds and as a benchmark for active investment strategies. We believe our inclusion in the Russell 2000® Index has increased and will continue to increase overall awareness and exposure of the Company by introducing us to a wider investor audience.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December 31, 2021 and 2020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results of our operations for the three months ended December 31, 2021 (</w:t>
      </w:r>
      <w:r>
        <w:rPr>
          <w:rFonts w:ascii="Arial" w:cs="Arial" w:eastAsia="Arial" w:hAnsi="Arial"/>
          <w:sz w:val="18"/>
          <w:szCs w:val="18"/>
          <w:i w:val="1"/>
          <w:iCs w:val="1"/>
          <w:color w:val="auto"/>
        </w:rPr>
        <w:t>Q3 FY 2022</w:t>
      </w:r>
      <w:r>
        <w:rPr>
          <w:rFonts w:ascii="Arial" w:cs="Arial" w:eastAsia="Arial" w:hAnsi="Arial"/>
          <w:sz w:val="18"/>
          <w:szCs w:val="18"/>
          <w:color w:val="auto"/>
        </w:rPr>
        <w:t>) and December 31, 2020 (</w:t>
      </w:r>
      <w:r>
        <w:rPr>
          <w:rFonts w:ascii="Arial" w:cs="Arial" w:eastAsia="Arial" w:hAnsi="Arial"/>
          <w:sz w:val="18"/>
          <w:szCs w:val="18"/>
          <w:i w:val="1"/>
          <w:iCs w:val="1"/>
          <w:color w:val="auto"/>
        </w:rPr>
        <w:t>Q3 FY</w:t>
      </w:r>
      <w:r>
        <w:rPr>
          <w:rFonts w:ascii="Arial" w:cs="Arial" w:eastAsia="Arial" w:hAnsi="Arial"/>
          <w:sz w:val="18"/>
          <w:szCs w:val="18"/>
          <w:color w:val="auto"/>
        </w:rPr>
        <w:t xml:space="preserve"> </w:t>
      </w:r>
      <w:r>
        <w:rPr>
          <w:rFonts w:ascii="Arial" w:cs="Arial" w:eastAsia="Arial" w:hAnsi="Arial"/>
          <w:sz w:val="18"/>
          <w:szCs w:val="18"/>
          <w:i w:val="1"/>
          <w:iCs w:val="1"/>
          <w:color w:val="auto"/>
        </w:rPr>
        <w:t>2021</w:t>
      </w:r>
      <w:r>
        <w:rPr>
          <w:rFonts w:ascii="Arial" w:cs="Arial" w:eastAsia="Arial" w:hAnsi="Arial"/>
          <w:sz w:val="18"/>
          <w:szCs w:val="18"/>
          <w:color w:val="auto"/>
        </w:rPr>
        <w:t>) (amounts in thousands).</w:t>
      </w:r>
    </w:p>
    <w:p>
      <w:pPr>
        <w:spacing w:after="0" w:line="166"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33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9"/>
              </w:rPr>
              <w:t>Three Months Ended December 31,</w:t>
            </w:r>
          </w:p>
        </w:tc>
      </w:tr>
      <w:tr>
        <w:trPr>
          <w:trHeight w:val="209"/>
        </w:trPr>
        <w:tc>
          <w:tcPr>
            <w:tcW w:w="6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6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r>
      <w:tr>
        <w:trPr>
          <w:trHeight w:val="209"/>
        </w:trPr>
        <w:tc>
          <w:tcPr>
            <w:tcW w:w="6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7,967</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3,496</w:t>
            </w:r>
          </w:p>
        </w:tc>
      </w:tr>
      <w:tr>
        <w:trPr>
          <w:trHeight w:val="216"/>
        </w:trPr>
        <w:tc>
          <w:tcPr>
            <w:tcW w:w="62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2,117</w:t>
            </w:r>
          </w:p>
        </w:tc>
      </w:tr>
      <w:tr>
        <w:trPr>
          <w:trHeight w:val="20"/>
        </w:trPr>
        <w:tc>
          <w:tcPr>
            <w:tcW w:w="6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10,898</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5,613</w:t>
            </w:r>
          </w:p>
        </w:tc>
      </w:tr>
      <w:tr>
        <w:trPr>
          <w:trHeight w:val="209"/>
        </w:trPr>
        <w:tc>
          <w:tcPr>
            <w:tcW w:w="62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(10,540)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(5,299)</w:t>
            </w:r>
          </w:p>
        </w:tc>
      </w:tr>
      <w:tr>
        <w:trPr>
          <w:trHeight w:val="216"/>
        </w:trPr>
        <w:tc>
          <w:tcPr>
            <w:tcW w:w="6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9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09"/>
        </w:trPr>
        <w:tc>
          <w:tcPr>
            <w:tcW w:w="62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9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(10,535)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(5,298)</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Income taxes</w:t>
            </w: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6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(10,535)</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(5,298)</w:t>
            </w:r>
          </w:p>
        </w:tc>
      </w:tr>
      <w:tr>
        <w:trPr>
          <w:trHeight w:val="216"/>
        </w:trPr>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dividends on Series B Preferred Stock</w:t>
            </w:r>
          </w:p>
        </w:tc>
        <w:tc>
          <w:tcPr>
            <w:tcW w:w="9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w:t>
            </w:r>
          </w:p>
        </w:tc>
      </w:tr>
      <w:tr>
        <w:trPr>
          <w:trHeight w:val="20"/>
        </w:trPr>
        <w:tc>
          <w:tcPr>
            <w:tcW w:w="6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(10,743)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(5,652)</w:t>
            </w:r>
          </w:p>
        </w:tc>
      </w:tr>
      <w:tr>
        <w:trPr>
          <w:trHeight w:val="20"/>
        </w:trPr>
        <w:tc>
          <w:tcPr>
            <w:tcW w:w="6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left="20"/>
        <w:spacing w:after="0" w:line="271" w:lineRule="auto"/>
        <w:rPr>
          <w:sz w:val="20"/>
          <w:szCs w:val="20"/>
          <w:color w:val="auto"/>
        </w:rPr>
      </w:pPr>
      <w:r>
        <w:rPr>
          <w:rFonts w:ascii="Arial" w:cs="Arial" w:eastAsia="Arial" w:hAnsi="Arial"/>
          <w:sz w:val="17"/>
          <w:szCs w:val="17"/>
          <w:color w:val="auto"/>
        </w:rPr>
        <w:t>We recognized approximately $358,000 in sublicense revenue pursuant to the AffaMed Agreement in Q3 FY 2022 compared to approximately $314,000 in Q3 FY 2021. As described more completely in Note 11 to the Financial Statements, on June 24, 2020, we entered into the AffaMed Agreement, pursuant to which we received a non-refundable upfront license fee payment of $5.0 million on August 3, 2020, which payment permitted the commencement of our revenue recognition under the AffaMed Agreement. We expect to continue to recognize revenue pursuant to this license fee payment in future periods during Fiscal 2022 and thereafter, as described in Note 11 to the Financial Statements. While we may potentially receive additional cash payments and royalties in the future under the AffaMed Agreement or the Bayer Agreement in the event certain performance-based milestones and commercial sales are achieved, there can be no assurance that the AffaMed Agreement or the Bayer Agreement will provide any additional revenue beyond that noted or cash payments to us in the near term,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ind w:left="20"/>
        <w:spacing w:after="0" w:line="270" w:lineRule="auto"/>
        <w:rPr>
          <w:sz w:val="20"/>
          <w:szCs w:val="20"/>
          <w:color w:val="auto"/>
        </w:rPr>
      </w:pPr>
      <w:r>
        <w:rPr>
          <w:rFonts w:ascii="Arial" w:cs="Arial" w:eastAsia="Arial" w:hAnsi="Arial"/>
          <w:sz w:val="17"/>
          <w:szCs w:val="17"/>
          <w:color w:val="auto"/>
        </w:rPr>
        <w:t>Research and development (</w:t>
      </w:r>
      <w:r>
        <w:rPr>
          <w:rFonts w:ascii="Arial" w:cs="Arial" w:eastAsia="Arial" w:hAnsi="Arial"/>
          <w:sz w:val="17"/>
          <w:szCs w:val="17"/>
          <w:i w:val="1"/>
          <w:iCs w:val="1"/>
          <w:color w:val="auto"/>
        </w:rPr>
        <w:t>R&amp;D</w:t>
      </w:r>
      <w:r>
        <w:rPr>
          <w:rFonts w:ascii="Arial" w:cs="Arial" w:eastAsia="Arial" w:hAnsi="Arial"/>
          <w:sz w:val="17"/>
          <w:szCs w:val="17"/>
          <w:color w:val="auto"/>
        </w:rPr>
        <w:t>) expense increased by approximately $4.5 million, from $3.5 million to $8.0 million for Q3 FY 2021 and Q3 FY 2022, respectively. Expenses related to preparing for and conducting our PALISADE Phase 3 Program for PH94B, including the continuation of our ongoing PALISADE-1 and PALISADE-2 clinical trials in SAD, as well as the initiation of our ongoing PALISADE Long-term Safety Study and our Phase 2A study of PH94B for treatment of AjDA, and the continuation of nonclinical and preclinical development and outsourced manufacturing activities for both PH94B and PH10, accounted for increased expenses of approximately $3.1 million during Q3 FY 2022 compared to expenses in Q3 FY 2021. Salaries and benefits expense for Q3 FY 2022 increased by approximately $0.8 million versus expense in Q3 FY 2021 primarily due to the hiring of multiple personnel during Fiscal 2022. Noncash research and development expenses, primarily stock-based compensation and depreciation in both periods, accounted for approximately $228,000 and $238,400 for Q3 FY 2022 and Q3 FY 2021, respectively. The following table indicates the primary components of research and development expense for each of the periods (amounts in thousands):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72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December 31,</w:t>
            </w:r>
          </w:p>
        </w:tc>
      </w:tr>
      <w:tr>
        <w:trPr>
          <w:trHeight w:val="209"/>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r>
      <w:tr>
        <w:trPr>
          <w:trHeight w:val="216"/>
        </w:trPr>
        <w:tc>
          <w:tcPr>
            <w:tcW w:w="11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114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11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Technology licenses and royalties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r>
      <w:tr>
        <w:trPr>
          <w:trHeight w:val="216"/>
        </w:trPr>
        <w:tc>
          <w:tcPr>
            <w:tcW w:w="114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and nonclinical studies and development expenses: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40" w:type="dxa"/>
            <w:vAlign w:val="bottom"/>
          </w:tcPr>
          <w:p>
            <w:pPr>
              <w:ind w:left="180"/>
              <w:spacing w:after="0"/>
              <w:rPr>
                <w:sz w:val="20"/>
                <w:szCs w:val="20"/>
                <w:color w:val="auto"/>
              </w:rPr>
            </w:pPr>
            <w:r>
              <w:rPr>
                <w:rFonts w:ascii="Arial" w:cs="Arial" w:eastAsia="Arial" w:hAnsi="Arial"/>
                <w:sz w:val="18"/>
                <w:szCs w:val="18"/>
                <w:color w:val="auto"/>
              </w:rPr>
              <w:t>PH94B and PH10</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5,174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2,074</w:t>
            </w:r>
          </w:p>
        </w:tc>
      </w:tr>
      <w:tr>
        <w:trPr>
          <w:trHeight w:val="216"/>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AV-101</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4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Rent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114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11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7,967</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3,496</w:t>
            </w: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spacing w:after="0" w:line="290" w:lineRule="auto"/>
        <w:rPr>
          <w:sz w:val="20"/>
          <w:szCs w:val="20"/>
          <w:color w:val="auto"/>
        </w:rPr>
      </w:pPr>
      <w:r>
        <w:rPr>
          <w:rFonts w:ascii="Arial" w:cs="Arial" w:eastAsia="Arial" w:hAnsi="Arial"/>
          <w:sz w:val="16"/>
          <w:szCs w:val="16"/>
          <w:color w:val="auto"/>
        </w:rPr>
        <w:t>The increase in salaries and benefits expense for Q3 FY 2022 primarily reflects approximately $913,000 attributable to the addition of senior management across multiple functional areas, including chemistry, manufacturing and controls, clinical operations, clinical research, pharmacovigilance, biostatistics and clinical analytics, development operations, regulatory affairs and translational medicine, as well as other R&amp;D personnel during the period from December 2020 through December 2021. Also contributing to the increase is the impact of salary increases effective beginning in January 2021 granted to our Chief Medical Officer (</w:t>
      </w:r>
      <w:r>
        <w:rPr>
          <w:rFonts w:ascii="Arial" w:cs="Arial" w:eastAsia="Arial" w:hAnsi="Arial"/>
          <w:sz w:val="16"/>
          <w:szCs w:val="16"/>
          <w:i w:val="1"/>
          <w:iCs w:val="1"/>
          <w:color w:val="auto"/>
        </w:rPr>
        <w:t>CMO</w:t>
      </w:r>
      <w:r>
        <w:rPr>
          <w:rFonts w:ascii="Arial" w:cs="Arial" w:eastAsia="Arial" w:hAnsi="Arial"/>
          <w:sz w:val="16"/>
          <w:szCs w:val="16"/>
          <w:color w:val="auto"/>
        </w:rPr>
        <w:t>), Chief Scientific Officer (</w:t>
      </w:r>
      <w:r>
        <w:rPr>
          <w:rFonts w:ascii="Arial" w:cs="Arial" w:eastAsia="Arial" w:hAnsi="Arial"/>
          <w:sz w:val="16"/>
          <w:szCs w:val="16"/>
          <w:i w:val="1"/>
          <w:iCs w:val="1"/>
          <w:color w:val="auto"/>
        </w:rPr>
        <w:t>CSO</w:t>
      </w:r>
      <w:r>
        <w:rPr>
          <w:rFonts w:ascii="Arial" w:cs="Arial" w:eastAsia="Arial" w:hAnsi="Arial"/>
          <w:sz w:val="16"/>
          <w:szCs w:val="16"/>
          <w:color w:val="auto"/>
        </w:rPr>
        <w:t>), and certain members of our scientific staff. Q3 FY2021 expense includes approximately $283,000 attributable to bonus payments made in December 2020 to our CMO, CSO and scientific staff. Q3 FY2022 expense reflects a minor adjustment to accruals made earlier in Fiscal 2022 for estimated additional compensation expense resulting from the achievement of certain core corporate objectives during the 2021 calendar year. Payments to R&amp;D officers and employees for achievement of calendar 2021 objectives was made in February 2022.</w:t>
      </w:r>
    </w:p>
    <w:p>
      <w:pPr>
        <w:spacing w:after="0" w:line="165"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Current year stock-based compensation expense reflects the amortization of option grants made to our CMO, CSO, certain members of our scientific staff and certain clinical and scientific consultants since May 2019, in addition to grants to new senior management and other employees as indicated above. All outstanding options granted to R&amp;D employees and consultants prior to May 2019 are fully vested and amortized at December 31, 2021. Grants awarded after December 31, 2020, including those granted to new employees, account for approximately $171,000 of expense in Q3 FY 2022, offset by the expense reduction compared to Q3 FY 2021 of approximately $44,000 attributable to certain options granted between October 2018 and May 2020 that became fully vested and amortized prior to December 31, 2021 and the expense reduction of approximately $77,000 attributable to options granted on December 30, 2020 as 25% vested at time of grant.</w:t>
      </w:r>
    </w:p>
    <w:p>
      <w:pPr>
        <w:spacing w:after="0" w:line="177" w:lineRule="exact"/>
        <w:rPr>
          <w:sz w:val="20"/>
          <w:szCs w:val="20"/>
          <w:color w:val="auto"/>
        </w:rPr>
      </w:pPr>
    </w:p>
    <w:p>
      <w:pPr>
        <w:jc w:val="both"/>
        <w:ind w:left="20"/>
        <w:spacing w:after="0" w:line="286" w:lineRule="auto"/>
        <w:rPr>
          <w:sz w:val="20"/>
          <w:szCs w:val="20"/>
          <w:color w:val="auto"/>
        </w:rPr>
      </w:pPr>
      <w:r>
        <w:rPr>
          <w:rFonts w:ascii="Arial" w:cs="Arial" w:eastAsia="Arial" w:hAnsi="Arial"/>
          <w:sz w:val="17"/>
          <w:szCs w:val="17"/>
          <w:color w:val="auto"/>
        </w:rPr>
        <w:t>Consulting and other professional services in both periods reflects fees incurred, generally on an as-needed basis, for project-based scientific, nonclinical and clinical development and regulatory advisory and analytical services rendered to us by third parties, primarily in support of our PH94B and PH10 development initiatives. Q3 FY 2022 expense also includes contract recruiting services for certain specialized R&amp;D positions.</w:t>
      </w:r>
    </w:p>
    <w:p>
      <w:pPr>
        <w:spacing w:after="0" w:line="165" w:lineRule="exact"/>
        <w:rPr>
          <w:sz w:val="20"/>
          <w:szCs w:val="20"/>
          <w:color w:val="auto"/>
        </w:rPr>
      </w:pPr>
    </w:p>
    <w:p>
      <w:pPr>
        <w:jc w:val="both"/>
        <w:ind w:left="20"/>
        <w:spacing w:after="0" w:line="275" w:lineRule="auto"/>
        <w:rPr>
          <w:sz w:val="20"/>
          <w:szCs w:val="20"/>
          <w:color w:val="auto"/>
        </w:rPr>
      </w:pPr>
      <w:r>
        <w:rPr>
          <w:rFonts w:ascii="Arial" w:cs="Arial" w:eastAsia="Arial" w:hAnsi="Arial"/>
          <w:sz w:val="17"/>
          <w:szCs w:val="17"/>
          <w:color w:val="auto"/>
        </w:rPr>
        <w:t>Technology license and royalties expense primarily reflects legal counsel and other costs related to patent prosecution and protection pursuant to our stem cell technology license agreements, our AV-101 patents, or patents that we have elected to pursue for commercial purposes, as well as recurring annual license fees. These costs do not necessarily occur ratably throughout the year or between years. In both periods, this expense includes legal counsel and other costs we have incurred to advance various patent applications in the U.S. and numerous foreign countries, primarily with respect to AV-101 and our stem cell technology platform, but also with respect to our PH94B and PH10 intellectual property portfolios.</w:t>
      </w:r>
    </w:p>
    <w:p>
      <w:pPr>
        <w:spacing w:after="0" w:line="176" w:lineRule="exact"/>
        <w:rPr>
          <w:sz w:val="20"/>
          <w:szCs w:val="20"/>
          <w:color w:val="auto"/>
        </w:rPr>
      </w:pPr>
    </w:p>
    <w:p>
      <w:pPr>
        <w:jc w:val="both"/>
        <w:ind w:left="20"/>
        <w:spacing w:after="0" w:line="289" w:lineRule="auto"/>
        <w:rPr>
          <w:sz w:val="20"/>
          <w:szCs w:val="20"/>
          <w:color w:val="auto"/>
        </w:rPr>
      </w:pPr>
      <w:r>
        <w:rPr>
          <w:rFonts w:ascii="Arial" w:cs="Arial" w:eastAsia="Arial" w:hAnsi="Arial"/>
          <w:sz w:val="16"/>
          <w:szCs w:val="16"/>
          <w:color w:val="auto"/>
        </w:rPr>
        <w:t>The significant increase in PH94B and PH10 project expenses for Q3 FY 2022 compared to Q3 FY 2021 results primarily from the initiation and advancement of our ongoing PALISADE Phase 3 Program, specifically, our ongoing PALISADE-1 and PALISADE-2 clinical trials, and our PALISADE Long-term Safety Study, as well as the initiation of our exploratory ongoing Phase 2A clinical trial of PH94B in AjDA and preclinical development activities for PH94B and PH10. In both periods, manufacturing, formulation, validation and analysis of sufficient quantities of drug substance and drug product for both clinical trials and other developmental requirements continue to be significant initiatives for advancing both PH94B and PH10. Due to its later stage of development, costs for PH94B initiatives have significantly exceeded those for PH10 in the each of the periods presented. In both periods, AV-101 project expense includes costs for certain preclinical studies related to the use of AV-101 with adjunctive probenecid and certain AV-101 manufacturing stability studies. Q3 FY 2022 expense also includes the impact of initiating our exploratory Phase 1B AV-101 and probenecid clinical trial. We are actively preparing for and advancing other clinical and nonclinical studies involving PH94B, PH10 and AV-101 in combination with probenecid.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Financial Statements,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w:t>
      </w:r>
      <w:r>
        <w:rPr>
          <w:rFonts w:ascii="Arial" w:cs="Arial" w:eastAsia="Arial" w:hAnsi="Arial"/>
          <w:sz w:val="18"/>
          <w:szCs w:val="18"/>
          <w:i w:val="1"/>
          <w:iCs w:val="1"/>
          <w:color w:val="auto"/>
        </w:rPr>
        <w:t>G&amp;A</w:t>
      </w:r>
      <w:r>
        <w:rPr>
          <w:rFonts w:ascii="Arial" w:cs="Arial" w:eastAsia="Arial" w:hAnsi="Arial"/>
          <w:sz w:val="18"/>
          <w:szCs w:val="18"/>
          <w:color w:val="auto"/>
        </w:rPr>
        <w:t>) expense increased by approximately $0.8 million to approximately $2.9 million for Q3 FY 2022, compared to approximately $2.1 million for Q3 FY 2021 primarily due to continued initiatives related to customary pre-commercialization market research studies and analyses for PH94B. Noncash general and administrative expense, approximately $445,000 in Q3 FY 2022, decreased from approximately $557,000 in Q3 FY 2021, primarily due to a decrease in current year stock-based compensation for the quarter. The following table indicates the primary components of general and administrative expense for each of the periods (amounts in thousands):</w:t>
      </w:r>
    </w:p>
    <w:p>
      <w:pPr>
        <w:spacing w:after="0" w:line="184"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32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 December 31,</w:t>
            </w:r>
          </w:p>
        </w:tc>
      </w:tr>
      <w:tr>
        <w:trPr>
          <w:trHeight w:val="209"/>
        </w:trPr>
        <w:tc>
          <w:tcPr>
            <w:tcW w:w="6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20" w:type="dxa"/>
            <w:vAlign w:val="bottom"/>
            <w:shd w:val="clear" w:color="auto" w:fill="CCEEFF"/>
          </w:tcPr>
          <w:p>
            <w:pPr>
              <w:jc w:val="right"/>
              <w:ind w:right="858"/>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511</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Board fees and other consulting services</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Pre-launch marketing studies and analyses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Travel expenses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Sublicense contract amortized acquisition expense</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Rent and utilities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r>
      <w:tr>
        <w:trPr>
          <w:trHeight w:val="216"/>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 expenses</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6220" w:type="dxa"/>
            <w:vAlign w:val="bottom"/>
          </w:tcPr>
          <w:p>
            <w:pPr>
              <w:spacing w:after="0"/>
              <w:rPr>
                <w:sz w:val="18"/>
                <w:szCs w:val="18"/>
                <w:color w:val="auto"/>
              </w:rPr>
            </w:pPr>
          </w:p>
        </w:tc>
        <w:tc>
          <w:tcPr>
            <w:tcW w:w="1020" w:type="dxa"/>
            <w:vAlign w:val="bottom"/>
          </w:tcPr>
          <w:p>
            <w:pPr>
              <w:jc w:val="right"/>
              <w:ind w:right="858"/>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2,931</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2,117</w:t>
            </w:r>
          </w:p>
        </w:tc>
      </w:tr>
      <w:tr>
        <w:trPr>
          <w:trHeight w:val="20"/>
        </w:trPr>
        <w:tc>
          <w:tcPr>
            <w:tcW w:w="6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decrease in salaries and benefits expense for Q3 FY 2022 primarily reflects (i) the addition of our Chief Commercial Officer in May 2021, our Vice President, Strategic Insights and Analytics in November 2021 and our Vice President, Investor Relations and two other senior administrative employees during Fiscal 2022, for an aggregate impact of approximately $294,000; (ii) salary increases effective beginning in January 2021 granted to our Chief Executive Officer (</w:t>
      </w:r>
      <w:r>
        <w:rPr>
          <w:rFonts w:ascii="Arial" w:cs="Arial" w:eastAsia="Arial" w:hAnsi="Arial"/>
          <w:sz w:val="17"/>
          <w:szCs w:val="17"/>
          <w:i w:val="1"/>
          <w:iCs w:val="1"/>
          <w:color w:val="auto"/>
        </w:rPr>
        <w:t>CEO</w:t>
      </w:r>
      <w:r>
        <w:rPr>
          <w:rFonts w:ascii="Arial" w:cs="Arial" w:eastAsia="Arial" w:hAnsi="Arial"/>
          <w:sz w:val="17"/>
          <w:szCs w:val="17"/>
          <w:color w:val="auto"/>
        </w:rPr>
        <w:t>), Chief Financial Officer (</w:t>
      </w:r>
      <w:r>
        <w:rPr>
          <w:rFonts w:ascii="Arial" w:cs="Arial" w:eastAsia="Arial" w:hAnsi="Arial"/>
          <w:sz w:val="17"/>
          <w:szCs w:val="17"/>
          <w:i w:val="1"/>
          <w:iCs w:val="1"/>
          <w:color w:val="auto"/>
        </w:rPr>
        <w:t>CFO</w:t>
      </w:r>
      <w:r>
        <w:rPr>
          <w:rFonts w:ascii="Arial" w:cs="Arial" w:eastAsia="Arial" w:hAnsi="Arial"/>
          <w:sz w:val="17"/>
          <w:szCs w:val="17"/>
          <w:color w:val="auto"/>
        </w:rPr>
        <w:t>), Vice President-Corporate Development (</w:t>
      </w:r>
      <w:r>
        <w:rPr>
          <w:rFonts w:ascii="Arial" w:cs="Arial" w:eastAsia="Arial" w:hAnsi="Arial"/>
          <w:sz w:val="17"/>
          <w:szCs w:val="17"/>
          <w:i w:val="1"/>
          <w:iCs w:val="1"/>
          <w:color w:val="auto"/>
        </w:rPr>
        <w:t>VP Corporate Development</w:t>
      </w:r>
      <w:r>
        <w:rPr>
          <w:rFonts w:ascii="Arial" w:cs="Arial" w:eastAsia="Arial" w:hAnsi="Arial"/>
          <w:sz w:val="17"/>
          <w:szCs w:val="17"/>
          <w:color w:val="auto"/>
        </w:rPr>
        <w:t>) and a non-officer member of our administrative staff aggregating approximately $121,000; and (iii) an increase of approximately $143,000 to accruals made earlier in Fiscal 2022 for estimated additional compensation expense resulting from the achievement of certain core corporate objectives during the 2021 calendar year, offset by December 2020 (Q3 FY 2020) bonus payments to legacy employees aggregating approximately $574,000. Payments to G&amp;A officers and employees for achievement of calendar 2021 objectives was made in February 2022.</w:t>
      </w:r>
    </w:p>
    <w:p>
      <w:pPr>
        <w:spacing w:after="0" w:line="178"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Current year stock-based compensation expense reflects the amortization of option grants made to our CEO, CFO, VP Corporate Development, administrative staff, independent members of our Board and certain consultants since May 2019, in addition to grants to new officers and employees as indicated above. All outstanding options granted to G&amp;A employees, Board members and consultants prior to May 2019 are fully vested and amortized at December 31, 2021. Grants awarded after December 31, 2020, including those granted to new employees, account for approximately $250,000 of expense in Q3 FY 2022, offset by the expense reduction compared to Q3 FY 2021 of approximately $144,000 attributable to certain options granted between June 2016 and October 2020 that became fully vested and amortized prior to December 31, 2021 and the expense reduction of approximately $174,000 attributable to options granted on December 30, 2020 as 25% vested at time of grant.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Board fees and other consulting services represents, in both periods, fees paid as consideration for Board and Board Committee services to the independent members of our Board of Directors. We modified our cash compensation policy for our independent Board members at the beginning of the current fiscal year, increasing payments to reflect current market conditions, and, as noted previously, added three new independent Board members during the current fiscal year. Q3 FY 2021 expense also includes consulting fees for early-stage commercial market analyses of both PH94B and PH10.</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Legal, accounting and other professional fees for both periods include expenses related to routine legal advisory services as well as accounting services related to the quarterly review of our current year financial statements. Expense for Q3 FY 2022 also includes the cost of certain outsourced financial and accounting services as well as for an expanded service level from our information technology service provider, both of which commenced in Q1 FY 2022.</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Investor and public relations expense in both periods include the fees of our various external service providers for a broad spectrum of investor relations, public relations and social media services, and well as market awareness and strategic advisory and support functions and initiatives. In both periods, we conducted numerous virtual meetings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Q3 FY 2022, we incurred expenses for a number of customary pre-commercialization studies, analyses, projections, strategic modeling and awareness services, primarily attributable to PH94B as a potential acute treatment of anxiety in adults with SAD. We plan to continue such studies and initiatives in parallel with our clinical and regulatory initiatives.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insurance expense is primarily attributable to the market-rate increase in the premium for our directors’ and officers’ liability insurance upon renewal of our policy in May 2021.</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periodic shelter-in-place restrictions and travel and workplace precautions and restrictions associated with the ongoing COVID-19 pandemic, during both periods presented, management presentations and historically in-person meetings held in multiple U.S. markets and certain international markets with existing and potential individual and institutional investors, investment professionals and advisors, media, and securities analysts, as well as various investor relations, market awareness and corporate development and partnering initiatives, have generally occurred remotely without requiring in-person business travel by our executives. We have incurred nominal travel expenses in the current fiscal year for attendance at seminars, and for vendor audits and clinical trial site visits as conditions have permitted.</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Beginning in Q2 FY 2021, in connection with our recognition of revenue under the AffaMed Agreement, we also began to amortize the deferred contract acquisition costs related to our acquisition of that agreement. Such costs were composed of the cash payment of $220,000 for sublicense fees which we were obligated to make pursuant to our PH94B license from Pherin Pharmaceuticals, Inc. (</w:t>
      </w:r>
      <w:r>
        <w:rPr>
          <w:rFonts w:ascii="Arial" w:cs="Arial" w:eastAsia="Arial" w:hAnsi="Arial"/>
          <w:sz w:val="17"/>
          <w:szCs w:val="17"/>
          <w:i w:val="1"/>
          <w:iCs w:val="1"/>
          <w:color w:val="auto"/>
        </w:rPr>
        <w:t>Pherin</w:t>
      </w:r>
      <w:r>
        <w:rPr>
          <w:rFonts w:ascii="Arial" w:cs="Arial" w:eastAsia="Arial" w:hAnsi="Arial"/>
          <w:sz w:val="17"/>
          <w:szCs w:val="17"/>
          <w:color w:val="auto"/>
        </w:rPr>
        <w:t>), and the $125,000 cash payment and $125,000 fair value of common stock issued for consulting services, in each case exclusively related to our acquisition of the AffaMed Agreement. The contract acquisition costs are amortized over the expected term of the services to be provided under the AffaMed Agreement. We amortized approximately $34,000 and $29,000 of contract acquisition costs in Q3 FY 2022 and Q3 FY2021, respectively.</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Financial Statements,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Interest income, net totaled approximately $5,000 for Q3 FY 2022, compared to approximately $1,000 for Q3 FY 2021. The following table indicates the primary components of interest income and expense for each of the periods (amounts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30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8"/>
              </w:rPr>
              <w:t>Three Months Ended December 31,</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6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7360" w:type="dxa"/>
            <w:vAlign w:val="bottom"/>
          </w:tcPr>
          <w:p>
            <w:pPr>
              <w:spacing w:after="0" w:line="201" w:lineRule="exact"/>
              <w:rPr>
                <w:sz w:val="20"/>
                <w:szCs w:val="20"/>
                <w:color w:val="auto"/>
              </w:rPr>
            </w:pPr>
            <w:r>
              <w:rPr>
                <w:rFonts w:ascii="Arial" w:cs="Arial" w:eastAsia="Arial" w:hAnsi="Arial"/>
                <w:sz w:val="18"/>
                <w:szCs w:val="18"/>
                <w:color w:val="auto"/>
                <w:w w:val="97"/>
              </w:rPr>
              <w:t>Interest expense on financing lease, insurance premium financing notes and Payroll Protection</w:t>
            </w:r>
          </w:p>
        </w:tc>
        <w:tc>
          <w:tcPr>
            <w:tcW w:w="1180" w:type="dxa"/>
            <w:vAlign w:val="bottom"/>
          </w:tcPr>
          <w:p>
            <w:pPr>
              <w:spacing w:after="0"/>
              <w:rPr>
                <w:sz w:val="17"/>
                <w:szCs w:val="17"/>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7"/>
        </w:trPr>
        <w:tc>
          <w:tcPr>
            <w:tcW w:w="7360" w:type="dxa"/>
            <w:vAlign w:val="bottom"/>
          </w:tcPr>
          <w:p>
            <w:pPr>
              <w:ind w:left="160"/>
              <w:spacing w:after="0"/>
              <w:rPr>
                <w:sz w:val="20"/>
                <w:szCs w:val="20"/>
                <w:color w:val="auto"/>
              </w:rPr>
            </w:pPr>
            <w:r>
              <w:rPr>
                <w:rFonts w:ascii="Arial" w:cs="Arial" w:eastAsia="Arial" w:hAnsi="Arial"/>
                <w:sz w:val="18"/>
                <w:szCs w:val="18"/>
                <w:color w:val="auto"/>
              </w:rPr>
              <w:t>Program loan (2020)</w:t>
            </w:r>
          </w:p>
        </w:tc>
        <w:tc>
          <w:tcPr>
            <w:tcW w:w="11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Interest income, net</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52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For both periods reported, interest income relates to cash deposits in interest-bearing cash equivalent accounts. Interest expense for Q3 FY 2021 relates to interest paid on insurance premium financing notes and on our financing lease of office equipment subject to ASC 842, and to interest accrued on the Payroll Protection Program loan we received in April 2020. Following the closing of the December 2020 Public Offering, in December 2020, we voluntarily repaid in full the principal and accrued interest on the Payroll Protection Program loan. Further, we did not finance insurance premiums for policies that renewed in February 2021 or May 2021 as we had in prior years.</w:t>
      </w:r>
    </w:p>
    <w:p>
      <w:pPr>
        <w:spacing w:after="0" w:line="188" w:lineRule="exact"/>
        <w:rPr>
          <w:sz w:val="20"/>
          <w:szCs w:val="20"/>
          <w:color w:val="auto"/>
        </w:rPr>
      </w:pPr>
    </w:p>
    <w:p>
      <w:pPr>
        <w:jc w:val="both"/>
        <w:ind w:left="20" w:right="80"/>
        <w:spacing w:after="0" w:line="288" w:lineRule="auto"/>
        <w:rPr>
          <w:sz w:val="20"/>
          <w:szCs w:val="20"/>
          <w:color w:val="auto"/>
        </w:rPr>
      </w:pPr>
      <w:r>
        <w:rPr>
          <w:rFonts w:ascii="Arial" w:cs="Arial" w:eastAsia="Arial" w:hAnsi="Arial"/>
          <w:sz w:val="16"/>
          <w:szCs w:val="16"/>
          <w:color w:val="auto"/>
        </w:rPr>
        <w:t>We recognized approximately $208,000 and $354,000 for Q3 FY 2022 and Q3 FY 2021, respectively, attributable to the 10% cumulative dividend accrued on outstanding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xml:space="preserve">) as an additional deduction in arriving at net loss attributable to common stockholders in the Financial Statements. In November 2021, the custodial holder of 1,131,669 outstanding shares of our Series B Preferred exercised its rights for conversion into common stock under the terms of the Certificate of Designation of the Relative Rights and Preferences of the Series B 10% Convertible Preferred Stock </w:t>
      </w:r>
      <w:r>
        <w:rPr>
          <w:rFonts w:ascii="Arial" w:cs="Arial" w:eastAsia="Arial" w:hAnsi="Arial"/>
          <w:sz w:val="16"/>
          <w:szCs w:val="16"/>
          <w:i w:val="1"/>
          <w:iCs w:val="1"/>
          <w:color w:val="auto"/>
        </w:rPr>
        <w:t>(Series B Certificate of Designation)</w:t>
      </w:r>
      <w:r>
        <w:rPr>
          <w:rFonts w:ascii="Arial" w:cs="Arial" w:eastAsia="Arial" w:hAnsi="Arial"/>
          <w:sz w:val="16"/>
          <w:szCs w:val="16"/>
          <w:color w:val="auto"/>
        </w:rPr>
        <w:t xml:space="preserve"> and we issued 1,131,669 shares of our common stock upon conversion. From initial issuance in May 2015 through the time of conversion in November 2021, the Series B Preferred accrued 10% dividends aggregating $7,217,800 and, in accordance with the terms of the Series B Certificate of Designation, we issued 3,295,778 shares of our unregistered common stock in payment of the accrued dividends. Following this conversion there were no additional shares of Series B Preferred outstanding and no further accrual of dividends on the Series B Preferred. In December 2020, one holder of Series B Preferred converted 28,571 shares of Series B Preferred into an equal number of unregistered shares of our common stock and we issued an additional 160,062 unregistered shares of our common stock in payment of $124,600 of accrued dividends.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December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our operations for the nine months ended December 31, 2021 and 2020 (amounts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3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9"/>
              </w:rPr>
              <w:t>Nine Months Ended December 31,</w:t>
            </w:r>
          </w:p>
        </w:tc>
        <w:tc>
          <w:tcPr>
            <w:tcW w:w="320" w:type="dxa"/>
            <w:vAlign w:val="bottom"/>
          </w:tcPr>
          <w:p>
            <w:pPr>
              <w:spacing w:after="0"/>
              <w:rPr>
                <w:sz w:val="20"/>
                <w:szCs w:val="20"/>
                <w:color w:val="auto"/>
              </w:rPr>
            </w:pPr>
          </w:p>
        </w:tc>
      </w:tr>
      <w:tr>
        <w:trPr>
          <w:trHeight w:val="210"/>
        </w:trPr>
        <w:tc>
          <w:tcPr>
            <w:tcW w:w="8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09"/>
        </w:trPr>
        <w:tc>
          <w:tcPr>
            <w:tcW w:w="8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36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32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4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23,637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7,586</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8,519</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4,777</w:t>
            </w:r>
          </w:p>
        </w:tc>
        <w:tc>
          <w:tcPr>
            <w:tcW w:w="32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32,156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12,363</w:t>
            </w:r>
          </w:p>
        </w:tc>
        <w:tc>
          <w:tcPr>
            <w:tcW w:w="32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(31,086)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(11,715)</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income</w:t>
            </w: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(31,071)</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(11,720)</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(31,074)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(11,723)</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Accrued dividend on Series B Preferred Stock</w:t>
            </w: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(1,037)</w:t>
            </w:r>
          </w:p>
        </w:tc>
        <w:tc>
          <w:tcPr>
            <w:tcW w:w="32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6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(32,019)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(12,760)</w:t>
            </w:r>
          </w:p>
        </w:tc>
        <w:tc>
          <w:tcPr>
            <w:tcW w:w="320" w:type="dxa"/>
            <w:vAlign w:val="bottom"/>
          </w:tcPr>
          <w:p>
            <w:pPr>
              <w:spacing w:after="0"/>
              <w:rPr>
                <w:sz w:val="21"/>
                <w:szCs w:val="21"/>
                <w:color w:val="auto"/>
              </w:rPr>
            </w:pPr>
          </w:p>
        </w:tc>
      </w:tr>
      <w:tr>
        <w:trPr>
          <w:trHeight w:val="413"/>
        </w:trPr>
        <w:tc>
          <w:tcPr>
            <w:tcW w:w="820" w:type="dxa"/>
            <w:vAlign w:val="bottom"/>
          </w:tcPr>
          <w:p>
            <w:pPr>
              <w:spacing w:after="0"/>
              <w:rPr>
                <w:sz w:val="24"/>
                <w:szCs w:val="24"/>
                <w:color w:val="auto"/>
              </w:rPr>
            </w:pPr>
          </w:p>
        </w:tc>
        <w:tc>
          <w:tcPr>
            <w:tcW w:w="4100" w:type="dxa"/>
            <w:vAlign w:val="bottom"/>
            <w:tcBorders>
              <w:top w:val="single" w:sz="8" w:color="CCEEFF"/>
            </w:tcBorders>
          </w:tcPr>
          <w:p>
            <w:pPr>
              <w:spacing w:after="0"/>
              <w:rPr>
                <w:sz w:val="24"/>
                <w:szCs w:val="24"/>
                <w:color w:val="auto"/>
              </w:rPr>
            </w:pPr>
          </w:p>
        </w:tc>
        <w:tc>
          <w:tcPr>
            <w:tcW w:w="2680" w:type="dxa"/>
            <w:vAlign w:val="bottom"/>
            <w:tcBorders>
              <w:top w:val="single" w:sz="8" w:color="CCEEFF"/>
            </w:tcBorders>
          </w:tcPr>
          <w:p>
            <w:pPr>
              <w:jc w:val="right"/>
              <w:ind w:right="1790"/>
              <w:spacing w:after="0"/>
              <w:rPr>
                <w:sz w:val="20"/>
                <w:szCs w:val="20"/>
                <w:color w:val="auto"/>
              </w:rPr>
            </w:pPr>
            <w:r>
              <w:rPr>
                <w:rFonts w:ascii="Arial" w:cs="Arial" w:eastAsia="Arial" w:hAnsi="Arial"/>
                <w:sz w:val="18"/>
                <w:szCs w:val="18"/>
                <w:color w:val="auto"/>
              </w:rPr>
              <w:t>30</w:t>
            </w:r>
          </w:p>
        </w:tc>
        <w:tc>
          <w:tcPr>
            <w:tcW w:w="9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r>
    </w:tbl>
    <w:p>
      <w:pPr>
        <w:sectPr>
          <w:pgSz w:w="11900" w:h="16838" w:orient="portrait"/>
          <w:cols w:equalWidth="0" w:num="1">
            <w:col w:w="11320"/>
          </w:cols>
          <w:pgMar w:left="32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recognized approximately $1,070,000 and $649,000 in sublicense revenue pursuant to the AffaMed Agreement in the nine months ended December 31, 2021 and 2020, respectively. As described more completely in Note 11 to the Financial Statements, on June 24, 2020, we entered into the AffaMed Agreement, pursuant to which we received a non-refundable upfront license fee payment of $5.0 million on August 3, 2020, which payment permitted the commencement of our revenue recognition under the AffaMed Agreement. We expect to continue to recognize revenue pursuant to this license fee payment in future periods during Fiscal 2022 and thereafter, as described in Note 11 to the financial statements. While we may potentially receive additional cash payments and royalties in the future under the AffaMed Agreement or the Bayer Agreement in the event certain performance-based milestones and commercial sales are achieved, there can be no assurance that the AffaMed Agreement or the Bayer Agreement will provide any additional revenue beyond that noted or cash payments to us in the near term,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ind w:left="20"/>
        <w:spacing w:after="0" w:line="287" w:lineRule="auto"/>
        <w:rPr>
          <w:sz w:val="20"/>
          <w:szCs w:val="20"/>
          <w:color w:val="auto"/>
        </w:rPr>
      </w:pPr>
      <w:r>
        <w:rPr>
          <w:rFonts w:ascii="Arial" w:cs="Arial" w:eastAsia="Arial" w:hAnsi="Arial"/>
          <w:sz w:val="16"/>
          <w:szCs w:val="16"/>
          <w:color w:val="auto"/>
        </w:rPr>
        <w:t>Research and development (</w:t>
      </w:r>
      <w:r>
        <w:rPr>
          <w:rFonts w:ascii="Arial" w:cs="Arial" w:eastAsia="Arial" w:hAnsi="Arial"/>
          <w:sz w:val="16"/>
          <w:szCs w:val="16"/>
          <w:i w:val="1"/>
          <w:iCs w:val="1"/>
          <w:color w:val="auto"/>
        </w:rPr>
        <w:t>R&amp;D</w:t>
      </w:r>
      <w:r>
        <w:rPr>
          <w:rFonts w:ascii="Arial" w:cs="Arial" w:eastAsia="Arial" w:hAnsi="Arial"/>
          <w:sz w:val="16"/>
          <w:szCs w:val="16"/>
          <w:color w:val="auto"/>
        </w:rPr>
        <w:t>) expense increased by approximately $16.0 million, from $7.6 million to $23.6 million for the nine months ended December 31, 2020 and 2021, respectively. Expenses related to preparing for, initiating and conducting our ongoing PALISADE Phase 3 Program for PH94B in SAD, including the preparation for and initiation and advancement of PALISADE-1, PALISADE-2 and the PALISADE Long-term Safety Study, the preparation for and initiatiation and advancement of our exploratory Phase 2A study of PH94B for treatment of AjDA, and continuation of both nonclinical and preclinical development and outsourced manufacturing activities for both PH94B and PH10, accounted for an increase of approximately $11.8 million in expenses in the nine months ended December 31, 2021 compared to the comparable prior year period. Salaries and benefits expense for the nine months ended December 31, 2021 increased by approximately $3.3 million versus the comparable prior-year period primarily due to the hiring of multiple senior personnel and accruals for additional compensation expense resulting from the achievement of certain corporate objectives during the 2021 calendar year. Noncash research and development expenses, primarily stock-based compensation and depreciation in both periods, accounted for approximately $836,000 and $629,000 for the nine months ended December 31, 2021 and 2020, respectively. The following table indicates the primary components of research and development expense for each of the periods (amounts in thousands):</w:t>
      </w:r>
    </w:p>
    <w:p>
      <w:pPr>
        <w:spacing w:after="0" w:line="168"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5"/>
              </w:rPr>
              <w:t>Nine Months Ended December 31,</w:t>
            </w:r>
          </w:p>
        </w:tc>
      </w:tr>
      <w:tr>
        <w:trPr>
          <w:trHeight w:val="210"/>
        </w:trPr>
        <w:tc>
          <w:tcPr>
            <w:tcW w:w="60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1,346</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568</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452</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Clinical and nonclinical studies and development expenses: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ind w:left="320"/>
              <w:spacing w:after="0"/>
              <w:rPr>
                <w:sz w:val="20"/>
                <w:szCs w:val="20"/>
                <w:color w:val="auto"/>
              </w:rPr>
            </w:pPr>
            <w:r>
              <w:rPr>
                <w:rFonts w:ascii="Arial" w:cs="Arial" w:eastAsia="Arial" w:hAnsi="Arial"/>
                <w:sz w:val="18"/>
                <w:szCs w:val="18"/>
                <w:color w:val="auto"/>
              </w:rPr>
              <w:t>PH94B and PH10</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15,804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3,993</w:t>
            </w:r>
          </w:p>
        </w:tc>
      </w:tr>
      <w:tr>
        <w:trPr>
          <w:trHeight w:val="216"/>
        </w:trPr>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AV-101</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w:t>
            </w:r>
          </w:p>
        </w:tc>
      </w:tr>
      <w:tr>
        <w:trPr>
          <w:trHeight w:val="216"/>
        </w:trPr>
        <w:tc>
          <w:tcPr>
            <w:tcW w:w="6020" w:type="dxa"/>
            <w:vAlign w:val="bottom"/>
          </w:tcPr>
          <w:p>
            <w:pPr>
              <w:ind w:left="320"/>
              <w:spacing w:after="0"/>
              <w:rPr>
                <w:sz w:val="20"/>
                <w:szCs w:val="20"/>
                <w:color w:val="auto"/>
              </w:rPr>
            </w:pPr>
            <w:r>
              <w:rPr>
                <w:rFonts w:ascii="Arial" w:cs="Arial" w:eastAsia="Arial" w:hAnsi="Arial"/>
                <w:sz w:val="18"/>
                <w:szCs w:val="18"/>
                <w:color w:val="auto"/>
              </w:rPr>
              <w:t>All other</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r>
      <w:tr>
        <w:trPr>
          <w:trHeight w:val="20"/>
        </w:trPr>
        <w:tc>
          <w:tcPr>
            <w:tcW w:w="6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4,493</w:t>
            </w:r>
          </w:p>
        </w:tc>
      </w:tr>
      <w:tr>
        <w:trPr>
          <w:trHeight w:val="20"/>
        </w:trPr>
        <w:tc>
          <w:tcPr>
            <w:tcW w:w="60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20" w:type="dxa"/>
            <w:vAlign w:val="bottom"/>
          </w:tcPr>
          <w:p>
            <w:pPr>
              <w:spacing w:after="0"/>
              <w:rPr>
                <w:sz w:val="20"/>
                <w:szCs w:val="20"/>
                <w:color w:val="auto"/>
              </w:rPr>
            </w:pPr>
            <w:r>
              <w:rPr>
                <w:rFonts w:ascii="Arial" w:cs="Arial" w:eastAsia="Arial" w:hAnsi="Arial"/>
                <w:sz w:val="18"/>
                <w:szCs w:val="18"/>
                <w:color w:val="auto"/>
              </w:rPr>
              <w:t>Rent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408</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All other</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60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23,637</w:t>
            </w:r>
          </w:p>
        </w:tc>
        <w:tc>
          <w:tcPr>
            <w:tcW w:w="1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7,586</w:t>
            </w:r>
          </w:p>
        </w:tc>
      </w:tr>
      <w:tr>
        <w:trPr>
          <w:trHeight w:val="20"/>
        </w:trPr>
        <w:tc>
          <w:tcPr>
            <w:tcW w:w="6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spacing w:after="0" w:line="254" w:lineRule="auto"/>
        <w:rPr>
          <w:sz w:val="20"/>
          <w:szCs w:val="20"/>
          <w:color w:val="auto"/>
        </w:rPr>
      </w:pPr>
      <w:r>
        <w:rPr>
          <w:rFonts w:ascii="Arial" w:cs="Arial" w:eastAsia="Arial" w:hAnsi="Arial"/>
          <w:sz w:val="18"/>
          <w:szCs w:val="18"/>
          <w:color w:val="auto"/>
        </w:rPr>
        <w:t>The increase in salaries and benefits expense for the nine months ended December 31, 2021 primarily reflects the addition of senior management across multiple functional areas, including chemistry, manufacturing and controls, clinical operations, clinical research, pharmacovigilance, biostatistics and clinical analytics, development operations, regulatory affairs and translational medicine, as well as other R&amp;D personnel during the period from December 2020 through December 2021. Also contributing to the increase are the impacts of salary increases effective beginning in January 2021 granted to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and certain members of our scientific staff, as well as the accrual of approximately $1.15 million for additional compensation expense for R&amp;D officers and employees pursuant to achievement of calendar year 2021 corporate objectives which was paid in February 2022. FY 2021 expense includes bonus payments of approximately $283,000 paid to certain R&amp;D officers and employees in December 2020.</w:t>
      </w:r>
    </w:p>
    <w:p>
      <w:pPr>
        <w:spacing w:after="0" w:line="192" w:lineRule="exact"/>
        <w:rPr>
          <w:sz w:val="20"/>
          <w:szCs w:val="20"/>
          <w:color w:val="auto"/>
        </w:rPr>
      </w:pPr>
    </w:p>
    <w:p>
      <w:pPr>
        <w:jc w:val="both"/>
        <w:ind w:left="20"/>
        <w:spacing w:after="0" w:line="254" w:lineRule="auto"/>
        <w:rPr>
          <w:sz w:val="20"/>
          <w:szCs w:val="20"/>
          <w:color w:val="auto"/>
        </w:rPr>
      </w:pPr>
      <w:r>
        <w:rPr>
          <w:rFonts w:ascii="Arial" w:cs="Arial" w:eastAsia="Arial" w:hAnsi="Arial"/>
          <w:sz w:val="18"/>
          <w:szCs w:val="18"/>
          <w:color w:val="auto"/>
        </w:rPr>
        <w:t>Current year stock-based compensation expense reflects the amortization of option grants made to our CMO, CSO, members of our scientific staff and certain clinical and scientific consultants since May 2019, in addition to grants to new officers and employees as indicated above. All outstanding options granted to R&amp;D employees and consultants prior to May 2019 are fully vested and amortized at December 31, 2021. The primary components of the increase in FY 2022 expense are represented by (i) grants awarded after December 31, 2020, including those granted to new employees, which account for approximately $437,000 of expense for the nine months ended December 31, 2021, offset by (ii) the expense reduction compared to the nine months ended December 31, 2020 of approximately $191,000 attributable to certain options granted between June 2016 and May 2020 that became fully vested and amortized prior to December 31, 2021.</w:t>
      </w:r>
    </w:p>
    <w:p>
      <w:pPr>
        <w:sectPr>
          <w:pgSz w:w="11900" w:h="16838" w:orient="portrait"/>
          <w:cols w:equalWidth="0" w:num="1">
            <w:col w:w="11240"/>
          </w:cols>
          <w:pgMar w:left="320" w:top="125"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Consulting and other professional services in both periods reflects fees incurred, generally on an as-needed basis, for project-based scientific, nonclinical and clinical development and regulatory advisory and analytical services rendered to us by third parties, primarily in support of our PH94B and PH10 development initiatives. Current year expense also includes contract recruiting services for certain specialized R&amp;D positions. Prior year expense included the final development support payment to Pherin, which terminated in April 2020 under the terms of our PH94B and PH10 license agreements.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Technology license and royalties expense primarily reflects legal counsel and other costs related to patent prosecution and protection pursuant to our stem cell technology license agreements, our AV-101 patents, or patents that we have elected to pursue for commercial purposes, as well as recurring annual license fees. These costs do not necessarily occur ratably throughout the year or between years. In both periods, this expense includes legal counsel and other costs we have incurred to advance various patent applications in the U.S. and numerous foreign countries, primarily with respect to AV-101 and our stem cell technology platform, but also with respect to our PH94B and PH10 intellectual property portfolios.</w:t>
      </w:r>
    </w:p>
    <w:p>
      <w:pPr>
        <w:spacing w:after="0" w:line="176" w:lineRule="exact"/>
        <w:rPr>
          <w:sz w:val="20"/>
          <w:szCs w:val="20"/>
          <w:color w:val="auto"/>
        </w:rPr>
      </w:pPr>
    </w:p>
    <w:p>
      <w:pPr>
        <w:jc w:val="both"/>
        <w:ind w:left="20"/>
        <w:spacing w:after="0" w:line="269" w:lineRule="auto"/>
        <w:rPr>
          <w:sz w:val="20"/>
          <w:szCs w:val="20"/>
          <w:color w:val="auto"/>
        </w:rPr>
      </w:pPr>
      <w:r>
        <w:rPr>
          <w:rFonts w:ascii="Arial" w:cs="Arial" w:eastAsia="Arial" w:hAnsi="Arial"/>
          <w:sz w:val="17"/>
          <w:szCs w:val="17"/>
          <w:color w:val="auto"/>
        </w:rPr>
        <w:t>The significant increase in PH94B and PH10 project expenses for the nine months ended December 31, 2021 compared to the nine months ended December 31, 2020 results primarily from preparing for, initiating and advancing our ongoing PALISADE Phase 3 Program for PH94B in SAD, specifically, preparation for, and initiation and advancement of PALISADE-1, PALISADE-2 and the PALISADE Long Term Safety Study, as well as the initiation of our exploratory Phase 2A clinical trial of PH94B in AjDA and preclinical development activities for PH10. In both periods, manufacturing, formulation, validation and analysis of sufficient quantities of drug substance and drug product for both clinical trials and other developmental requirements continue to be significant initiatives for advancing both PH94B and PH10. Due to its later stage of development, costs for PH94B initiatives have significantly exceeded those for PH10 in the each of the periods presented. In both periods, AV-101 project expense includes costs for certain preclinical studies related to the use of AV-101 with adjunctive probenecid and certain AV-101 manufacturing stability studies, and in the current year, the initiation of our exploratory Phase 1B AV-101 and probenecid clinical trial. Current year expense also includes the cost of nonclinical studies related to the effect of AV-101 on transporter mechanisms. Throughout the current year, we have been actively preparing for and advancing other clinical and nonclinical studies for PH94B, PH10 and AV-101 in combination with probenecid.</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Financial Statements,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left="20"/>
        <w:spacing w:after="0" w:line="269" w:lineRule="auto"/>
        <w:rPr>
          <w:sz w:val="20"/>
          <w:szCs w:val="20"/>
          <w:color w:val="auto"/>
        </w:rPr>
      </w:pPr>
      <w:r>
        <w:rPr>
          <w:rFonts w:ascii="Arial" w:cs="Arial" w:eastAsia="Arial" w:hAnsi="Arial"/>
          <w:sz w:val="17"/>
          <w:szCs w:val="17"/>
          <w:color w:val="auto"/>
        </w:rPr>
        <w:t>General and administrative (</w:t>
      </w:r>
      <w:r>
        <w:rPr>
          <w:rFonts w:ascii="Arial" w:cs="Arial" w:eastAsia="Arial" w:hAnsi="Arial"/>
          <w:sz w:val="17"/>
          <w:szCs w:val="17"/>
          <w:i w:val="1"/>
          <w:iCs w:val="1"/>
          <w:color w:val="auto"/>
        </w:rPr>
        <w:t>G&amp;A</w:t>
      </w:r>
      <w:r>
        <w:rPr>
          <w:rFonts w:ascii="Arial" w:cs="Arial" w:eastAsia="Arial" w:hAnsi="Arial"/>
          <w:sz w:val="17"/>
          <w:szCs w:val="17"/>
          <w:color w:val="auto"/>
        </w:rPr>
        <w:t>) expense increased by approximately $3.7 million to approximately $8.5 million for the nine months ended December 31, 2021, compared to approximately $4.8 million for the nine months ended December 31, 2020. Salaries and benefits expense for the nine months ended December 31, 2021 increased by approximately $1.4 million versus the comparable prior-year period primarily due to the hiring of senior management personnel, including our Chief Commercial Officer, Vice President, Investor Relations, and Vice President, Strategic Insights and Analytics, as well as other senior administrative personnel, and an accrual for additional compensation expense resulting from the achievement of certain corporate objectives during the 2021 calendar year. Further, we incurred approximately $1.4 million of consulting expenses in connection with various customary pre-commercialization market research studies and analyses. Additionally, we expensed, as a noncash charge, $232,000 of deferred offering costs attributable to a previous financing arrangement that we terminated in June 2021. Noncash general and administrative expense, approximately $1,579,000 for the nine months ended December 31, 2021, increased from approximately $1,361,000 in the nine months ended December 31, 2020, primarily due to the noncash write-off of the deferred offering costs. The following table indicates the primary components of general and administrative expense for each of the periods (amounts in thousands):</w:t>
      </w:r>
    </w:p>
    <w:p>
      <w:pPr>
        <w:spacing w:after="0" w:line="178"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320" w:type="dxa"/>
            <w:vAlign w:val="bottom"/>
            <w:gridSpan w:val="7"/>
          </w:tcPr>
          <w:p>
            <w:pPr>
              <w:ind w:left="300"/>
              <w:spacing w:after="0"/>
              <w:rPr>
                <w:sz w:val="20"/>
                <w:szCs w:val="20"/>
                <w:color w:val="auto"/>
              </w:rPr>
            </w:pPr>
            <w:r>
              <w:rPr>
                <w:rFonts w:ascii="Arial" w:cs="Arial" w:eastAsia="Arial" w:hAnsi="Arial"/>
                <w:sz w:val="18"/>
                <w:szCs w:val="18"/>
                <w:b w:val="1"/>
                <w:bCs w:val="1"/>
                <w:color w:val="auto"/>
              </w:rPr>
              <w:t>Nine Months Ended December 31,</w:t>
            </w:r>
          </w:p>
        </w:tc>
      </w:tr>
      <w:tr>
        <w:trPr>
          <w:trHeight w:val="210"/>
        </w:trPr>
        <w:tc>
          <w:tcPr>
            <w:tcW w:w="6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09"/>
        </w:trPr>
        <w:tc>
          <w:tcPr>
            <w:tcW w:w="6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20" w:type="dxa"/>
            <w:vAlign w:val="bottom"/>
            <w:shd w:val="clear" w:color="auto" w:fill="CCEEFF"/>
          </w:tcPr>
          <w:p>
            <w:pPr>
              <w:jc w:val="right"/>
              <w:ind w:right="858"/>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1,248</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Board fees and other consulting services</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446</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Pre-launch marketing studies and analyses</w:t>
            </w: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Travel expenses</w:t>
            </w: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Rent and utilities</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Sublicense contract amortized acquisition expense</w:t>
            </w: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Write off of deferred offering costs</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All other expenses</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r>
      <w:tr>
        <w:trPr>
          <w:trHeight w:val="250"/>
        </w:trPr>
        <w:tc>
          <w:tcPr>
            <w:tcW w:w="6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58"/>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left="20"/>
        <w:spacing w:after="0" w:line="291" w:lineRule="auto"/>
        <w:rPr>
          <w:sz w:val="20"/>
          <w:szCs w:val="20"/>
          <w:color w:val="auto"/>
        </w:rPr>
      </w:pPr>
      <w:r>
        <w:rPr>
          <w:rFonts w:ascii="Arial" w:cs="Arial" w:eastAsia="Arial" w:hAnsi="Arial"/>
          <w:sz w:val="16"/>
          <w:szCs w:val="16"/>
          <w:color w:val="auto"/>
        </w:rPr>
        <w:t>The increase in salaries and benefits expense for the nine months ended December 31, 2021 primarily results from the addition of our Chief Commercial Officer in May 2021, our Vice President, Investor Relations in March 2021, our Vice President, Strategic Insights and Analytics in November 2021, and three other administrative employees during the period. Also contributing to the increase are the impacts of salary increases effective beginning in January 2021 granted to our Chief Executive Officer (</w:t>
      </w:r>
      <w:r>
        <w:rPr>
          <w:rFonts w:ascii="Arial" w:cs="Arial" w:eastAsia="Arial" w:hAnsi="Arial"/>
          <w:sz w:val="16"/>
          <w:szCs w:val="16"/>
          <w:i w:val="1"/>
          <w:iCs w:val="1"/>
          <w:color w:val="auto"/>
        </w:rPr>
        <w:t>CEO</w:t>
      </w:r>
      <w:r>
        <w:rPr>
          <w:rFonts w:ascii="Arial" w:cs="Arial" w:eastAsia="Arial" w:hAnsi="Arial"/>
          <w:sz w:val="16"/>
          <w:szCs w:val="16"/>
          <w:color w:val="auto"/>
        </w:rPr>
        <w:t>), Chief Financial Officer (</w:t>
      </w:r>
      <w:r>
        <w:rPr>
          <w:rFonts w:ascii="Arial" w:cs="Arial" w:eastAsia="Arial" w:hAnsi="Arial"/>
          <w:sz w:val="16"/>
          <w:szCs w:val="16"/>
          <w:i w:val="1"/>
          <w:iCs w:val="1"/>
          <w:color w:val="auto"/>
        </w:rPr>
        <w:t>CFO</w:t>
      </w:r>
      <w:r>
        <w:rPr>
          <w:rFonts w:ascii="Arial" w:cs="Arial" w:eastAsia="Arial" w:hAnsi="Arial"/>
          <w:sz w:val="16"/>
          <w:szCs w:val="16"/>
          <w:color w:val="auto"/>
        </w:rPr>
        <w:t>), Vice President-Corporate Development (</w:t>
      </w:r>
      <w:r>
        <w:rPr>
          <w:rFonts w:ascii="Arial" w:cs="Arial" w:eastAsia="Arial" w:hAnsi="Arial"/>
          <w:sz w:val="16"/>
          <w:szCs w:val="16"/>
          <w:i w:val="1"/>
          <w:iCs w:val="1"/>
          <w:color w:val="auto"/>
        </w:rPr>
        <w:t>VP Corporate Development</w:t>
      </w:r>
      <w:r>
        <w:rPr>
          <w:rFonts w:ascii="Arial" w:cs="Arial" w:eastAsia="Arial" w:hAnsi="Arial"/>
          <w:sz w:val="16"/>
          <w:szCs w:val="16"/>
          <w:color w:val="auto"/>
        </w:rPr>
        <w:t>) and a non-officer member of our administrative staff, as well as the accrual of approximately $1.0 million for additional compensation expense for officers and administrative employees pursuant to achievement of calendar year 2021 corporate operational objectives which was paid in February 2022. FY 2021 expense includes bonus payments of approximately $574,000 paid to G&amp;A officers and employees in December 2020.</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Current year stock-based compensation expense reflects the amortization of option grants made to our CEO, CFO, VP Corporate Development, administrative staff, independent members of our Board and certain consultants since May 2019, in addition to grants to new officers and employees as indicated above. All outstanding options granted to G&amp;A employees, Board members and consultants prior to May 2019 have become fully vested and amortized by December 31, 2021. Grants awarded after December 31, 2020, including those granted to new employees, account for approximately $481,000 of expense in the nine months ended December 31, 2021, offset by the expense reduction of approximately $471,000 attributable to certain options granted between June 2016 and September 2020 that became fully vested and amortized prior to December 31, 2021. Additionally, expense related to options granted in April 2020 and December 2020 as 25% vested at grant reduced current year expense compared to prior year by a net of $16,000 for the nine months ended December 31, 2021.</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Board fees and other consulting services represents, in both periods, fees paid as consideration for Board and Board Committee services to the independent members of our Board of Directors. We modified our cash compensation policy for our independent Board members at the beginning of the current fiscal year, increasing payments to reflect current market conditions, and, as noted previously, added one new independent Board member during the quarter ended June 30, 2021 and two additional independent members during July 2021. Current year expense also includes fees for continuing education activities available to our Board members and for other strategic consulting services.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Legal, accounting and other professional fees for both periods include expenses related to routine legal corporate and advisory services as well as accounting services related to the annual audit of our prior year financial statements and the quarterly review of our current year financial statements. Expense for the nine months ended December 31, 2021 also includes the cost of certain outsourced financial and accounting services and implementation of new accounting software, increased legal compliance expenses as well as an expanded service level from our information technology service provider, all of which commenced at the beginning of our current fiscal year.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Investor and public relations expense in both periods include the fees of our various external service providers for a broad spectrum of investor relations, public relations and social media services, and well as market awareness and strategic advisory and support functions and initiatives. In both periods, we conducted numerous virtual meetings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w:t>
      </w:r>
    </w:p>
    <w:p>
      <w:pPr>
        <w:sectPr>
          <w:pgSz w:w="11900" w:h="16838" w:orient="portrait"/>
          <w:cols w:equalWidth="0" w:num="1">
            <w:col w:w="11240"/>
          </w:cols>
          <w:pgMar w:left="320" w:top="125" w:right="339" w:bottom="979"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79"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During the nine months ended December 31, 2021, we incurred expenses for various phase-appropriate and customary pre-commercialization studies, analyses, projections, strategic modeling and awareness services, primarily attributable to PH94B as a potential acute treatment of anxiety in adults with SAD. We plan to continue such studies and initiatives in parallel with our clinical and regulatory initiatives.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insurance expense is primarily attributable to the market-rate increase in the premium for our directors’ and officers’ liability insurance upon renewal of our policy in May 2021.</w:t>
      </w:r>
    </w:p>
    <w:p>
      <w:pPr>
        <w:spacing w:after="0" w:line="170"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As a result of periodic shelter-in-place restrictions and travel and workplace precautions and restrictions associated with the ongoing COVID-19 pandemic, during both periods presented, management presentations and historically in-person meetings held in multiple U.S. markets and certain international markets with existing and potential individual and institutional investors, investment professionals and advisors, media, and securities analysts, as well as various investor relations, market awareness and corporate development and partnering initiatives, have generally occurred remotely without requiring in-person business travel by our executives. We have incurred nominal travel expenses in the current fiscal year for attendance at seminars, and for vendor audits and clinical trial site visits as conditions have permitted.</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Financial Statements,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Beginning in the quarter ended September 30, 2020, in connection with our recognition of revenue under the AffaMed Agreement, we also began to amortize the deferred contract acquisition costs related to our acquisition of that agreement. Such costs were composed of the cash payment of $220,000 for sublicense fees which we were obligated to make pursuant to our PH94B license from Pherin, and the $125,000 cash payment and $125,000 fair value of common stock issued for consulting services, in each case exclusively related to our acquisition of the AffaMed Agreement. The contract acquisition costs are amortized over the expected term of the services to be provided under the AffaMed Agreement. We amortized approximately $101,000 and $60,000 of contract acquisition costs in the nine months ended December 31, 2021 and 2020, respectively.</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As described more completely in Note 8, </w:t>
      </w:r>
      <w:r>
        <w:rPr>
          <w:rFonts w:ascii="Arial" w:cs="Arial" w:eastAsia="Arial" w:hAnsi="Arial"/>
          <w:sz w:val="16"/>
          <w:szCs w:val="16"/>
          <w:i w:val="1"/>
          <w:iCs w:val="1"/>
          <w:color w:val="auto"/>
        </w:rPr>
        <w:t>Capital Stock</w:t>
      </w:r>
      <w:r>
        <w:rPr>
          <w:rFonts w:ascii="Arial" w:cs="Arial" w:eastAsia="Arial" w:hAnsi="Arial"/>
          <w:sz w:val="16"/>
          <w:szCs w:val="16"/>
          <w:color w:val="auto"/>
        </w:rPr>
        <w:t>, in the Financial Statements, in June 2021, we terminated the LPC Agreement. Upon termination of the LPC Agreement, we expensed the remaining $232,100 of deferred offering costs related to the agreement as a noncash charge to G&amp;A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net totaled approximately $15,000 for the nine months ended December 31, 2021, compared to interest expense, net of approximately $6,000 for the nine months ended December 31, 2020. The following table indicates the primary components of interest income and expense for each of the periods (amounts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Nine Months Ended December 31,</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114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CCEEFF"/>
          </w:tcPr>
          <w:p>
            <w:pPr>
              <w:jc w:val="right"/>
              <w:ind w:right="978"/>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6780" w:type="dxa"/>
            <w:vAlign w:val="bottom"/>
          </w:tcPr>
          <w:p>
            <w:pPr>
              <w:spacing w:after="0" w:line="201" w:lineRule="exact"/>
              <w:rPr>
                <w:sz w:val="20"/>
                <w:szCs w:val="20"/>
                <w:color w:val="auto"/>
              </w:rPr>
            </w:pPr>
            <w:r>
              <w:rPr>
                <w:rFonts w:ascii="Arial" w:cs="Arial" w:eastAsia="Arial" w:hAnsi="Arial"/>
                <w:sz w:val="18"/>
                <w:szCs w:val="18"/>
                <w:color w:val="auto"/>
              </w:rPr>
              <w:t>Interest expense on financing lease, insurance premium financing notes and Payroll</w:t>
            </w:r>
          </w:p>
        </w:tc>
        <w:tc>
          <w:tcPr>
            <w:tcW w:w="114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17"/>
        </w:trPr>
        <w:tc>
          <w:tcPr>
            <w:tcW w:w="6780" w:type="dxa"/>
            <w:vAlign w:val="bottom"/>
          </w:tcPr>
          <w:p>
            <w:pPr>
              <w:ind w:left="160"/>
              <w:spacing w:after="0"/>
              <w:rPr>
                <w:sz w:val="20"/>
                <w:szCs w:val="20"/>
                <w:color w:val="auto"/>
              </w:rPr>
            </w:pPr>
            <w:r>
              <w:rPr>
                <w:rFonts w:ascii="Arial" w:cs="Arial" w:eastAsia="Arial" w:hAnsi="Arial"/>
                <w:sz w:val="18"/>
                <w:szCs w:val="18"/>
                <w:color w:val="auto"/>
              </w:rPr>
              <w:t>Protection Program loan (2020)</w:t>
            </w:r>
          </w:p>
        </w:tc>
        <w:tc>
          <w:tcPr>
            <w:tcW w:w="11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140" w:type="dxa"/>
            <w:vAlign w:val="bottom"/>
          </w:tcPr>
          <w:p>
            <w:pPr>
              <w:jc w:val="right"/>
              <w:ind w:right="978"/>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both periods, interest income relates to cash deposits in interest-bearing cash equivalent accounts. Current year income reflects higher balances in interest-earning accounts as rates have been minimal during both periods. Interest expense for the nine months ended December 31, 2020 relates to interest paid on insurance premium financing notes and on our financing lease of office equipment subject to ASC 842, and to interest accrued on the Payroll Protection Program loan we received in April 2020. Following the closing of the December 2020 Public Offering, in December 2020, we voluntarily repaid in full the principal and accrued interest on the Payroll Protection Program loan. Further, we did not finance insurance premiums for policies that renewed in February 2021 or May 2021 as we had in prior years.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20"/>
        <w:spacing w:after="0" w:line="269" w:lineRule="auto"/>
        <w:rPr>
          <w:sz w:val="20"/>
          <w:szCs w:val="20"/>
          <w:color w:val="auto"/>
        </w:rPr>
      </w:pPr>
      <w:r>
        <w:rPr>
          <w:rFonts w:ascii="Arial" w:cs="Arial" w:eastAsia="Arial" w:hAnsi="Arial"/>
          <w:sz w:val="17"/>
          <w:szCs w:val="17"/>
          <w:color w:val="auto"/>
        </w:rPr>
        <w:t>We recognized approximately $945,100 and $1,036,600 during the nine months ended December 31, 2021 and 2020, respectively, attributable to the 10% cumulative dividend accrued on outstanding shares of our Series B 10% Convertible Preferred Stock (</w:t>
      </w:r>
      <w:r>
        <w:rPr>
          <w:rFonts w:ascii="Arial" w:cs="Arial" w:eastAsia="Arial" w:hAnsi="Arial"/>
          <w:sz w:val="17"/>
          <w:szCs w:val="17"/>
          <w:i w:val="1"/>
          <w:iCs w:val="1"/>
          <w:color w:val="auto"/>
        </w:rPr>
        <w:t>Series B Preferred</w:t>
      </w:r>
      <w:r>
        <w:rPr>
          <w:rFonts w:ascii="Arial" w:cs="Arial" w:eastAsia="Arial" w:hAnsi="Arial"/>
          <w:sz w:val="17"/>
          <w:szCs w:val="17"/>
          <w:color w:val="auto"/>
        </w:rPr>
        <w:t xml:space="preserve">) as an additional deduction in arriving at net loss attributable to common stockholders in the Financial Statements. In November 2021, the custodial holder of 1,131,669 outstanding shares of our Series B Preferred exercised its rights for conversion into common stock under the terms of the Certificate of Designation of the Relative Rights and Preferences of the Series B 10% Convertible Preferred Stock </w:t>
      </w:r>
      <w:r>
        <w:rPr>
          <w:rFonts w:ascii="Arial" w:cs="Arial" w:eastAsia="Arial" w:hAnsi="Arial"/>
          <w:sz w:val="17"/>
          <w:szCs w:val="17"/>
          <w:i w:val="1"/>
          <w:iCs w:val="1"/>
          <w:color w:val="auto"/>
        </w:rPr>
        <w:t>(Series B Certificate of Designation)</w:t>
      </w:r>
      <w:r>
        <w:rPr>
          <w:rFonts w:ascii="Arial" w:cs="Arial" w:eastAsia="Arial" w:hAnsi="Arial"/>
          <w:sz w:val="17"/>
          <w:szCs w:val="17"/>
          <w:color w:val="auto"/>
        </w:rPr>
        <w:t xml:space="preserve"> and we issued 1,131,669 shares of our common stock upon conversion. From initial issuance in May 2015 through the time of conversion in November 2021, the Series B Preferred had accrued 10% dividends aggregating $7,217,800 and, in accordance with the terms of the Series B Certificate of Designation, we issued 3,295,778 shares of our unregistered common stock in payment of the accrued dividends. Following this conversion there were no additional shares of Series B Preferred outstanding and no further accrual of dividends on the Series B Preferred. In December 2020, one holder of Series B Preferred converted 28,571 shares of Series B Preferred into an equal number of unregistered shares of our common stock and we issued an additional 160,062 unregistered shares of our common stock in payment of $124,600 of accrued dividends.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inception in May 1998 through December 31, 2021, we have financed our operations and technology acquisitions primarily through the issuance and sale of our equity and debt securities for cash proceeds of approximately $208.5 million, as well as from an aggregate of approximately $22.7 million of government research grant awards (excluding the fair market value of government sponsored and funded clinical trials), strategic collaboration payments and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December 31, 2021, holders of outstanding warrants to purchase an aggregate of 7,298,791 shares of our common stock exercised such warrants, and we received cash proceeds of approximately $6.2 million. Between December 2020 and March 31, 2021, holders of outstanding warrants to purchase an aggregate of 6,396,302 shares of our common stock exercised such warrants and we received cash proceeds of approximately $4.9 million.</w:t>
      </w:r>
    </w:p>
    <w:p>
      <w:pPr>
        <w:spacing w:after="0" w:line="187" w:lineRule="exact"/>
        <w:rPr>
          <w:sz w:val="20"/>
          <w:szCs w:val="20"/>
          <w:color w:val="auto"/>
        </w:rPr>
      </w:pPr>
    </w:p>
    <w:p>
      <w:pPr>
        <w:jc w:val="both"/>
        <w:ind w:left="20"/>
        <w:spacing w:after="0" w:line="237" w:lineRule="auto"/>
        <w:rPr>
          <w:sz w:val="20"/>
          <w:szCs w:val="20"/>
          <w:color w:val="auto"/>
        </w:rPr>
      </w:pPr>
      <w:r>
        <w:rPr>
          <w:rFonts w:ascii="Arial" w:cs="Arial" w:eastAsia="Arial" w:hAnsi="Arial"/>
          <w:sz w:val="17"/>
          <w:szCs w:val="17"/>
          <w:color w:val="auto"/>
        </w:rPr>
        <w:t xml:space="preserve">As described more completely in Note 8, </w:t>
      </w:r>
      <w:r>
        <w:rPr>
          <w:rFonts w:ascii="Arial" w:cs="Arial" w:eastAsia="Arial" w:hAnsi="Arial"/>
          <w:sz w:val="17"/>
          <w:szCs w:val="17"/>
          <w:i w:val="1"/>
          <w:iCs w:val="1"/>
          <w:color w:val="auto"/>
        </w:rPr>
        <w:t>Capital Stock</w:t>
      </w:r>
      <w:r>
        <w:rPr>
          <w:rFonts w:ascii="Arial" w:cs="Arial" w:eastAsia="Arial" w:hAnsi="Arial"/>
          <w:sz w:val="17"/>
          <w:szCs w:val="17"/>
          <w:color w:val="auto"/>
        </w:rPr>
        <w:t>, in the Financial Statements (</w:t>
      </w:r>
      <w:r>
        <w:rPr>
          <w:rFonts w:ascii="Arial" w:cs="Arial" w:eastAsia="Arial" w:hAnsi="Arial"/>
          <w:sz w:val="17"/>
          <w:szCs w:val="17"/>
          <w:i w:val="1"/>
          <w:iCs w:val="1"/>
          <w:color w:val="auto"/>
        </w:rPr>
        <w:t>Note 8</w:t>
      </w:r>
      <w:r>
        <w:rPr>
          <w:rFonts w:ascii="Arial" w:cs="Arial" w:eastAsia="Arial" w:hAnsi="Arial"/>
          <w:sz w:val="17"/>
          <w:szCs w:val="17"/>
          <w:color w:val="auto"/>
        </w:rPr>
        <w:t xml:space="preserve">), In May 2021, we entered into an Open Market Sale Agreement </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(the </w:t>
      </w:r>
      <w:r>
        <w:rPr>
          <w:rFonts w:ascii="Arial" w:cs="Arial" w:eastAsia="Arial" w:hAnsi="Arial"/>
          <w:sz w:val="17"/>
          <w:szCs w:val="17"/>
          <w:i w:val="1"/>
          <w:iCs w:val="1"/>
          <w:color w:val="auto"/>
        </w:rPr>
        <w:t>Sales Agreement</w:t>
      </w:r>
      <w:r>
        <w:rPr>
          <w:rFonts w:ascii="Arial" w:cs="Arial" w:eastAsia="Arial" w:hAnsi="Arial"/>
          <w:sz w:val="17"/>
          <w:szCs w:val="17"/>
          <w:color w:val="auto"/>
        </w:rPr>
        <w:t xml:space="preserve">) with respect to an at-the-market offering program (the </w:t>
      </w:r>
      <w:r>
        <w:rPr>
          <w:rFonts w:ascii="Arial" w:cs="Arial" w:eastAsia="Arial" w:hAnsi="Arial"/>
          <w:sz w:val="17"/>
          <w:szCs w:val="17"/>
          <w:i w:val="1"/>
          <w:iCs w:val="1"/>
          <w:color w:val="auto"/>
        </w:rPr>
        <w:t>ATM</w:t>
      </w:r>
      <w:r>
        <w:rPr>
          <w:rFonts w:ascii="Arial" w:cs="Arial" w:eastAsia="Arial" w:hAnsi="Arial"/>
          <w:sz w:val="17"/>
          <w:szCs w:val="17"/>
          <w:color w:val="auto"/>
        </w:rPr>
        <w:t>) under which we may offer and sell, from time to time, shares of our common stock having an aggregate offering price of up to $75.0 million through our sales agent. In September 2021 and on October 1, 2021, we sold an aggregate of 1,517,798 shares of our common stock and received gross cash proceeds of approximately $4.45 million under the ATM. We have not sold any additional shares of our common stock under the ATM from October 2, 2021 through the date of this Report.</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December 2020, we entered into an underwriting agreement pursuant to which we sold, in an underwritten public offering (the </w:t>
      </w:r>
      <w:r>
        <w:rPr>
          <w:rFonts w:ascii="Arial" w:cs="Arial" w:eastAsia="Arial" w:hAnsi="Arial"/>
          <w:sz w:val="17"/>
          <w:szCs w:val="17"/>
          <w:i w:val="1"/>
          <w:iCs w:val="1"/>
          <w:color w:val="auto"/>
        </w:rPr>
        <w:t>December 2020 Public</w:t>
      </w:r>
      <w:r>
        <w:rPr>
          <w:rFonts w:ascii="Arial" w:cs="Arial" w:eastAsia="Arial" w:hAnsi="Arial"/>
          <w:sz w:val="17"/>
          <w:szCs w:val="17"/>
          <w:color w:val="auto"/>
        </w:rPr>
        <w:t xml:space="preserve"> </w:t>
      </w:r>
      <w:r>
        <w:rPr>
          <w:rFonts w:ascii="Arial" w:cs="Arial" w:eastAsia="Arial" w:hAnsi="Arial"/>
          <w:sz w:val="17"/>
          <w:szCs w:val="17"/>
          <w:i w:val="1"/>
          <w:iCs w:val="1"/>
          <w:color w:val="auto"/>
        </w:rPr>
        <w:t>Offering</w:t>
      </w:r>
      <w:r>
        <w:rPr>
          <w:rFonts w:ascii="Arial" w:cs="Arial" w:eastAsia="Arial" w:hAnsi="Arial"/>
          <w:sz w:val="17"/>
          <w:szCs w:val="17"/>
          <w:color w:val="auto"/>
        </w:rPr>
        <w:t>), 63,000,000 shares of our common stock at a public offering price of $0.92 per share and 2,000,000 shares of a newly authorized series of</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preferred stock (</w:t>
      </w:r>
      <w:r>
        <w:rPr>
          <w:rFonts w:ascii="Arial" w:cs="Arial" w:eastAsia="Arial" w:hAnsi="Arial"/>
          <w:sz w:val="17"/>
          <w:szCs w:val="17"/>
          <w:i w:val="1"/>
          <w:iCs w:val="1"/>
          <w:color w:val="auto"/>
        </w:rPr>
        <w:t>Series D Preferred</w:t>
      </w:r>
      <w:r>
        <w:rPr>
          <w:rFonts w:ascii="Arial" w:cs="Arial" w:eastAsia="Arial" w:hAnsi="Arial"/>
          <w:sz w:val="17"/>
          <w:szCs w:val="17"/>
          <w:color w:val="auto"/>
        </w:rPr>
        <w:t xml:space="preserve"> and, together with the common stock, the </w:t>
      </w:r>
      <w:r>
        <w:rPr>
          <w:rFonts w:ascii="Arial" w:cs="Arial" w:eastAsia="Arial" w:hAnsi="Arial"/>
          <w:sz w:val="17"/>
          <w:szCs w:val="17"/>
          <w:i w:val="1"/>
          <w:iCs w:val="1"/>
          <w:color w:val="auto"/>
        </w:rPr>
        <w:t>Securities</w:t>
      </w:r>
      <w:r>
        <w:rPr>
          <w:rFonts w:ascii="Arial" w:cs="Arial" w:eastAsia="Arial" w:hAnsi="Arial"/>
          <w:sz w:val="17"/>
          <w:szCs w:val="17"/>
          <w:color w:val="auto"/>
        </w:rPr>
        <w:t>) at a public offering price of $21.16 per share, resulting in gross proceeds to us of $100 million. The 2.0 million shares of Series D Preferred Stock were convertible into 46.0 million shares of common stock, all of which had been converted by June 30, 2021. Net proceeds to us from the Securities sold in the December 2020 Public Offering, after deducting underwriting discounts and commissions and offering expenses payable by us, was approximately $93.6 million.</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August 2020, we entered into an underwriting agreement pursuant to which we sold, in an underwritten public offering (the </w:t>
      </w:r>
      <w:r>
        <w:rPr>
          <w:rFonts w:ascii="Arial" w:cs="Arial" w:eastAsia="Arial" w:hAnsi="Arial"/>
          <w:sz w:val="17"/>
          <w:szCs w:val="17"/>
          <w:i w:val="1"/>
          <w:iCs w:val="1"/>
          <w:color w:val="auto"/>
        </w:rPr>
        <w:t>August 2020 Public</w:t>
      </w:r>
      <w:r>
        <w:rPr>
          <w:rFonts w:ascii="Arial" w:cs="Arial" w:eastAsia="Arial" w:hAnsi="Arial"/>
          <w:sz w:val="17"/>
          <w:szCs w:val="17"/>
          <w:color w:val="auto"/>
        </w:rPr>
        <w:t xml:space="preserve"> </w:t>
      </w:r>
      <w:r>
        <w:rPr>
          <w:rFonts w:ascii="Arial" w:cs="Arial" w:eastAsia="Arial" w:hAnsi="Arial"/>
          <w:sz w:val="17"/>
          <w:szCs w:val="17"/>
          <w:i w:val="1"/>
          <w:iCs w:val="1"/>
          <w:color w:val="auto"/>
        </w:rPr>
        <w:t>Offering</w:t>
      </w:r>
      <w:r>
        <w:rPr>
          <w:rFonts w:ascii="Arial" w:cs="Arial" w:eastAsia="Arial" w:hAnsi="Arial"/>
          <w:sz w:val="17"/>
          <w:szCs w:val="17"/>
          <w:color w:val="auto"/>
        </w:rPr>
        <w:t>), an aggregate of 15,625,000 shares of our common stock at a public offering price of $0.80 per share, resulting in gross proceeds to us of $12.5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Under the terms of an overallotment option we granted, the underwriter exercised such option with respect to 2,243,250 shares of common stock, resulting in additional gross proceeds to us of approximately $1.8 million. Aggregate net proceeds to us from the August 2020 Public Offering, after deducting underwriting discounts and commissions and offering expenses payable by us, were approximately $12.9 million.</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more completely described in Note 11, </w:t>
      </w:r>
      <w:r>
        <w:rPr>
          <w:rFonts w:ascii="Arial" w:cs="Arial" w:eastAsia="Arial" w:hAnsi="Arial"/>
          <w:sz w:val="18"/>
          <w:szCs w:val="18"/>
          <w:i w:val="1"/>
          <w:iCs w:val="1"/>
          <w:color w:val="auto"/>
        </w:rPr>
        <w:t>Sublicensing and Collaboration Agreements</w:t>
      </w:r>
      <w:r>
        <w:rPr>
          <w:rFonts w:ascii="Arial" w:cs="Arial" w:eastAsia="Arial" w:hAnsi="Arial"/>
          <w:sz w:val="18"/>
          <w:szCs w:val="18"/>
          <w:color w:val="auto"/>
        </w:rPr>
        <w:t>, in the Financial Statements, in June 2020, we entered into the AffaMed Agreement, a strategic licensing and collaboration agreement for the clinical development and commercialization of PH94B for acute treatment of anxiety in adults with SAD and other potential anxiety-related disorders, pursuant to which we received a non-refundable upfront license payment of $5.0 million in August 2020. The upfront license payment resulted in net cash proceeds to us of approximately $4.655 million after the sublicense payment we agreed to make to Pherin pursuant to our PH94B license from Pherin, and payment for consulting services related to the consummation of the AffaMed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Capital Resources and Going Concern</w:t>
      </w:r>
    </w:p>
    <w:p>
      <w:pPr>
        <w:spacing w:after="0" w:line="225" w:lineRule="exact"/>
        <w:rPr>
          <w:sz w:val="20"/>
          <w:szCs w:val="20"/>
          <w:color w:val="auto"/>
        </w:rPr>
      </w:pPr>
    </w:p>
    <w:p>
      <w:pPr>
        <w:jc w:val="both"/>
        <w:ind w:left="20"/>
        <w:spacing w:after="0" w:line="289" w:lineRule="auto"/>
        <w:rPr>
          <w:sz w:val="20"/>
          <w:szCs w:val="20"/>
          <w:color w:val="auto"/>
        </w:rPr>
      </w:pPr>
      <w:r>
        <w:rPr>
          <w:rFonts w:ascii="Arial" w:cs="Arial" w:eastAsia="Arial" w:hAnsi="Arial"/>
          <w:sz w:val="16"/>
          <w:szCs w:val="16"/>
          <w:color w:val="auto"/>
        </w:rPr>
        <w:t>During our fiscal year ended March 31, 2021, we received approximately $119 million in net cash proceeds, primarily from the transactions described above. As disclosed above, during the nine months ended December 31, 2021, we received an additional $6.2 million in cash proceeds from the exercise of outstanding warrants and approximately $4.45 million in gross cash proceeds from the sale of our common stock under the Sales Agreement. Although we had cash and cash equivalents of approximately $83.7 million at December 31, 2021, should the clinical development and regulatory initiatives in our PALISADE Phase 3 Program for PH94B in SAD prove successful, it is probable that such cash position will not be sufficient to fund our planned operations, including, notably, our planned expansion of phase-appropriate preparations for commercialization of PH94B in the United States, for the twelve months following the issuance of these financial statements, which raises substantial doubt that we can continue as a going concern without securing additional capital. Additionally,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166"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During the next twelve months, we plan to (i) continue to advance and complete our PALISADE Phase 3 Program designed to develop and commercialize PH94B as a new acute treatment of anxiety in adults with SAD, (ii) continue to advance our exploratory clinical program for PH94B in a series of small studies to advance our understanding of its therapeutic potential in anxiety disorders beyond SAD, (iii) complete preparations for and initiate Phase 2B clinical development of PH10 as a potential stand-alone treatment for MDD, (iv) complete our exploratory Phase 1B drug-drug interaction clinical study of AV-101 in combination with probenecid to enhance our understanding of its therapeutic potential in certain neurological disorders, (v) conduct various nonclinical studies involving PH94B, PH10 and AV-101, and (vi) continue phase-appropriate preparations for commercialization of PH94B should the development and regulatory initiatives in our PALISADE Phase 3 Program in SAD prove successful.</w:t>
      </w:r>
    </w:p>
    <w:p>
      <w:pPr>
        <w:spacing w:after="0" w:line="177" w:lineRule="exact"/>
        <w:rPr>
          <w:sz w:val="20"/>
          <w:szCs w:val="20"/>
          <w:color w:val="auto"/>
        </w:rPr>
      </w:pPr>
    </w:p>
    <w:p>
      <w:pPr>
        <w:jc w:val="both"/>
        <w:ind w:left="20"/>
        <w:spacing w:after="0" w:line="291" w:lineRule="auto"/>
        <w:rPr>
          <w:sz w:val="20"/>
          <w:szCs w:val="20"/>
          <w:color w:val="auto"/>
        </w:rPr>
      </w:pPr>
      <w:r>
        <w:rPr>
          <w:rFonts w:ascii="Arial" w:cs="Arial" w:eastAsia="Arial" w:hAnsi="Arial"/>
          <w:sz w:val="16"/>
          <w:szCs w:val="16"/>
          <w:color w:val="auto"/>
        </w:rPr>
        <w:t xml:space="preserve">As we have been in the past, we expect that, when necessary and advantageous, we will be successful in obtaining additional financial resources to fund our planned operations through (i) the potential issuance of debt securities, or sales of our equity securities in one or more (ii) public offerings, including strategic transactions under the Sales Agreement, (iii) private placements, (iv) the exercises of some or all of the currently outstanding 9,307,858 warrants prior to their expiration and/or (v) strategic licensing and development collaborations involving one or more of our drug candidates in markets outside the United States, similar to the AffaMed Agreement. Subject to certain restrictions, our Registration Statement on Form S-3 (the </w:t>
      </w:r>
      <w:r>
        <w:rPr>
          <w:rFonts w:ascii="Arial" w:cs="Arial" w:eastAsia="Arial" w:hAnsi="Arial"/>
          <w:sz w:val="16"/>
          <w:szCs w:val="16"/>
          <w:i w:val="1"/>
          <w:iCs w:val="1"/>
          <w:color w:val="auto"/>
        </w:rPr>
        <w:t>S-3 Shelf Registration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w:t>
      </w:r>
      <w:r>
        <w:rPr>
          <w:rFonts w:ascii="Arial" w:cs="Arial" w:eastAsia="Arial" w:hAnsi="Arial"/>
          <w:sz w:val="16"/>
          <w:szCs w:val="16"/>
          <w:color w:val="auto"/>
        </w:rPr>
        <w:t>) remains available for future sales of our equity securities in one or more public offerings from time to time. While we may make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sales of our equity securities under the S-3 Shelf Registration Statement and/or under the Sales Agreement, we do not have an obligation to do so.</w:t>
      </w:r>
    </w:p>
    <w:p>
      <w:pPr>
        <w:spacing w:after="0" w:line="166"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In addition to the potential issuance of debt securities or sale of our equity securities, we may also seek to enter research, development and/or commercialization collaborations similar to the AffaMed Agreement to provide non-dilutive funding for our operations, while also reducing a portion of our future cash outlays and working capital requirements. Although we may seek additional collaborations that could generate revenue and/or provide non-dilutive funding for development and commercialization of our product candidates, no assurance can be provided that any such collaborations, awards or agreements will occur in the future.</w:t>
      </w:r>
    </w:p>
    <w:p>
      <w:pPr>
        <w:spacing w:after="0" w:line="188"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Our future working capital requirements will depend on many factors, including, without limitation, potential impacts related to the on-going COVID-19 pandemic, the scope and nature of opportunities related to our success and the success of certain other companies in nonclinical and clinical trials, including our development and commercialization of our current product candidates, the availability of, and our ability to enter into collaborations on terms acceptable to us. To further advance the clinical development and potential commercialization of PH94B, PH10, and AV-101, as well as support our operating activities, we plan to continue to carefully manage our routine operating costs and our clinical and nonclinical programs and pre-launch commercialization initiatives.</w:t>
      </w:r>
    </w:p>
    <w:p>
      <w:pPr>
        <w:spacing w:after="0" w:line="192"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Notwithstanding the foregoing, there can be no assurance that our current strategic collaboration under the AffaMed Agreement will generate revenue from future potential milestone payments, or that future financings or other strategic collaborations will be available to us in sufficient amounts, in a timely manner, or on terms acceptable to us, if at all. If we are unable to obtain additional financing on a timely basis when needed, our business, financial condition, and results of operations may be harmed, the price of our stock may decline, we may be required to reduce, defer, or discontinue certain of our research and development activities and we may not be able to continue as a going concern. The Financial Statements do not include any adjustments that might result from the negative outcome of this uncertainty.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32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rPr>
              <w:t>Nine Months Ended December 31,</w:t>
            </w:r>
          </w:p>
        </w:tc>
      </w:tr>
      <w:tr>
        <w:trPr>
          <w:trHeight w:val="209"/>
        </w:trPr>
        <w:tc>
          <w:tcPr>
            <w:tcW w:w="6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09"/>
        </w:trPr>
        <w:tc>
          <w:tcPr>
            <w:tcW w:w="6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(29,668)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(6,792)</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110,018</w:t>
            </w:r>
          </w:p>
        </w:tc>
      </w:tr>
      <w:tr>
        <w:trPr>
          <w:trHeight w:val="209"/>
        </w:trPr>
        <w:tc>
          <w:tcPr>
            <w:tcW w:w="62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cash and cash equivalents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(19,408)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102,976</w:t>
            </w:r>
          </w:p>
        </w:tc>
      </w:tr>
      <w:tr>
        <w:trPr>
          <w:trHeight w:val="216"/>
        </w:trPr>
        <w:tc>
          <w:tcPr>
            <w:tcW w:w="6220" w:type="dxa"/>
            <w:vAlign w:val="bottom"/>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103,108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1,355</w:t>
            </w:r>
          </w:p>
        </w:tc>
      </w:tr>
      <w:tr>
        <w:trPr>
          <w:trHeight w:val="209"/>
        </w:trPr>
        <w:tc>
          <w:tcPr>
            <w:tcW w:w="6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160"/>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tcPr>
          <w:p>
            <w:pPr>
              <w:jc w:val="right"/>
              <w:ind w:right="778"/>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83,700</w:t>
            </w:r>
          </w:p>
        </w:tc>
        <w:tc>
          <w:tcPr>
            <w:tcW w:w="12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104,331</w:t>
            </w:r>
          </w:p>
        </w:tc>
      </w:tr>
      <w:tr>
        <w:trPr>
          <w:trHeight w:val="20"/>
        </w:trPr>
        <w:tc>
          <w:tcPr>
            <w:tcW w:w="6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spacing w:after="0" w:line="286" w:lineRule="auto"/>
        <w:rPr>
          <w:sz w:val="20"/>
          <w:szCs w:val="20"/>
          <w:color w:val="auto"/>
        </w:rPr>
      </w:pPr>
      <w:r>
        <w:rPr>
          <w:rFonts w:ascii="Arial" w:cs="Arial" w:eastAsia="Arial" w:hAnsi="Arial"/>
          <w:sz w:val="16"/>
          <w:szCs w:val="16"/>
          <w:color w:val="auto"/>
        </w:rPr>
        <w:t>As described previously, the combination of the net proceeds we received from the December 2020 Public Offering and the August 2020 Public Offering followed subsequently by the proceeds from warrant exercises and sales of our common stock under the ATM during our current fiscal year have provided sufficient funds for us to significantly advance and accelerate an important stream of initiatives across our CNS pipeline, including, among others, our PALISADE Phase 3 Program for PH94B in SAD, our exploratory clinical program for PH94B in multiple anxiety-related indications beyond SAD, our Phase 2B development program for PH10 in MDD, and our exploratory Phase 1B clinical program for AV-101 in combination with probenecid. The increase in cash used in operations during the nine months ended December 31, 2021 results from the preparation for and initiation and ongoing conduct of our PALISADE Phase 3 Program for PH94B for the acute treatment of anxiety in adults with SAD, including our PALISADE-1 and PALISADE-2 Phase 3 clinical trials and our PALISADE Long-term Safety Study, as well as other clinical trials of PH94B and preparations for additional clinical and nonclinical studies of our product candidates to be initiated at various points during 2022. Additionally, we have enhanced our internal capabilities with the addition of senior management and other personnel with significant industry expertise in disciplines critical to the development and commercialization of our product pipeline. In parallel with our clinical and regulatory initiatives, we are actively engaging in customary and appropriate phase-timed pre-commercialization analyses, modeling, planning and awareness initiatives. Cash used in investing activities in both periods primarily reflects the cost of laboratory analytical equipment and select manufacturing equipment acquired for use by our CMO in connection with the development and production of PH94B drug product and, in the current year, laboratory equipment to be used in our internal development initiatives.</w:t>
      </w:r>
    </w:p>
    <w:p>
      <w:pPr>
        <w:spacing w:after="0" w:line="171" w:lineRule="exact"/>
        <w:rPr>
          <w:sz w:val="20"/>
          <w:szCs w:val="20"/>
          <w:color w:val="auto"/>
        </w:rPr>
      </w:pPr>
    </w:p>
    <w:p>
      <w:pPr>
        <w:jc w:val="both"/>
        <w:ind w:left="20"/>
        <w:spacing w:after="0" w:line="290" w:lineRule="auto"/>
        <w:rPr>
          <w:sz w:val="20"/>
          <w:szCs w:val="20"/>
          <w:color w:val="auto"/>
        </w:rPr>
      </w:pPr>
      <w:r>
        <w:rPr>
          <w:rFonts w:ascii="Arial" w:cs="Arial" w:eastAsia="Arial" w:hAnsi="Arial"/>
          <w:sz w:val="16"/>
          <w:szCs w:val="16"/>
          <w:color w:val="auto"/>
        </w:rPr>
        <w:t>Net cash provided by financing activities in an aggregate amount of approximately $10.5 million during the nine months ended December 31, 2021 is primarily the result of warrant exercises and our sale of common stock under the ATM, net of sales commissions and other expenses related to the ATM facility which are recorded as deferred offering costs. Net cash provided by financing activities in an aggregate amount of approximately $110.0 million during the nine months ended December 31, 2020 primarily reflects the cash proceeds received by us from sales of our common stock and Series D Preferred stock pursuant to the December 2020 Public Offering as well as sales of our common stock pursuant to the August 2020 Public Offering, the LPC Agreement (as defined in Note 8 in the Financial Statements), and from the Payroll Protection Program loan we received in April 2020, net of insurance premium financing note and financing lease payments. We voluntarily repaid the Payroll Protection Program loan and accrued interest in full in December 2020. We did not finance insurance premiums for policies renewed in February 2021 or May 2021 as we had in the prior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information relating to recent accounting pronouncements and the expected impact of such pronouncements on our Financial Statements, see Note 3,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of the Financial Statements included in Part I of this Report.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Our management, with the participation of our CEO and CFO, evaluated the effectiveness of our disclosure controls and procedures (as defined in Rule 13a-15(e) of the Exchange Act) as of the end of the period covered by this Report. Based on that evaluation, our CEO and our CFO concluded that our disclosure controls and procedures as of the end of the period covered by this Report were effective.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Annual Report on Form 10-K for our fiscal year ended March 31, 2021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June 29, 2021, we identified two material weaknesses in our internal control over financial reporting relating to (i) segregation of duties and (ii) the functionality of our accounting software. Beginning in April 2021, we have begun to address these material weaknesses by retaining additional accounting staff to facilitate appropriate review of accounting transactions and/or accounting treatment by multiple qualified individuals and by implementing state-of-the-art accounting software to prevent erroneous or unauthorized changes to previous reporting periods and/or adjustments and to provide an adequate audit trail of entries made in the accounting software.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believe that the prior control weaknesses have resulted in any deficient financial reporting (as defined in Rule 13a-15(f) of the Exchange Act) because each of our CEO and CFO is aware of his responsibilities under the SEC's reporting requirements and personally certifies our financial reports.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Our business is subject to substantial risk and an investment in our securities involves various risks. Some of the material risks include those set forth below. You should consider carefully these risks, and those discussed under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below, before investing in our securities. These risks include, among others:</w:t>
      </w:r>
    </w:p>
    <w:p>
      <w:pPr>
        <w:spacing w:after="0" w:line="184" w:lineRule="exact"/>
        <w:rPr>
          <w:sz w:val="20"/>
          <w:szCs w:val="20"/>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has, and may continue to have, an impact on our business, including delays in manufacturing of certain drug substance and drug products and potential delays in recruitment and enrollment in the PALISADE Phase 3 Program and other planned clinical and nonclinical studies of our product candidates;</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 development stage biopharmaceutical company with no recurring revenues from product sales or approved products, and limited experience developing or commercializing new drug candidates, which makes it difficult to assess our future viability;</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heavily on the success of our current CNS product candidates, PH94B, PH10 and AV-101, and we cannot be certain that we will be able to obtain regulatory approval for, or successfully commercialize, any of our current or future product candidates;</w:t>
      </w:r>
    </w:p>
    <w:p>
      <w:pPr>
        <w:ind w:left="6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failures or delays in the commencement or completion of our planned clinical trials, including, among others, clinical studies in our PALISADE Phase 3 program for PH94B in SAD, could delay, prevent or limit our ability to generate revenue and continue our business;</w:t>
      </w: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attract and retain key management and scientific personnel, we may be unable to successfully produce, develop and commercialize our product candidates;</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incurred significant net losses since inception and we will continue to incur substantial operating losses for the foreseeable future;</w:t>
      </w:r>
    </w:p>
    <w:p>
      <w:pPr>
        <w:spacing w:after="0" w:line="33"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we have taken and are taking steps to mitigate them, 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p>
    <w:p>
      <w:pPr>
        <w:spacing w:after="0" w:line="2"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require additional financing to execute our long-term business plan, including further development and commercialization of our CNS pipeline, and to continue to operate as a going concern;</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raising additional capital in equity-based financing transactions will cause substantial dilution to our existing stockholders, may restrict our operations or require us to relinquish rights, and may require us to seek stockholder approval to authorize additional shares of our common stock;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other risks and uncertainties, including those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below.</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unable to effectively manage the impact of these and other risks, our ability to operate and execute our business plan would be substantially impaired. In turn, the value of our securities would be materially reduced.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consider carefully the risks and uncertainties described below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adversely impacted, and may continue to adversely impact our business.</w:t>
      </w:r>
    </w:p>
    <w:p>
      <w:pPr>
        <w:spacing w:after="0" w:line="225"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Beginning in late-2019, a new strain of coronavirus (</w:t>
      </w:r>
      <w:r>
        <w:rPr>
          <w:rFonts w:ascii="Arial" w:cs="Arial" w:eastAsia="Arial" w:hAnsi="Arial"/>
          <w:sz w:val="18"/>
          <w:szCs w:val="18"/>
          <w:i w:val="1"/>
          <w:iCs w:val="1"/>
          <w:color w:val="auto"/>
        </w:rPr>
        <w:t>COVID-19</w:t>
      </w:r>
      <w:r>
        <w:rPr>
          <w:rFonts w:ascii="Arial" w:cs="Arial" w:eastAsia="Arial" w:hAnsi="Arial"/>
          <w:sz w:val="18"/>
          <w:szCs w:val="18"/>
          <w:color w:val="auto"/>
        </w:rPr>
        <w:t>) spread across the world, and the outbreak has since been declared a pandemic by the World Health Organization. The U.S. Secretary of Health and Human Services has also declared a public health emergency in the United States in response to the outbreak. Considerable uncertainty still surrounds COVID-19 and variant strains of the COVID-19 virus and their potential effects, and the extent of and effectiveness of responses taken on international, national and local levels. Measures taken to limit the impact of the pandemic, including shelter-in-place orders, social distancing measures, travel bans and restrictions, and business and government shutdowns, resulted in significant negative economic impacts on a global basis.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Due to the emergence of variant strains of the COVID-19 virus, such as the Delta and Omicron variants, we cannot at this time accurately predict the potential future effects of the pandemic on our operations. Uncertainties remain as to the duration of the pandemic, the success of treatments and vaccines designed to combat the pandemic, and the length and scope of the travel restrictions and business closures imposed by the governments of impacted countries and localities. The continued COVID-19 pandemic, the spread of variant strains of the COVID-19 virus or another highly transmissible and pathogenic infectious disease may lead to the implementation of further responses, including additional travel restrictions, government-imposed quarantines or stay-at-home orders, and other public health safety measures, which may result in further disruptions to our business and operations. The COVID-19 pandemic has impacted our business and may continue to do so as the pandemic persists. Additionally, future outbreaks may have several adverse effects on our business, results of operations and financial condition.</w:t>
      </w:r>
    </w:p>
    <w:p>
      <w:pPr>
        <w:spacing w:after="0" w:line="178" w:lineRule="exact"/>
        <w:rPr>
          <w:sz w:val="20"/>
          <w:szCs w:val="20"/>
          <w:color w:val="auto"/>
        </w:rPr>
      </w:pPr>
    </w:p>
    <w:p>
      <w:pPr>
        <w:jc w:val="both"/>
        <w:ind w:left="660" w:hanging="328"/>
        <w:spacing w:after="0" w:line="290"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Delayed product development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faced, and may continue to face, delays and other disruptions to our ongoing development programs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PH94B, PH10 and AV-101 due to the ongoing COVID-19 pandemic. In addition, regulatory oversight and actions regarding our products may be disrupted or delayed in regions impacted by COVID-19, including the United States and elsewhere, which may impact review and approval timelines for products in development. Although we remain invested in continuing our development programs for our current product candidates, our research and development efforts may be impacted if our employees, our CROs, our CMOs and clinical sites involved in our clinical studies are advised to work remotely as part of social distancing or other safety measures related to the pandemic. Additionally, social distancing measures, stay-at-home orders and other governmental restrictions designed to combat the COVID-19 pandemic may impair our ability to conduct nonclinical and clinical studies, including clinical studies in our PALISADE Phase 3 Program for PH94B in SAD, in a timely manner.</w:t>
      </w:r>
    </w:p>
    <w:p>
      <w:pPr>
        <w:spacing w:after="0" w:line="165" w:lineRule="exact"/>
        <w:rPr>
          <w:rFonts w:ascii="Arial" w:cs="Arial" w:eastAsia="Arial" w:hAnsi="Arial"/>
          <w:sz w:val="16"/>
          <w:szCs w:val="16"/>
          <w:color w:val="auto"/>
        </w:rPr>
      </w:pPr>
    </w:p>
    <w:p>
      <w:pPr>
        <w:jc w:val="both"/>
        <w:ind w:left="660" w:hanging="328"/>
        <w:spacing w:after="0" w:line="290"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Negative impacts on our suppliers and employees</w:t>
      </w:r>
      <w:r>
        <w:rPr>
          <w:rFonts w:ascii="Arial" w:cs="Arial" w:eastAsia="Arial" w:hAnsi="Arial"/>
          <w:sz w:val="16"/>
          <w:szCs w:val="16"/>
          <w:color w:val="auto"/>
        </w:rPr>
        <w:t>: COVID-19 has impacted, and variant strains of COVID-19 or another highly transmissible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pathogenic infectious disease may impact or continue to impact, the health of our employees, contractors or suppliers, reduce the availability of our workforce or those of companies with which we do business, divert our attention toward succession planning, or create disruptions in our supply or distribution networks. Since the beginning of the COVID-19 pandemic, we have experienced delays of the delivery of supplies of active pharmaceutical product (</w:t>
      </w:r>
      <w:r>
        <w:rPr>
          <w:rFonts w:ascii="Arial" w:cs="Arial" w:eastAsia="Arial" w:hAnsi="Arial"/>
          <w:sz w:val="16"/>
          <w:szCs w:val="16"/>
          <w:i w:val="1"/>
          <w:iCs w:val="1"/>
          <w:color w:val="auto"/>
        </w:rPr>
        <w:t>API</w:t>
      </w:r>
      <w:r>
        <w:rPr>
          <w:rFonts w:ascii="Arial" w:cs="Arial" w:eastAsia="Arial" w:hAnsi="Arial"/>
          <w:sz w:val="16"/>
          <w:szCs w:val="16"/>
          <w:color w:val="auto"/>
        </w:rPr>
        <w:t>) required to continue development of PH94B and PH10. Although our supply of raw materials and API remains sufficiently operational, we may experience adverse effects of such events, which may result in a significant, material disruption to clinical development programs and our operations. Additionally, having substantially shifted to remote working arrangements, we also face a heightened risk of cybersecurity attacks or data security incidents and are more dependent on internet and telecommunications access and capabilities.</w:t>
      </w:r>
    </w:p>
    <w:p>
      <w:pPr>
        <w:spacing w:after="0" w:line="165" w:lineRule="exact"/>
        <w:rPr>
          <w:sz w:val="20"/>
          <w:szCs w:val="20"/>
          <w:color w:val="auto"/>
        </w:rPr>
      </w:pPr>
    </w:p>
    <w:p>
      <w:pPr>
        <w:jc w:val="both"/>
        <w:ind w:left="20"/>
        <w:spacing w:after="0" w:line="290" w:lineRule="auto"/>
        <w:rPr>
          <w:sz w:val="20"/>
          <w:szCs w:val="20"/>
          <w:color w:val="auto"/>
        </w:rPr>
      </w:pPr>
      <w:r>
        <w:rPr>
          <w:rFonts w:ascii="Arial" w:cs="Arial" w:eastAsia="Arial" w:hAnsi="Arial"/>
          <w:sz w:val="16"/>
          <w:szCs w:val="16"/>
          <w:color w:val="auto"/>
        </w:rPr>
        <w:t>COVID-19 has also created significant disruption and volatility in national, regional and local economies and markets. Uncertainties related to, and perceived or experienced negative effects from COVID-19, may cause significant volatility or decline in the trading price of our securities, capital markets conditions and general economic conditions. Our future results of operations and liquidity could be adversely impacted by supply chain disruptions and operational challenges faced by our CROs, CMOs, clinical sites involved in our clinical studies and other contractors. The ongoing COVID-19 pandemic, or another highly transmissible and pathogenic infectious disease,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one or more of our current CNS drug candidates and we cannot be certain that we will be able to obtain regulatory approval for, or successfully commercialize any of our product candidates.</w:t>
      </w:r>
    </w:p>
    <w:p>
      <w:pPr>
        <w:spacing w:after="0" w:line="170" w:lineRule="exact"/>
        <w:rPr>
          <w:sz w:val="20"/>
          <w:szCs w:val="20"/>
          <w:color w:val="auto"/>
        </w:rPr>
      </w:pPr>
    </w:p>
    <w:p>
      <w:pPr>
        <w:jc w:val="both"/>
        <w:ind w:left="20"/>
        <w:spacing w:after="0" w:line="268" w:lineRule="auto"/>
        <w:rPr>
          <w:sz w:val="20"/>
          <w:szCs w:val="20"/>
          <w:color w:val="auto"/>
        </w:rPr>
      </w:pPr>
      <w:r>
        <w:rPr>
          <w:rFonts w:ascii="Arial" w:cs="Arial" w:eastAsia="Arial" w:hAnsi="Arial"/>
          <w:sz w:val="17"/>
          <w:szCs w:val="17"/>
          <w:color w:val="auto"/>
        </w:rPr>
        <w:t>We currently have no drug products for sale and may never be able to develop and commercialize marketable drug products. Our business currently depends heavily on the successful development, manufacturing, regulatory approval and commercialization of one or more of our current CNS drug candidates, as well as, but to a more limited extent, our ability to acquire, license or produce, develop and commercialize additional product candidates. Each of our current investigational CNS drug candidates will require substantial additional nonclinical and clinical development, manufacturing and regulatory approval before any of them may be commercialized, and there can be no assurance that any of them will ever achieve regulatory approval. The nonclinical and clinical development of our product candidates are, and the manufacturing and marketing of our product candidates will be, subject to extensive and rigorous review and regulation by numerous government authorities in the U.S. and in other countries where we or our collaborators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permitted to market our product candidates in the U.S. until we receive approval of a New Drug Application (</w:t>
      </w:r>
      <w:r>
        <w:rPr>
          <w:rFonts w:ascii="Arial" w:cs="Arial" w:eastAsia="Arial" w:hAnsi="Arial"/>
          <w:sz w:val="18"/>
          <w:szCs w:val="18"/>
          <w:i w:val="1"/>
          <w:iCs w:val="1"/>
          <w:color w:val="auto"/>
        </w:rPr>
        <w:t>NDA</w:t>
      </w:r>
      <w:r>
        <w:rPr>
          <w:rFonts w:ascii="Arial" w:cs="Arial" w:eastAsia="Arial" w:hAnsi="Arial"/>
          <w:sz w:val="18"/>
          <w:szCs w:val="18"/>
          <w:color w:val="auto"/>
        </w:rPr>
        <w:t>)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187" w:lineRule="exact"/>
        <w:rPr>
          <w:sz w:val="20"/>
          <w:szCs w:val="20"/>
          <w:color w:val="auto"/>
        </w:rPr>
      </w:pPr>
    </w:p>
    <w:p>
      <w:pPr>
        <w:jc w:val="both"/>
        <w:ind w:left="660" w:hanging="328"/>
        <w:spacing w:after="0" w:line="31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75"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FDA advisory committee may recommend, or the FDA may require, a Risk Evaluation and Mitigation Strategies (</w:t>
      </w:r>
      <w:r>
        <w:rPr>
          <w:rFonts w:ascii="Arial" w:cs="Arial" w:eastAsia="Arial" w:hAnsi="Arial"/>
          <w:sz w:val="18"/>
          <w:szCs w:val="18"/>
          <w:i w:val="1"/>
          <w:iCs w:val="1"/>
          <w:color w:val="auto"/>
        </w:rPr>
        <w:t>REMS</w:t>
      </w:r>
      <w:r>
        <w:rPr>
          <w:rFonts w:ascii="Arial" w:cs="Arial" w:eastAsia="Arial" w:hAnsi="Arial"/>
          <w:sz w:val="18"/>
          <w:szCs w:val="18"/>
          <w:color w:val="auto"/>
        </w:rPr>
        <w:t>) safety program as a condition of approval or post-approval;</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FDA advisory committee or the FDA or applicable regulatory agency may determine that there is insufficient evidence of overall effectiveness or safety in a NDA and require additional clinical studies;</w:t>
      </w:r>
    </w:p>
    <w:p>
      <w:pPr>
        <w:spacing w:after="0" w:line="19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we anticipate that certain of our product candidates, including PH94B and PH10,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w:t>
      </w:r>
      <w:r>
        <w:rPr>
          <w:rFonts w:ascii="Arial" w:cs="Arial" w:eastAsia="Arial" w:hAnsi="Arial"/>
          <w:sz w:val="17"/>
          <w:szCs w:val="17"/>
          <w:i w:val="1"/>
          <w:iCs w:val="1"/>
          <w:color w:val="auto"/>
        </w:rPr>
        <w:t>QS</w:t>
      </w:r>
      <w:r>
        <w:rPr>
          <w:rFonts w:ascii="Arial" w:cs="Arial" w:eastAsia="Arial" w:hAnsi="Arial"/>
          <w:sz w:val="17"/>
          <w:szCs w:val="17"/>
          <w:color w:val="auto"/>
        </w:rPr>
        <w:t>) regulations applicable to medical devices. Problems associated with the device component of the combination product candidate may delay or prevent approval.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We have been granted Fast Track designation from the FDA for development of PH94B for the treatment of social anxiety disorder (SAD) and AV-101 for the adjunctive treatment of major depressive disorder (MDD) and for the treatment of neuropathic pain (NP). However, these designations may not actually lead to faster development or regulatory review or approval processes for PH94B or AV-101. Further, there is no guarantee the FDA will grant Fast Track designation for PH94B or AV-101 as a treatment option for other CNS indications or for any of our other product candidates in the future.</w:t>
      </w:r>
    </w:p>
    <w:p>
      <w:pPr>
        <w:spacing w:after="0" w:line="1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In December 2019, the FDA granted Fast Track designation for development of PH94B for the treatment of SAD. However, these FDA Fast Track designations may not lead to a faster development or regulatory review or approval process for PH94B or AV-101 and the FDA may withdraw Fast Track designation of PH94B or AV-101 if it believes that the respective designation is no longer supported by data from our clinical development programs.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apply for Fast Track designation for PH94B, PH10 and AV-101 as a treatment option for other CNS indications. The FDA has broad discretion whether or not to grant a Fast Track designation, and even if we believe PH94B, PH10, AV-101 or other product candidates may be eligible for this designation, we cannot be sure that the FDA will grant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results of preclinical studies and early clinical trials of PH94B, PH10, AV-101 and/or our other future product candidates, if any, including positive results, may not be predictive of the results of later-stage clinical trials. PH94B, PH10, AV-101 or any other future product candidates in later stages of clinical development may fail to show the desired safety and efficacy results despite having progressed through nonclinical studies and initial clinical trials.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or approval from a similar regulatory authority in another country. With respect to our current product candidates, if our PALISADE Phase 3 Program, including PALISADE-1, any future nonclinical or clinical study of PH94B, PH10 or AV-101 fail(s) to produce positive results, the development timeline and regulatory approval and commercialization prospects for PH94B, PH10 or AV-101 and, correspondingly, our business and financial prospects, could be materially adversely affected.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changes in planned timing or nature of clinical trials compared to completed clinical trials could impede our ability to meet our clinical development objectives for our product candidates</w:t>
      </w:r>
      <w:r>
        <w:rPr>
          <w:rFonts w:ascii="Arial" w:cs="Arial" w:eastAsia="Arial" w:hAnsi="Arial"/>
          <w:sz w:val="18"/>
          <w:szCs w:val="18"/>
          <w:color w:val="auto"/>
        </w:rPr>
        <w: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example, the timing of planned clinical trials may be affected by delays caused by the ongoing COVID-19 pandemic, including potential delays in recruitment and enrollment in the PALISADE Phase 3 Program and other planned clinical and nonclinical studies or supply chain disruptions experienced by certain of our CMOs and/or CROs. In addition, clinical development of our products may be further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 In addition, health and safety precautions at clinical sites related to the COVID-19 pandemic could cause us to incur additional costs or delay initiation or completion of planned clinical and/or nonclinical trials.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serious adverse events or other undesirable side effects or safety concerns attributable to our product candidates occur, including PH94B in the PALISADE Phase 3 Program, they may adversely affect or delay our clinical development and commercialization of PH94B, PH10 or AV-101.</w:t>
      </w:r>
    </w:p>
    <w:p>
      <w:pPr>
        <w:spacing w:after="0" w:line="124" w:lineRule="exact"/>
        <w:rPr>
          <w:sz w:val="20"/>
          <w:szCs w:val="20"/>
          <w:color w:val="auto"/>
        </w:rPr>
      </w:pPr>
    </w:p>
    <w:p>
      <w:pPr>
        <w:jc w:val="both"/>
        <w:ind w:left="20"/>
        <w:spacing w:after="0" w:line="269" w:lineRule="auto"/>
        <w:rPr>
          <w:sz w:val="20"/>
          <w:szCs w:val="20"/>
          <w:color w:val="auto"/>
        </w:rPr>
      </w:pPr>
      <w:r>
        <w:rPr>
          <w:rFonts w:ascii="Arial" w:cs="Arial" w:eastAsia="Arial" w:hAnsi="Arial"/>
          <w:sz w:val="17"/>
          <w:szCs w:val="17"/>
          <w:color w:val="auto"/>
        </w:rPr>
        <w:t>Undesirable side effects or safety concerns caused by our product candidates could cause us or regulatory authorities to interrupt, delay or halt our clinical trials and could result in a more restrictive label or the delay or denial of regulatory approval. Although no treatment-related serious adverse events (</w:t>
      </w:r>
      <w:r>
        <w:rPr>
          <w:rFonts w:ascii="Arial" w:cs="Arial" w:eastAsia="Arial" w:hAnsi="Arial"/>
          <w:sz w:val="17"/>
          <w:szCs w:val="17"/>
          <w:i w:val="1"/>
          <w:iCs w:val="1"/>
          <w:color w:val="auto"/>
        </w:rPr>
        <w:t>SAEs</w:t>
      </w:r>
      <w:r>
        <w:rPr>
          <w:rFonts w:ascii="Arial" w:cs="Arial" w:eastAsia="Arial" w:hAnsi="Arial"/>
          <w:sz w:val="17"/>
          <w:szCs w:val="17"/>
          <w:color w:val="auto"/>
        </w:rPr>
        <w:t>) were reported in any clinical trials of any of our product candidates to date, if treatment-related SAEs or other undesirable side effects or safety concerns, or unexpected characteristics attributable to PH94B, PH10 and/or AV-101, are reported in any future clinical trials, including clinical studies in the PALISADE Phase 3 Program for PH94B in SAD, and/or other clinical trials involving our drug candidates, they may adversely affect or delay our clinical development and commercialization of the effected product candidate,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ectPr>
          <w:pgSz w:w="11900" w:h="16838" w:orient="portrait"/>
          <w:cols w:equalWidth="0" w:num="1">
            <w:col w:w="11240"/>
          </w:cols>
          <w:pgMar w:left="320" w:top="125" w:right="339" w:bottom="106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06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spacing w:after="0" w:line="14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and require us to take them off the market;</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and Mitigation Strategy (</w:t>
      </w:r>
      <w:r>
        <w:rPr>
          <w:rFonts w:ascii="Arial" w:cs="Arial" w:eastAsia="Arial" w:hAnsi="Arial"/>
          <w:sz w:val="18"/>
          <w:szCs w:val="18"/>
          <w:i w:val="1"/>
          <w:iCs w:val="1"/>
          <w:color w:val="auto"/>
        </w:rPr>
        <w:t>REMS</w:t>
      </w:r>
      <w:r>
        <w:rPr>
          <w:rFonts w:ascii="Arial" w:cs="Arial" w:eastAsia="Arial" w:hAnsi="Arial"/>
          <w:sz w:val="18"/>
          <w:szCs w:val="18"/>
          <w:color w:val="auto"/>
        </w:rPr>
        <w:t>) drug safety program or REMS-like plan to ensure that the benefits of the product outweigh its risks;</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distributed or administered, conduct additional clinical trials or change the labeling of a product;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required to conduct additional post-marketing studies or surveillance;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regulatory investigations, government enforcement actions, litigation or product liability claims;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products may become less competitive or our reputation may suffer.</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nonclinical and clinical studies of PH94B, PH10, AV-101 or other our product candidates could result in increased costs to us and could delay, prevent or limit our ability to generate revenue and continue our business.</w:t>
      </w:r>
    </w:p>
    <w:p>
      <w:pPr>
        <w:spacing w:after="0" w:line="124" w:lineRule="exact"/>
        <w:rPr>
          <w:sz w:val="20"/>
          <w:szCs w:val="20"/>
          <w:color w:val="auto"/>
        </w:rPr>
      </w:pPr>
    </w:p>
    <w:p>
      <w:pPr>
        <w:jc w:val="both"/>
        <w:ind w:left="20"/>
        <w:spacing w:after="0" w:line="287" w:lineRule="auto"/>
        <w:rPr>
          <w:sz w:val="20"/>
          <w:szCs w:val="20"/>
          <w:color w:val="auto"/>
        </w:rPr>
      </w:pPr>
      <w:r>
        <w:rPr>
          <w:rFonts w:ascii="Arial" w:cs="Arial" w:eastAsia="Arial" w:hAnsi="Arial"/>
          <w:sz w:val="16"/>
          <w:szCs w:val="16"/>
          <w:color w:val="auto"/>
        </w:rPr>
        <w:t>In addition to PALISADE-1 and PALISADE-2, we will need to complete our PALISADE Long-term Safety Study, as well as certain other smaller clinical and nonclinical studies prior to our potential submission of an NDA for regulatory approval of PH94B as an acute treatment of anxiety in adults with SAD, or for any other anxiety disorder. For PH10, at present, we believe we will need to complete at least one additional Phase 2B clinical study, two adequate and well-controlled Phase 3 clinical trials, as well as standard nonclinical and long-term clinical safety studies, as well as other smaller clinical studies prior to the potential submission of a NDA for regulatory approval of PH10 as a stand-alone rapid-onset treatment for MDD, or any other depression disorder. For AV-101 in combination with probenecid, at present, for treatment of any CNS indication, we believe we will need to complete our ongoing exploratory Phase 1B clinical study, two Phase 2 clinical studies, two adequate and well-controlled Phase 3 clinical trials, additional toxicology and other standard nonclinical and long-term clinical safety studies, as well as certain standard smaller clinical studies prior to the potential submission of an NDA for regulatory approval in any CNS indication. Successful completion of our nonclinical and clinical trials is a prerequisite to submitting an NDA and, consequently, the ultimate approval required before commercial marketing of any product candidate we may develop. We do not know whether any of our future-planned nonclinical and clinical trials of PH94B, PH10, AV-101 or any other product candidate will be completed on schedule, if at all, as the commencement and completion of nonclinical and clinical trials can be delayed or prevented for a number of reasons, including, among others:</w:t>
      </w:r>
    </w:p>
    <w:p>
      <w:pPr>
        <w:spacing w:after="0" w:line="168"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due to events resulting from the ongoing COVID-19 pandemic, including potential delays in recruitment and enrollment in our PALISADE Phase 3 Program and other planned clinical and nonclinical studies of our product candidates;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regulatory authority may deny permission to proceed with planned clinical trials or any other clinical trials we may initiate, or may place a planned or ongoing clinical trial on hold;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filing or receiving approvals from regulatory authorities of additional INDs that may be required;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or ambiguous results from nonclinical or clinical studies;</w:t>
      </w:r>
    </w:p>
    <w:p>
      <w:pPr>
        <w:spacing w:after="0" w:line="279"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severe or unexpected adverse drug-related side effects experienced by patients in a clinical trial;</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7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Arial" w:cs="Arial" w:eastAsia="Arial" w:hAnsi="Arial"/>
          <w:sz w:val="17"/>
          <w:szCs w:val="17"/>
          <w:i w:val="1"/>
          <w:iCs w:val="1"/>
          <w:color w:val="auto"/>
        </w:rPr>
        <w:t>DSMB</w:t>
      </w:r>
      <w:r>
        <w:rPr>
          <w:rFonts w:ascii="Arial" w:cs="Arial" w:eastAsia="Arial" w:hAnsi="Arial"/>
          <w:sz w:val="17"/>
          <w:szCs w:val="17"/>
          <w:color w:val="auto"/>
        </w:rPr>
        <w:t>), overseeing the clinical trial at issue or other regulatory authorities due to a number of factors, including, among others:</w:t>
      </w:r>
    </w:p>
    <w:p>
      <w:pPr>
        <w:spacing w:after="0" w:line="16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regulatory authority that reveals deficiencies or violations that require us to undertake corrective action, including the imposition of a clinical hold;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unforeseen safety issues, including any that could be identified in nonclinical carcinogenicity studies, adverse side effects or lack of effectiveness;</w:t>
      </w:r>
    </w:p>
    <w:p>
      <w:pPr>
        <w:spacing w:after="0" w:line="30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ectPr>
          <w:pgSz w:w="11900" w:h="16838" w:orient="portrait"/>
          <w:cols w:equalWidth="0" w:num="1">
            <w:col w:w="11240"/>
          </w:cols>
          <w:pgMar w:left="320" w:top="125" w:right="339" w:bottom="0" w:gutter="0" w:footer="0" w:header="0"/>
        </w:sectPr>
      </w:pPr>
    </w:p>
    <w:bookmarkStart w:id="48" w:name="page49"/>
    <w:bookmarkEnd w:id="48"/>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Changes in regulatory requirements, regulatory guidance or unanticipated events during our nonclinical studies and clinical trials of PH94B, PH10, AV-101 or other CNS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Changes in regulatory requirements, guidance or unanticipated events during our nonclinical studies and clinical trials of PH94B, PH10, AV-101 or other CNS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PH94B, PH10, AV-101 or other CNS product candidates may be harmed and our ability to generate product revenue will be delayed.</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We rely, and expect that we will continue to rely, on third parties to conduct our nonclinical and clinical trials of our current CNS product candidates and will continue to do so for any other future CNS product candidates. If these third parties do not successfully carry out their contractual duties and/or meet expected deadlines, completion of our nonclinical or clinical trials and development of PH94B, PH10, AV-101 or other CNS future product candidates may be delayed and we may not be able to obtain regulatory approval for or commercialize PH94B, PH10, AV-101 or other future CNS product candidates and our business could be substantially harmed.</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By strategic design, we do not have the extensive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CROs and other third parties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in coordinating activities. CROs and other outside parties may:</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experience disruptions to their operations, such as reduced staffing and supply chain disruptions, as a result of the ongoing COVID-19 pandemic;</w:t>
      </w:r>
    </w:p>
    <w:p>
      <w:pPr>
        <w:spacing w:after="0" w:line="302"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or independent investigators does not relieve us of our regulatory responsibilities. We and our CROs, and any investigator in an investigator-sponsored study are required to comply with regulations and guidelines, including current Good Clinical Practice regulations (</w:t>
      </w:r>
      <w:r>
        <w:rPr>
          <w:rFonts w:ascii="Arial" w:cs="Arial" w:eastAsia="Arial" w:hAnsi="Arial"/>
          <w:sz w:val="16"/>
          <w:szCs w:val="16"/>
          <w:i w:val="1"/>
          <w:iCs w:val="1"/>
          <w:color w:val="auto"/>
        </w:rPr>
        <w:t>cGCPs</w:t>
      </w:r>
      <w:r>
        <w:rPr>
          <w:rFonts w:ascii="Arial" w:cs="Arial" w:eastAsia="Arial" w:hAnsi="Arial"/>
          <w:sz w:val="16"/>
          <w:szCs w:val="16"/>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Baylor Study and other investigator-sponsored clinical studies, we cannot control the amount and timing of resources these third-parties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our relationships with one or more of our third-party collaborators terminates, we may not be able to enter into arrangements with alternative third-party collaborators. If such third-party collaborators, including our CROs,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completely on third-parties to manufacture, formulate, analyze, hold and distribute supplies of our CNS product candidates for all nonclinical and clinical studies, and we intend to continue to rely on third parties to produce all nonclinical, clinical and commercial supplies of our CNS product candidates in the future.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By strategic design, we do not currently have, nor do we plan to acquire or develop, extensive internal infrastructure or technical capabilities to manufacture, formulate, analyze, hold or distribute supplies of our product candidates, for use in nonclinical and clinical studies or commercial scale. As a result, with respect to all of our product candidates, we rely, and will continue to rely, completely on CMOs to manufacture API and formulate, hold and distribute final drug product. The facilities used by our CMOs to manufacture PH94B, PH10 and AV-101 API and formulate PH94B, PH10 and AV-101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do not directly control the manufacturing process or the supply or quality of materials used in the manufacturing, analysis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due to supply chain disruptions caused by the ongoing COVID-19 pandemic or otherwise, or successfully manufacture our product candidates, including PH94B, PH10 and AV-101 API and finished drug product, that conforms to our specifications and the strict regulatory requirements of the FDA or applicable foreign regulatory agencies, production of sufficient supplies of our product candidates, including PH94B, PH10 and AV-101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PH94B, PH10 and AV-101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respect to PH94B, PH10 and AV-101, we do not yet have long-term supply agreements in place with our CMOs and each batch of PH94B, PH10 and AV-101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PH94B and PH10, and the current and projected supply of PH94B, PH10 and AV-101 API and finished drug product will be adequate to support our planned nonclinical and clinical studies of PH94B, PH10 and AV-101, no assurance can be given that unanticipated supply shortages or CMO-related delays in the manufacture and formulation of PH94B, PH10 or AV-101 API and/or finished drug product will not occur in the future.</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Additionally, we anticipate that PH94B and PH10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Arial" w:cs="Arial" w:eastAsia="Arial" w:hAnsi="Arial"/>
          <w:sz w:val="17"/>
          <w:szCs w:val="17"/>
          <w:i w:val="1"/>
          <w:iCs w:val="1"/>
          <w:color w:val="auto"/>
        </w:rPr>
        <w:t>QSR</w:t>
      </w:r>
      <w:r>
        <w:rPr>
          <w:rFonts w:ascii="Arial" w:cs="Arial" w:eastAsia="Arial" w:hAnsi="Arial"/>
          <w:sz w:val="17"/>
          <w:szCs w:val="17"/>
          <w:color w:val="auto"/>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and comparable foreign regulatory authorities pursuant to inspections that will or may be conducted after we submit our NDA.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PH94B, PH10, AV-101 or any other CNS product candidate in the U.S., we may never receive regulatory approval to market PH94B, PH10, AV-101 or any other CNS product candidate outside of the U.S.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order to market PH94B, PH10, AV-101 or any other CNS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any of our CNS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Before we can commercialize our product candidates in the U.S. or any market outside the U.S., the U.S. Drug Enforcement Administration (</w:t>
      </w:r>
      <w:r>
        <w:rPr>
          <w:rFonts w:ascii="Arial" w:cs="Arial" w:eastAsia="Arial" w:hAnsi="Arial"/>
          <w:sz w:val="17"/>
          <w:szCs w:val="17"/>
          <w:i w:val="1"/>
          <w:iCs w:val="1"/>
          <w:color w:val="auto"/>
        </w:rPr>
        <w:t>DEA</w:t>
      </w:r>
      <w:r>
        <w:rPr>
          <w:rFonts w:ascii="Arial" w:cs="Arial" w:eastAsia="Arial" w:hAnsi="Arial"/>
          <w:sz w:val="17"/>
          <w:szCs w:val="17"/>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including PH94B, PH10 and AV-101 will not be regulated as controlled substances.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any of our product candidates are regulated as controlled substances, depending on the DEA controlled substance schedule in which the product candidates are placed or that of its foreign counterpart,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establish broad sales and marketing capabilities on our own or enter into agreements with third parties to market and sell our CNS product candidates, we may not be able to generate any revenue.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currently have limited internal resources for the sale, marketing and distribution of pharmaceutical products, and we may not be able to create broad internal capabilities in the foreseeable future. Therefore, to market our CNS product candidates, if approved by the FDA or any other regulatory body, we must establish broad internal capabilities related to sales, marketing, managerial and other non-technical capabilities relating to the commercialization of our product candidates or make contractual arrangements with third parties to perform such services, prior to market approval. If we are unable to establish adequate internal sales, marketing and distribution capabilities, or if we are unable to do so contractually on commercially reasonable terms, our business, results of operations, financial condition and prospects will be materially adversely affected.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CNS product candidates, our product candidates may not achieve broad market acceptance, which would limit the revenue that we generate from their sales.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commercial success of our CNS product candidates, if approved by the FDA or other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84" w:lineRule="exact"/>
        <w:rPr>
          <w:sz w:val="20"/>
          <w:szCs w:val="20"/>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limitations or warnings contained in the labeling approved for our product candidates by the FDA or other applicable regulatory authorities;</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CNS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CNS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our product candidates are determined to cause undesirable side effects and safety concerns, we or regulatory authorities may interrupt, delay or halt nonclinical studies and clinical trials and could result in a more restrictive label or the delay or denial of regulatory approval by regulatory authorities.</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5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receive marketing approval for our CNS product candidates, we may still face future development and regulatory difficulties.</w:t>
      </w:r>
    </w:p>
    <w:p>
      <w:pPr>
        <w:spacing w:after="0" w:line="237" w:lineRule="exact"/>
        <w:rPr>
          <w:sz w:val="20"/>
          <w:szCs w:val="20"/>
          <w:color w:val="auto"/>
        </w:rPr>
      </w:pPr>
    </w:p>
    <w:p>
      <w:pPr>
        <w:jc w:val="both"/>
        <w:ind w:left="20"/>
        <w:spacing w:after="0" w:line="270" w:lineRule="auto"/>
        <w:rPr>
          <w:sz w:val="20"/>
          <w:szCs w:val="20"/>
          <w:color w:val="auto"/>
        </w:rPr>
      </w:pPr>
      <w:r>
        <w:rPr>
          <w:rFonts w:ascii="Arial" w:cs="Arial" w:eastAsia="Arial" w:hAnsi="Arial"/>
          <w:sz w:val="17"/>
          <w:szCs w:val="17"/>
          <w:color w:val="auto"/>
        </w:rPr>
        <w:t>Even if we receive marketing approval for our CNS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drug safety program. Any REMS or comparable drug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Competing therapies could emerge adversely affecting our opportunity to generate revenue from the sale of our CNS product candidates.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 in the future.</w:t>
      </w:r>
    </w:p>
    <w:p>
      <w:pPr>
        <w:spacing w:after="0" w:line="187" w:lineRule="exact"/>
        <w:rPr>
          <w:sz w:val="20"/>
          <w:szCs w:val="20"/>
          <w:color w:val="auto"/>
        </w:rPr>
      </w:pPr>
    </w:p>
    <w:p>
      <w:pPr>
        <w:jc w:val="both"/>
        <w:ind w:left="20"/>
        <w:spacing w:after="0" w:line="254" w:lineRule="auto"/>
        <w:rPr>
          <w:sz w:val="20"/>
          <w:szCs w:val="20"/>
          <w:color w:val="auto"/>
        </w:rPr>
      </w:pPr>
      <w:r>
        <w:rPr>
          <w:rFonts w:ascii="Arial" w:cs="Arial" w:eastAsia="Arial" w:hAnsi="Arial"/>
          <w:sz w:val="18"/>
          <w:szCs w:val="18"/>
          <w:color w:val="auto"/>
        </w:rPr>
        <w:t>Currently, management is unaware of any FDA-approved rapid-onset, acute treatment of anxiety in adults with SAD having the same mechanism of pharmacological action and safety profile as PH94B. Also, management is currently unaware of any FDA-approved oral treatment for MDD having the same mechanism of pharmacological action and safety profile as our intranasally-administered PH10 or our orally-administered AV-101 in combination with probenecid. However, new antidepressant products with other mechanisms of pharmacological action or products approved for other indications, including the FDA-approved anesthetic ketamine hydrochloride administered intravenously, are being or may be used for treatment of MDD, as well as other CNS indications for which PH10 or AV-101 in combination with probenecid may have therapeutic potential. Additionally, other non-pharmaceutical treatment options, such psychotherapy and electroconvulsive therapy (</w:t>
      </w:r>
      <w:r>
        <w:rPr>
          <w:rFonts w:ascii="Arial" w:cs="Arial" w:eastAsia="Arial" w:hAnsi="Arial"/>
          <w:sz w:val="18"/>
          <w:szCs w:val="18"/>
          <w:i w:val="1"/>
          <w:iCs w:val="1"/>
          <w:color w:val="auto"/>
        </w:rPr>
        <w:t>ECT</w:t>
      </w:r>
      <w:r>
        <w:rPr>
          <w:rFonts w:ascii="Arial" w:cs="Arial" w:eastAsia="Arial" w:hAnsi="Arial"/>
          <w:sz w:val="18"/>
          <w:szCs w:val="18"/>
          <w:color w:val="auto"/>
        </w:rPr>
        <w:t>) are used before or instead of standard antidepressant medications to treat patients with MDD.</w:t>
      </w:r>
    </w:p>
    <w:p>
      <w:pPr>
        <w:spacing w:after="0" w:line="192" w:lineRule="exact"/>
        <w:rPr>
          <w:sz w:val="20"/>
          <w:szCs w:val="20"/>
          <w:color w:val="auto"/>
        </w:rPr>
      </w:pPr>
    </w:p>
    <w:p>
      <w:pPr>
        <w:jc w:val="both"/>
        <w:ind w:left="20"/>
        <w:spacing w:after="0" w:line="273" w:lineRule="auto"/>
        <w:rPr>
          <w:sz w:val="20"/>
          <w:szCs w:val="20"/>
          <w:color w:val="auto"/>
        </w:rPr>
      </w:pPr>
      <w:r>
        <w:rPr>
          <w:rFonts w:ascii="Arial" w:cs="Arial" w:eastAsia="Arial" w:hAnsi="Arial"/>
          <w:sz w:val="17"/>
          <w:szCs w:val="17"/>
          <w:color w:val="auto"/>
        </w:rPr>
        <w:t>With respect to PH94B and current treatment options for SAD in the U.S., our competition may include, but is not limited to, current generic oral antidepressants approved by the FDA for treatment of SAD, as well as certain classes of drugs prescribed on an off-label basis for treatment of SAD, including benzodiazepines such as alprazolam, and beta blockers such as propranolol, and certain investigational oral drug candidates in Phase 2 development. In the field of new generation, oral treatments for adult patients with MDD, we believe our principal competitors may be Axsome, Alkermes, Relmada and Sage. Additional potential competitors may include, but not be limited to, academic and private commercial clinics providing intravenous ketamine therapy on an off-label basis and Janssen’s intranasally-administered esketamine.</w:t>
      </w:r>
    </w:p>
    <w:p>
      <w:pPr>
        <w:spacing w:after="0" w:line="178" w:lineRule="exact"/>
        <w:rPr>
          <w:sz w:val="20"/>
          <w:szCs w:val="20"/>
          <w:color w:val="auto"/>
        </w:rPr>
      </w:pPr>
    </w:p>
    <w:p>
      <w:pPr>
        <w:jc w:val="both"/>
        <w:ind w:left="20"/>
        <w:spacing w:after="0" w:line="285" w:lineRule="auto"/>
        <w:rPr>
          <w:sz w:val="20"/>
          <w:szCs w:val="20"/>
          <w:color w:val="auto"/>
        </w:rPr>
      </w:pPr>
      <w:r>
        <w:rPr>
          <w:rFonts w:ascii="Arial" w:cs="Arial" w:eastAsia="Arial" w:hAnsi="Arial"/>
          <w:sz w:val="16"/>
          <w:szCs w:val="16"/>
          <w:color w:val="auto"/>
        </w:rPr>
        <w:t>Many of our potential competitors, alone or with their collaborators, have substantially greater financial, technical and human resources than we do and significantly greater experience in the discovery and development, obtaining FDA and other regulatory approvals, and the commercialization of investigational product candidates.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and two oral drug candidates in Phase 2 development that act on the alpha-7 nicotinic acetylcholine receptor, one in development by Bionomics and the other in development by Vanda. With respect to PH10 and AV-101 in combination with probenecid for treatment of depression disorders, including MDD, and AV-101 in combination with probenecid for treatment of certain neurological disorders, including levodopa-induced dyskinesia associated with therapy for Parkinson’s disease, neuropathic pain, and epilepsy, we believe a range of pharmaceutical and biotechnology companies have programs to develop new drug candidates and/or medical device technologies for such indications, including, but not limited to, Abbott Laboratories, Acadia, Allergan, Alkermes, Aptynix, AstraZeneca, Axsome, Eli Lilly, GlaxoSmithKline, IntraCellular, Janssen, Lundbeck, Merck, Neurocrine, Novartis, Ono, Otsuka, Pfizer, Relmada, Roche, Sage, Sumitomo Dainippon, Takeda and Xenon,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70"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Our drug development programs and the potential commercialization of our investigational product candidates will require substantial additional cash to fund expenses. For some of our product candidates, we may decide to collaborate with pharmaceutical and biotechnology companies for the development and potential commercialization of those product candidates, such as the AffaMed Agreement.</w:t>
      </w:r>
    </w:p>
    <w:p>
      <w:pPr>
        <w:spacing w:after="0" w:line="184" w:lineRule="exact"/>
        <w:rPr>
          <w:sz w:val="20"/>
          <w:szCs w:val="20"/>
          <w:color w:val="auto"/>
        </w:rPr>
      </w:pPr>
    </w:p>
    <w:p>
      <w:pPr>
        <w:jc w:val="both"/>
        <w:ind w:left="20"/>
        <w:spacing w:after="0" w:line="273" w:lineRule="auto"/>
        <w:rPr>
          <w:sz w:val="20"/>
          <w:szCs w:val="20"/>
          <w:color w:val="auto"/>
        </w:rPr>
      </w:pPr>
      <w:r>
        <w:rPr>
          <w:rFonts w:ascii="Arial" w:cs="Arial" w:eastAsia="Arial" w:hAnsi="Arial"/>
          <w:sz w:val="17"/>
          <w:szCs w:val="17"/>
          <w:color w:val="auto"/>
        </w:rPr>
        <w:t>We may derive revenue from research and development fees, license fees, milestone payments and royalties under any collaborative arrangement into which we enter, including the AffaMed Agreement and the Bayer Agreement.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CNS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CNS product candidates with therapeutic and commercial potential. We may fail to pursue additional development opportunities for PH94B, PH10 or AV-101, or identify additional CNS product candidates for development and commercialization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strategically focus on a limited number of research and development programs and product candidates and are currently focused primarily on development of PH94B, PH10 and AV-101. As a result, we may forego or delay pursuit of opportunities with other product candidates or for other potential CNS-related indications for PH94B, PH10 and/or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do not currently have any products on the market, once we begin commercializing our CNS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64" w:lineRule="exact"/>
        <w:rPr>
          <w:sz w:val="20"/>
          <w:szCs w:val="20"/>
          <w:color w:val="auto"/>
        </w:rPr>
      </w:pPr>
    </w:p>
    <w:p>
      <w:pPr>
        <w:jc w:val="both"/>
        <w:ind w:left="660" w:hanging="328"/>
        <w:spacing w:after="0" w:line="31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75"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1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21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21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21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Corrupt Practices Act and its application to marketing and selling practices as well as to clinical trials.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such as PH94B, PH10 and AV-101, if approved. In particular, a product may not be promoted for uses that are not approved by the FDA or such other regulatory agencies as reflected in the product’s approved labeling. For example, if we receive FDA marketing approval for PH94B as an acute treatment of anxiety in adults with SAD, physicians may prescribe PH94B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ectPr>
          <w:pgSz w:w="11900" w:h="16838" w:orient="portrait"/>
          <w:cols w:equalWidth="0" w:num="1">
            <w:col w:w="11240"/>
          </w:cols>
          <w:pgMar w:left="320" w:top="125"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CNS product candidates.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seek FDA Orphan Drug designation for one or more of our CNS product candidates. Even if we have obtained FDA Orphan Drug designation for a product candidate, there may be limits to the regulatory exclusivity afforded by such designation.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in the future, choose to seek FDA Orphan Drug designation for one or more of our current or future CNS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such as our collaboration with AffaMed to develop and commercialize PH94B in key Asian markets. If we commercialize our product candidates in foreign markets, we would be subject to additional risks and uncertainties, including:</w:t>
      </w:r>
    </w:p>
    <w:p>
      <w:pPr>
        <w:spacing w:after="0" w:line="18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different standards of patentability and different availability of prior art in some foreign countries as compared with the U.S.;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 development-stage biopharmaceutical company with no recurring revenues from product sales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development-stage biopharmaceutical company. We currently have no approved products and no recurring revenues from product sales,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or continue to accomplish the following fundamental objectives, either on our own or with collaborators:</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develop and obtain required regulatory approvals for commercialization of PH94B, PH10, AV-101 and/or other CNS product candidates;</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302"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and</w:t>
      </w:r>
    </w:p>
    <w:p>
      <w:pPr>
        <w:spacing w:after="0" w:line="27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future success is highly dependent upon our ability to successfully develop and commercialize, on our own or with collaborators, any of our current CNS product candidates, acquire or license additional CNS product candidates, and we cannot provide any assurance that we will successfully develop and commercialize PH94B, PH10, or AV-101 or acquire or license additional CNS product candidates, or that, if approved, PH94B, PH10, AV-101 or any other CNS product candidate will be successfully commercialized.</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Business development and research and development programs designed to identify, acquire or license additional product candidates require substantial technical, financial and human resources, whether or not any additional CNS product candidate is acquired or licensed. We are in the beginning stages of building a sales and marketing infrastructure, including hiring certain executive officers and other employees that have pharmaceutical sales, marketing or distribution experience. In addition, if beneficial, we may seek to collaborate with others to develop and commercialize PH94B, PH10, AV-101, and/or other CNS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PH94B, PH10, AV-101, or other CNS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incurred significant net losses in each fiscal year since our inception in 1998, including net losses of approximately $17.9 million and $20.8 million during our fiscal years ended March 31, 2021 and 2020, respectively, and approximately $31.1 million during the nine months ended December 31, 2021. At December 31, 2021, we had an accumulated deficit of approximately $250.9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planned nonclinical and clinical studies, and out-sourced manufacturing, of our product candidates. In addition, if we obtain marketing approval for our product candidates, we expect to incur significant commercial operations expenses, including medical education, sales and marketing expenses.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become profitable depends upon our ability to generate recurring revenues. Through December 31, 2021, we have generated approximately $22.7 million in revenues, consisting of receipts of non-dilutive cash payments from collaborators, sublicense revenue, including the $5.0 million cash payment received under the AffaMed Agreement during the quarter ended September 30, 2020, a substantial portion of which remains recorded as deferred revenue at December 31, 2021,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PH94B, PH10, AV-101 or another future CNS product candidate, or we enter into one or more development and commercialization agreements with respect to PH94B, PH10, AV-101 or one or more other future CNS product candidates. Our ability to generate recurring revenue depends on a number of factors, including, but not limited to, our ability to:</w:t>
      </w:r>
    </w:p>
    <w:p>
      <w:pPr>
        <w:spacing w:after="0" w:line="16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initiate and successfully complete all safety studies required to obtain U.S. and foreign marketing approval for our CNS product candidates;</w:t>
      </w:r>
    </w:p>
    <w:p>
      <w:pPr>
        <w:spacing w:after="0" w:line="290"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complete and compose successful regulatory submissions such as NDAs or comparable documents for both the U.S. and foreign jurisdictions;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commercialize our CNS product candidates, if approved, by developing a sales force and/or entering into collaborations with third parties for sales and marketing capabilities;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 market acceptance of our CNS product candidates in the medical community and with third-party payors.</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PALISADE Phase 3 Program for PH94B for the acute treatment of anxiety in adults with SAD is successful, unless we enter into a contractual arrangement for the commercialization of PH94B in the U.S., we expect to incur significant sales and marketing costs as we prepare to commercialize and ultimately commercialize PH94B on our own in the U.S. Even if we initiate and successfully complete the PALISADE Phase 3 Program and similar programs for our other CNS product candidates, and all of our CNS product candidates are approved for commercial sale, and despite expending substantial capital for sales and marketing costs, PH94B and our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long-term business plan.</w:t>
      </w:r>
    </w:p>
    <w:p>
      <w:pPr>
        <w:spacing w:after="0" w:line="225"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From our inception through 2019, a substantial portion of our resources were dedicated to research and development of AV-101 and VistaStem’s stem cell technology platform. In particular, (i) for AV-101, we expended substantial resources on research and development of methods and processes relating to the production of API and drug product, IND-enabling preclinical studies, Phase 1 clinical safety studies, and a Phase 2 clinical study and (ii) for VistaStem, development of cardiac stem cell technology.</w:t>
      </w:r>
    </w:p>
    <w:p>
      <w:pPr>
        <w:spacing w:after="0" w:line="187" w:lineRule="exact"/>
        <w:rPr>
          <w:sz w:val="20"/>
          <w:szCs w:val="20"/>
          <w:color w:val="auto"/>
        </w:rPr>
      </w:pPr>
    </w:p>
    <w:p>
      <w:pPr>
        <w:jc w:val="both"/>
        <w:ind w:left="20"/>
        <w:spacing w:after="0" w:line="296" w:lineRule="auto"/>
        <w:rPr>
          <w:sz w:val="20"/>
          <w:szCs w:val="20"/>
          <w:color w:val="auto"/>
        </w:rPr>
      </w:pPr>
      <w:r>
        <w:rPr>
          <w:rFonts w:ascii="Arial" w:cs="Arial" w:eastAsia="Arial" w:hAnsi="Arial"/>
          <w:sz w:val="16"/>
          <w:szCs w:val="16"/>
          <w:color w:val="auto"/>
        </w:rPr>
        <w:t>Since 2019, we have expended a considerable portion of our resources for research, development, manufacturing and regulatory expenses related to the development of PH94B, including costs related to the PALISADE Phase 3 Program, and PH10. We expect to continue to expend substantial resources for the foreseeable future developing and commercializing PH94B, PH10 and AV-101 on our own and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161" w:lineRule="exact"/>
        <w:rPr>
          <w:sz w:val="20"/>
          <w:szCs w:val="20"/>
          <w:color w:val="auto"/>
        </w:rPr>
      </w:pPr>
    </w:p>
    <w:p>
      <w:pPr>
        <w:jc w:val="both"/>
        <w:ind w:left="20"/>
        <w:spacing w:after="0" w:line="293" w:lineRule="auto"/>
        <w:rPr>
          <w:sz w:val="20"/>
          <w:szCs w:val="20"/>
          <w:color w:val="auto"/>
        </w:rPr>
      </w:pPr>
      <w:r>
        <w:rPr>
          <w:rFonts w:ascii="Arial" w:cs="Arial" w:eastAsia="Arial" w:hAnsi="Arial"/>
          <w:sz w:val="16"/>
          <w:szCs w:val="16"/>
          <w:color w:val="auto"/>
        </w:rPr>
        <w:t>Although we had cash and cash equivalents of approximately $83.7 million at December 31, 2021, should the clinical development and regulatory initiatives in our PALISADE Phase 3 Program for PH94B in SAD prove successful, it is probable that such cash position will not be sufficient to fund our planned operations, including, notably, our planned expansion of phase-appropriate preparations for commercialization of PH94B in the United States, for the twelve months following the issuance of these financial statements, which raises substantial doubt that we can continue as a going concern without securing additional capital. Additionally,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164"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During the next twelve months, we plan to (i) continue to advance and complete our PALISADE Phase 3 Program designed to develop and commercialize PH94B as a new acute treatment of anxiety in adults with SAD, (ii) continue to advance our exploratory clinical program for PH94B in a series of small studies to advance our understanding of its therapeutic potential in anxiety disorders beyond SAD, (iii) complete preparations for and initiate and advance Phase 2B clinical development of PH10 as a potential stand-alone treatment for MDD, (iv) complete our exploratory Phase 1B drug-drug interaction clinical study of AV-101 in combination with probenecid to enhance our understanding of its therapeutic potential in certain neurological disorders, (v) conduct various nonclinical studies involving PH94B, PH10 and AV-101, and (vi) continue phase-appropriate preparations for commercialization of PH94B should the development and regulatory initiatives in our PALISADE Phase 3 Program prove successful.</w:t>
      </w:r>
    </w:p>
    <w:p>
      <w:pPr>
        <w:spacing w:after="0" w:line="177"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Although we received the $5 million upfront payment under the AffaMed Agreement in August 2020 and expect to recognize that amount as revenue in future periods, we have no other recurring source of revenue or recurring cash flows from product sales to sustain our present activities, and we do not expect to generate sustainable positive operating cash flows until, and unless, we (i) out-license or sell a product candidate to a third-party that is subsequently successfully developed and commercialized, (ii) enter into additional license arrangements involving our stem cell technology, or (iii) obtain approval from the FDA or other regulatory authorities and successfully commercialize PH94B, on our own or through a future collaboration, or one of our other product candidates.</w:t>
      </w:r>
    </w:p>
    <w:p>
      <w:pPr>
        <w:spacing w:after="0" w:line="192"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As the outcome of our ongoing research and development activities, including the outcome of future anticipated nonclinical studies and clinical trials is highly uncertain, we cannot reasonably estimate the actual amounts necessary to successfully complete the development and commercialization of our current CNS product candidates, on our own or in collaboration with others. As in prior periods, we will continue to incur substantial costs associated with other development programs for PH94B, PH10 and AV-101. In addition, other unanticipated costs may arise. As a result of these and other factors, we will need to seek additional capital to meet our future operating plans and requirements, including capital necessary to develop, obtain regulatory approval for, and to commercialize our CNS product candidates, and may seek additional capital in the event there exists favorable market conditions or strategic considerations, even if we believe we have sufficient funds for our current or future operating plans and requirements.</w:t>
      </w:r>
    </w:p>
    <w:p>
      <w:pPr>
        <w:spacing w:after="0" w:line="177"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We have completed in the past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pursue and complete additional financing arrangements in the future. Even if we believe we have sufficient funds for our current or future operating plans and requirements, we may seek additional capital if market conditions are favorable or if we have specific strategic considerations.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may depend on many factors, including:</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preclinical and clinical studies;</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302"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manufacturing and formulating our product candidates and any products we successfully commercialize;</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collaborative arrangements and the financial terms of such agreements;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government funding for our research and development programs;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obtaining, maintaining and enforcing patents to preserve our intellectual property;</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302"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may acquire or invest in additional businesses, product candidates and technologies.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necessary, 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Current volatile and/or recessionary economic conditions in the U.S. or abroad could adversely affect our business or our access to capital markets in a material manner.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date, our principal sources of capital used to fund our development programs and other operations have been the net proceeds we received from sales of equity securities. We have and will continue to use significant capital for the development and commercialization of our product candidates, and, as such, we expect to seek additional capital from future issuance(s) of our securities, which may consist of issuances of equity and/or debt securities, to fund our planned operations.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Accordingly, our results of operations and the implementation of both our short-term and long-term business plan could be adversely affected by general conditions in the global economy, including conditions that are outside of our control, such as the impact of health and safety concerns from the current COVID-19 pandemic. The ongoing COVID-19 pandemic has resulted in extreme volatility and disruptions in the capital and credit markets. A prolonged economic downturn could result in a variety of risks to our business and may have a material adverse effect on us, including limiting or restricting our ability to access capital on favorable terms, or at all, which would limit our ability to obtain adequate financing to maintain our operations.</w:t>
      </w:r>
    </w:p>
    <w:p>
      <w:pPr>
        <w:sectPr>
          <w:pgSz w:w="11900" w:h="16838" w:orient="portrait"/>
          <w:cols w:equalWidth="0" w:num="1">
            <w:col w:w="11240"/>
          </w:cols>
          <w:pgMar w:left="320" w:top="125" w:right="3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8"/>
          <w:szCs w:val="18"/>
          <w:b w:val="1"/>
          <w:bCs w:val="1"/>
          <w:color w:val="auto"/>
        </w:rPr>
        <w:t>.</w:t>
      </w:r>
    </w:p>
    <w:p>
      <w:pPr>
        <w:spacing w:after="0" w:line="184"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We have identified, have taken and currently are taking steps to correct material weaknesses in our internal control over financial reporting. In particular, we concluded that (i) the size of our staff has not allowed appropriate segregation of duties to (a) permit appropriate review of accounting transactions and/or accounting treatment by multiple qualified individuals, and (b) prevent one individual from overriding the internal control system by initiating, authorizing and completing all transactions, and (ii) we have utilized accounting software that did not prevent erroneous or unauthorized changes to previous reporting periods and/or could be adjusted so as to not provide an adequate auditing trail of entries made in the accounting software. Beginning in April 2021, we have begun to address these material weaknesses by retaining additional accounting staff to facilitate appropriate review of accounting transactions and/or accounting treatment by multiple qualified individuals and by implementing state-of-the-art accounting software to prevent erroneous or unauthorized changes to previous reporting periods and/or adjustments and to provide an adequate auditing trail of entries made in the accounting software.</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70" w:lineRule="exact"/>
        <w:rPr>
          <w:sz w:val="20"/>
          <w:szCs w:val="20"/>
          <w:color w:val="auto"/>
        </w:rPr>
      </w:pPr>
    </w:p>
    <w:p>
      <w:pPr>
        <w:jc w:val="both"/>
        <w:ind w:left="20"/>
        <w:spacing w:after="0" w:line="290" w:lineRule="auto"/>
        <w:rPr>
          <w:sz w:val="20"/>
          <w:szCs w:val="20"/>
          <w:color w:val="auto"/>
        </w:rPr>
      </w:pPr>
      <w:r>
        <w:rPr>
          <w:rFonts w:ascii="Arial" w:cs="Arial" w:eastAsia="Arial" w:hAnsi="Arial"/>
          <w:sz w:val="16"/>
          <w:szCs w:val="16"/>
          <w:color w:val="auto"/>
        </w:rPr>
        <w:t>We may pursue private and public equity offerings, debt financings, and strategic acquisitions, collaborations and licensing arrangements in the future. To the extent that we raise additional capital through the sale of common stock or securities convertible or exchangeable into common stock, or to the extent, for strategic purposes or in the context of strategic acquisitions, we issue shares of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acquisitions, partnerships and licensing arrangements with third parties, we may have to relinquish valuable rights to our product candidates, our intellectual property, future revenue streams or grant licenses on terms that are not favorable to us.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raise additional financing by issuing new securities with terms or rights superior to those of our existing securityholders, which could adversely affect the market price of shares of our common stock and our business.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will require additional financing to fund future operations, including research and development activities for our CNS product candidates and our anticipated pre-launch and other commercialization activities, assuming our clinical development programs are successful and we receive necessary regulatory approvals from the FDA.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As of March 31, 2021, we had federal and state net operating loss carryforwards of approximately $139.2 million and $64.6 million, respectively, which have begun to expire in fiscal 2022 and will continue to expire in future periods. Under Section 382 of the Internal Revenue Code of 1986, as amended (the </w:t>
      </w:r>
      <w:r>
        <w:rPr>
          <w:rFonts w:ascii="Arial" w:cs="Arial" w:eastAsia="Arial" w:hAnsi="Arial"/>
          <w:sz w:val="17"/>
          <w:szCs w:val="17"/>
          <w:i w:val="1"/>
          <w:iCs w:val="1"/>
          <w:color w:val="auto"/>
        </w:rPr>
        <w:t>Code</w:t>
      </w:r>
      <w:r>
        <w:rPr>
          <w:rFonts w:ascii="Arial" w:cs="Arial" w:eastAsia="Arial" w:hAnsi="Arial"/>
          <w:sz w:val="17"/>
          <w:szCs w:val="17"/>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senior management and key scientific personnel, we may be unable to successfully produce, develop and commercialize our product candidates.</w:t>
      </w:r>
    </w:p>
    <w:p>
      <w:pPr>
        <w:spacing w:after="0" w:line="170" w:lineRule="exact"/>
        <w:rPr>
          <w:sz w:val="20"/>
          <w:szCs w:val="20"/>
          <w:color w:val="auto"/>
        </w:rPr>
      </w:pPr>
    </w:p>
    <w:p>
      <w:pPr>
        <w:jc w:val="both"/>
        <w:ind w:left="20"/>
        <w:spacing w:after="0" w:line="254"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and technical personnel across multiple key functions, including, but not limited to clinical operations, commercial operations, finance, human resources, information technology, manufacturing and quality assurance, regulatory affairs and medical affairs. We are highly dependent upon our Chief Executive Officer, Chief Medical Officer, Chief Financial Officer, and Chief Commercial Officer, as well as our other senior management personnel, advisors, consultants and scientific and clinical collaborators. As of the date of this Report, we have 31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have not historically experienced unique difficulties attracting and retaining qualified employees, we could experience such problems in the future. For example, competition for qualified personnel in the pharmaceuticals field is intense. We will need to hire additional personnel to expand our administrative, research and development, manufacturing, regulatory and commercial activities. We may not be able to attract and retain quality personnel on acceptable terms.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rely on a broad and diverse range of strategic consultants and advisors, including manufacturing, nonclinical and clinical development and regulatory advisors and CMOs and CROs,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we seek to advance development of our product candidates, we will need to further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future financial performance and our ability to develop and commercialize our product candidates and to compete effectively will depend, in part, on our ability to manage any future growth effectively. To that end, we must be able to manage our research, development and regulatory efforts effectively, and hire, train and integrate additional management, administrative, research and development, regulatory and commercial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PH94B, PH10, AV-101, or any other product candidate we or our collaborators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product candidates that we may develop;</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or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20"/>
        <w:spacing w:after="0" w:line="273"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Although we currently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economic downturn triggered by the ongoing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development programs or otherwise materially harm our operations.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Additionally, having shifted substantially to remote working arrangements, we also face a heightened risk of cybersecurity attacks or data security incidents and are more dependent on internet and telecommunications access and capabilities.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PH94B, PH10, AV-101 or other product candidates could result in substantial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Remote working arrangements driven by the COVID-19 pandemic could significantly increase the Company</w:t>
      </w:r>
      <w:r>
        <w:rPr>
          <w:rFonts w:ascii="Arial" w:cs="Arial" w:eastAsia="Arial" w:hAnsi="Arial"/>
          <w:sz w:val="16"/>
          <w:szCs w:val="16"/>
          <w:color w:val="auto"/>
        </w:rPr>
        <w:t>’</w:t>
      </w:r>
      <w:r>
        <w:rPr>
          <w:rFonts w:ascii="Arial" w:cs="Arial" w:eastAsia="Arial" w:hAnsi="Arial"/>
          <w:sz w:val="16"/>
          <w:szCs w:val="16"/>
          <w:b w:val="1"/>
          <w:bCs w:val="1"/>
          <w:i w:val="1"/>
          <w:iCs w:val="1"/>
          <w:color w:val="auto"/>
        </w:rPr>
        <w:t>s digital and cybersecurity risks.</w:t>
      </w:r>
    </w:p>
    <w:p>
      <w:pPr>
        <w:spacing w:after="0" w:line="248" w:lineRule="exact"/>
        <w:rPr>
          <w:sz w:val="20"/>
          <w:szCs w:val="20"/>
          <w:color w:val="auto"/>
        </w:rPr>
      </w:pPr>
    </w:p>
    <w:p>
      <w:pPr>
        <w:jc w:val="both"/>
        <w:ind w:left="20"/>
        <w:spacing w:after="0" w:line="286" w:lineRule="auto"/>
        <w:rPr>
          <w:sz w:val="20"/>
          <w:szCs w:val="20"/>
          <w:color w:val="auto"/>
        </w:rPr>
      </w:pPr>
      <w:r>
        <w:rPr>
          <w:rFonts w:ascii="Arial" w:cs="Arial" w:eastAsia="Arial" w:hAnsi="Arial"/>
          <w:sz w:val="16"/>
          <w:szCs w:val="16"/>
          <w:color w:val="auto"/>
        </w:rPr>
        <w:t>The COVID-19 pandemic has caused us to significantly modify our business practices. In response to mandates and/or recommendations from federal, state, and local authorities, as well as our concern for the health and safety of our employees, we temporarily closed our South San Francisco headquarters. In addition, most of our recent employee additions are geographically dispersed from our headquarters facility and now routinely work remotely. Although we have recently began allowing limited in-office work at our South San Francisco headquarters, with the continuing COVID-19-driven shift to remote working, and the use of virtual board and executive management meetings, cybersecurity risks are exponentially greater. Social distancing measures restricting the ability of our employees to work at our offices create an increased demand for information technology resources, and thus may increase the risk of phishing and other cybersecurity attacks as well as increase the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Company's business.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 candidates, or form strategic alliances, in the future, and we may not realize the benefits of such acquisitions.</w:t>
      </w:r>
    </w:p>
    <w:p>
      <w:pPr>
        <w:spacing w:after="0" w:line="2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acquire additional businesses or CNS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politics in the U.S. could diminish the value of the pharmaceutical industry, thereby diminishing the value of our securities.</w:t>
      </w:r>
    </w:p>
    <w:p>
      <w:pPr>
        <w:spacing w:after="0" w:line="225"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The current political environment in the U.S. has led many incumbents and political candidates to propose various measures to reduce the prices for pharmaceuticals. These proposals may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and any other inventions we consider important to the development of our business. We also rely on trade secrets to protect aspects of our business that are not amenable to, or that we do not consider appropriate for, patent protection.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product candidates PH94B, PH10, AV-101 and also to certain stem cell technology.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own and have licensed issued and allowed patents and patent applications relating to PH94B, PH10 and AV-101 in the U.S., selected countries in the EU and other jurisdictions, we cannot yet provide any assurances that any of our pending U.S. and additional foreign patent applications will mature into issued patents and, if they do, that any of our patents will include claims with a scope sufficient to protect our product candidates or otherwise provide any competitive advantage.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country-to-country.</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patent positions of biotechnology and 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obtain valid and enforceable patents depends, among other factors, on whether the differences between our technology and the prior art allow our inventions to be patentable over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varies among countries in which we pursue patents.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some patent-related uncertainty exists because of the challenge in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In addition, even some reports in the trade press and public announcements made by us before the filing date of our AV-101 patent applications mentioned that AV-101 was in development for certain therapeutic purposes. For example, we published a web post on the NIH clinical trials website prior to the filing of our initial AV-101 patent application, which describes unit doses for a then future study, but does not mention treatment of depression and does not provide any preclinical or clinical study data relating to depression or any other medical condition, disease or disorder. This post was not submitted to the United States Patent and Trademark Office (</w:t>
      </w:r>
      <w:r>
        <w:rPr>
          <w:rFonts w:ascii="Arial" w:cs="Arial" w:eastAsia="Arial" w:hAnsi="Arial"/>
          <w:sz w:val="17"/>
          <w:szCs w:val="17"/>
          <w:i w:val="1"/>
          <w:iCs w:val="1"/>
          <w:color w:val="auto"/>
        </w:rPr>
        <w:t>USPTO</w:t>
      </w:r>
      <w:r>
        <w:rPr>
          <w:rFonts w:ascii="Arial" w:cs="Arial" w:eastAsia="Arial" w:hAnsi="Arial"/>
          <w:sz w:val="17"/>
          <w:szCs w:val="17"/>
          <w:color w:val="auto"/>
        </w:rPr>
        <w:t>) in our two granted U.S. patents related to (i) unit dose formulations of AV-101 effective to treat depression and (ii) methods of treating depression with AV-101, respectively. However, it was submitted in two continuation depression-related AV-101 patent applications that have similar claims and the USPTO did not make further rejection based on that post. Another source of uncertainty pertains to patent properties that were in-licensed by us for which prior art submissions were under the control of the licensor. We rely on these licensors to have satisfied the relevant disclosure obligations.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any previously published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USPTO, the European Patent Office (</w:t>
      </w:r>
      <w:r>
        <w:rPr>
          <w:rFonts w:ascii="Arial" w:cs="Arial" w:eastAsia="Arial" w:hAnsi="Arial"/>
          <w:sz w:val="18"/>
          <w:szCs w:val="18"/>
          <w:i w:val="1"/>
          <w:iCs w:val="1"/>
          <w:color w:val="auto"/>
        </w:rPr>
        <w:t>EPO</w:t>
      </w:r>
      <w:r>
        <w:rPr>
          <w:rFonts w:ascii="Arial" w:cs="Arial" w:eastAsia="Arial" w:hAnsi="Arial"/>
          <w:sz w:val="18"/>
          <w:szCs w:val="18"/>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patents do successfully issue, third parties may challenge the validity, enforceability or scope of such issued patents or any other issued patents we own or license, which may result in such patents being narrowed, invalidated or held unenforceable.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United States and foreign patents and patent applications may be subject to various types of infringement and validity proceedings, including interference proceedings,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or one of our licensing partners initiated legal proceedings against a third-party to enforce a patent covering one of our product candidates, including patents related to PH94B, PH10 or AV-101,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Overall, the degree of future protection for our proprietary rights is uncertain, and we cannot ensure that:</w:t>
      </w:r>
    </w:p>
    <w:p>
      <w:pPr>
        <w:spacing w:after="0" w:line="225" w:lineRule="exact"/>
        <w:rPr>
          <w:sz w:val="20"/>
          <w:szCs w:val="20"/>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any issued patents related to PH94B, PH10, AV-101 or any pending patent applications, if issued and challenged by others, will include or maintain claims having a scope sufficient to protect PH94B, PH10, AV-101 or any other products or product candidates against generic or other competition, particularly considering that any patent rights to these compounds </w:t>
      </w:r>
      <w:r>
        <w:rPr>
          <w:rFonts w:ascii="Arial" w:cs="Arial" w:eastAsia="Arial" w:hAnsi="Arial"/>
          <w:sz w:val="18"/>
          <w:szCs w:val="18"/>
          <w:i w:val="1"/>
          <w:iCs w:val="1"/>
          <w:color w:val="auto"/>
        </w:rPr>
        <w:t>per se</w:t>
      </w:r>
      <w:r>
        <w:rPr>
          <w:rFonts w:ascii="Arial" w:cs="Arial" w:eastAsia="Arial" w:hAnsi="Arial"/>
          <w:sz w:val="18"/>
          <w:szCs w:val="18"/>
          <w:color w:val="auto"/>
        </w:rPr>
        <w:t xml:space="preserve"> have expired;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patents, if issued, will ultimately be found to be valid and enforceable, including on the basis of prior art relating to our patent applications and patents;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cannot assure that our business, product candidates and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or derivation proceedings before the United States or other jurisdictions.</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foregoing types of proceedings can be expensive and time-consuming and many of our own or our licensors’ or collaborators’ adversaries in these proceedings may have the ability to dedicate substantially greater resources to prosecuting these legal actions than we or our licensors or collaborators can. Our defense of litigation or other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could not obtain such a license, we may be forced to stop or delay developing, manufacturing, selling or otherwise commercializing our product candidates.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Patent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2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Any of these risks coming to fruition could have a material adverse effect on our business, results of operations, financial condition and prospects.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U.S. could be less extensive than those in the United States,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pending patent applications relating to AV-101, as well as for other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PH94B, PH10 and certain stem cell technologies, we are a party to a number of license agreements under which we are granted rights to intellectual properties that are or could become important to our business. Our existing license agreements impose, and we expect that any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ectPr>
          <w:pgSz w:w="11900" w:h="16838" w:orient="portrait"/>
          <w:cols w:equalWidth="0" w:num="1">
            <w:col w:w="11240"/>
          </w:cols>
          <w:pgMar w:left="320" w:top="125"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Some intellectual property which we have licensed may have been discovered through government funded programs and thus may be subject to federal regulations such as </w:t>
      </w:r>
      <w:r>
        <w:rPr>
          <w:rFonts w:ascii="Arial" w:cs="Arial" w:eastAsia="Arial" w:hAnsi="Arial"/>
          <w:sz w:val="18"/>
          <w:szCs w:val="18"/>
          <w:color w:val="auto"/>
        </w:rPr>
        <w:t>“</w:t>
      </w:r>
      <w:r>
        <w:rPr>
          <w:rFonts w:ascii="Arial" w:cs="Arial" w:eastAsia="Arial" w:hAnsi="Arial"/>
          <w:sz w:val="18"/>
          <w:szCs w:val="18"/>
          <w:b w:val="1"/>
          <w:bCs w:val="1"/>
          <w:i w:val="1"/>
          <w:iCs w:val="1"/>
          <w:color w:val="auto"/>
        </w:rPr>
        <w:t>march-in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8"/>
          <w:szCs w:val="18"/>
          <w:i w:val="1"/>
          <w:iCs w:val="1"/>
          <w:color w:val="auto"/>
        </w:rPr>
        <w:t>Bayh-Dole Act</w:t>
      </w:r>
      <w:r>
        <w:rPr>
          <w:rFonts w:ascii="Arial" w:cs="Arial" w:eastAsia="Arial" w:hAnsi="Arial"/>
          <w:sz w:val="18"/>
          <w:szCs w:val="18"/>
          <w:color w:val="auto"/>
        </w:rPr>
        <w:t>). These U.S. government rights in certain inventions developed under a government-funded program include a non-exclusive, non-transferable, irrevocable worldwide license to use inventions for any governmental purpose.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PH94B, PH10 or AV-101 is used in another drug company’s product candidate and that product candidate is the first to obtain FDA approval.</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patent law could diminish the value of patents in general, thereby impairing our ability to protect our products.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7"/>
          <w:szCs w:val="17"/>
          <w:i w:val="1"/>
          <w:iCs w:val="1"/>
          <w:color w:val="auto"/>
        </w:rPr>
        <w:t>Mayo Collaborative Services,</w:t>
      </w:r>
      <w:r>
        <w:rPr>
          <w:rFonts w:ascii="Arial" w:cs="Arial" w:eastAsia="Arial" w:hAnsi="Arial"/>
          <w:sz w:val="17"/>
          <w:szCs w:val="17"/>
          <w:color w:val="auto"/>
        </w:rPr>
        <w:t xml:space="preserve"> </w:t>
      </w:r>
      <w:r>
        <w:rPr>
          <w:rFonts w:ascii="Arial" w:cs="Arial" w:eastAsia="Arial" w:hAnsi="Arial"/>
          <w:sz w:val="17"/>
          <w:szCs w:val="17"/>
          <w:i w:val="1"/>
          <w:iCs w:val="1"/>
          <w:color w:val="auto"/>
        </w:rPr>
        <w:t>DBA Mayo Medical Laboratories, et al. v. Prometheus Laboratories, Inc.</w:t>
      </w:r>
      <w:r>
        <w:rPr>
          <w:rFonts w:ascii="Arial" w:cs="Arial" w:eastAsia="Arial" w:hAnsi="Arial"/>
          <w:sz w:val="17"/>
          <w:szCs w:val="17"/>
          <w:color w:val="auto"/>
        </w:rPr>
        <w:t>, the Court held that several claims drawn to measuring drug metabolite levels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7"/>
          <w:szCs w:val="17"/>
          <w:i w:val="1"/>
          <w:iCs w:val="1"/>
          <w:color w:val="auto"/>
        </w:rPr>
        <w:t>Association for Molecular Pathology v. Myriad Genetics, Inc</w:t>
      </w:r>
      <w:r>
        <w:rPr>
          <w:rFonts w:ascii="Arial" w:cs="Arial" w:eastAsia="Arial" w:hAnsi="Arial"/>
          <w:sz w:val="17"/>
          <w:szCs w:val="17"/>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8"/>
          <w:szCs w:val="18"/>
          <w:i w:val="1"/>
          <w:iCs w:val="1"/>
          <w:color w:val="auto"/>
        </w:rPr>
        <w:t>Ariosa Diagnostics, Inc. v. Sequenom, Inc</w:t>
      </w:r>
      <w:r>
        <w:rPr>
          <w:rFonts w:ascii="Arial" w:cs="Arial" w:eastAsia="Arial" w:hAnsi="Arial"/>
          <w:sz w:val="18"/>
          <w:szCs w:val="18"/>
          <w:color w:val="auto"/>
        </w:rPr>
        <w:t>., the Court of Appeals for the Federal Circuit held that methods for detecting fetal genetic defects were not patent eligible subject matter. Other more recent court decisions and related USPTO examination guidelines must be taken into account, particularly as they relate to changes in what types of inventions are eligible for patent protection. Foreign patent and intellectual property laws also are evolving and are not predictable as to their impact on the Company and other biopharmaceutical companies.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87"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7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regard to our stem cell technology, if, instead of identifying a potential NCE candidate based on information available to us in the public domain, we seek to in-license a NCE candidate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NCEs that we may produce and develop. If we are unable to obtain ownership or substantial economic participation rights over intellectual property related to NCEs we produce and develop, our business may be adversely affected.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market price for our common stock, similar to that of other biopharmaceutical companies, is likely to remain highly volatile. The market price of our common stock may fluctuate significantly in response to a number of factors, most of which we cannot control, including, among others:</w:t>
      </w:r>
    </w:p>
    <w:p>
      <w:pPr>
        <w:spacing w:after="0" w:line="14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volatility resulting from uncertainty and general economic conditions caused by the ongoing COVID-19 pandemic;</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or purchases of large blocks of our common stock, including sales or purchases by our executive officers, directors and significant stockholders;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 or warrants;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including under our Sales Agreement, could significantly reduce the market price of our common stock and impair our ability to raise adequate capital through the sale of additional equity securities.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ectPr>
          <w:pgSz w:w="11900" w:h="16838" w:orient="portrait"/>
          <w:cols w:equalWidth="0" w:num="1">
            <w:col w:w="11240"/>
          </w:cols>
          <w:pgMar w:left="320" w:top="125"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70" w:lineRule="exact"/>
        <w:rPr>
          <w:sz w:val="20"/>
          <w:szCs w:val="20"/>
          <w:color w:val="auto"/>
        </w:rPr>
      </w:pPr>
    </w:p>
    <w:p>
      <w:pPr>
        <w:jc w:val="both"/>
        <w:ind w:left="20"/>
        <w:spacing w:after="0" w:line="27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Future sales and issuances of a substantial number of shares of our common stock in the public market, including shares issued upon the recent conversions of all of our previously outstanding Series A, B, C and D Preferred Stock, and shares issued upon the recent or any future exercise of outstanding options and warrants for common stock, in the public market, or the perception that any such sales and issuances are occurring or might occur, could significantly reduce the market price for our common stock and impair our ability to raise adequate capital through the sale of equity securities.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ind w:left="20"/>
        <w:spacing w:after="0" w:line="254" w:lineRule="auto"/>
        <w:rPr>
          <w:sz w:val="20"/>
          <w:szCs w:val="20"/>
          <w:color w:val="auto"/>
        </w:rPr>
      </w:pPr>
      <w:r>
        <w:rPr>
          <w:rFonts w:ascii="Arial" w:cs="Arial" w:eastAsia="Arial" w:hAnsi="Arial"/>
          <w:sz w:val="18"/>
          <w:szCs w:val="18"/>
          <w:color w:val="auto"/>
        </w:rPr>
        <w:t xml:space="preserve">Our Restated Articles of Incorporation, as amended (the </w:t>
      </w:r>
      <w:r>
        <w:rPr>
          <w:rFonts w:ascii="Arial" w:cs="Arial" w:eastAsia="Arial" w:hAnsi="Arial"/>
          <w:sz w:val="18"/>
          <w:szCs w:val="18"/>
          <w:i w:val="1"/>
          <w:iCs w:val="1"/>
          <w:color w:val="auto"/>
        </w:rPr>
        <w:t>Articles</w:t>
      </w:r>
      <w:r>
        <w:rPr>
          <w:rFonts w:ascii="Arial" w:cs="Arial" w:eastAsia="Arial" w:hAnsi="Arial"/>
          <w:sz w:val="18"/>
          <w:szCs w:val="18"/>
          <w:color w:val="auto"/>
        </w:rPr>
        <w:t>), permit us to issue up to 10.0 million shares of preferred stock. Our Board has authorized the issuance of 9.5 million shares of preferred stock, of which there are no shares remaining outstanding as of the date of this Report. As a result, our Board could authorize the issuance of additional series of preferred stock in the future, up to a maximum of 500,000 shares,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achieve a return on their investment will depend on appreciation in the price of our common stock.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the reporting requirements of the Securities Exchange Act of 1934, as amended (</w:t>
      </w:r>
      <w:r>
        <w:rPr>
          <w:rFonts w:ascii="Arial" w:cs="Arial" w:eastAsia="Arial" w:hAnsi="Arial"/>
          <w:sz w:val="17"/>
          <w:szCs w:val="17"/>
          <w:i w:val="1"/>
          <w:iCs w:val="1"/>
          <w:color w:val="auto"/>
        </w:rPr>
        <w:t>Exchange Act</w:t>
      </w:r>
      <w:r>
        <w:rPr>
          <w:rFonts w:ascii="Arial" w:cs="Arial" w:eastAsia="Arial" w:hAnsi="Arial"/>
          <w:sz w:val="17"/>
          <w:szCs w:val="17"/>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resources that we could otherwise use to achieve our research and development and other strategic objectives.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9700" w:type="dxa"/>
            <w:vAlign w:val="bottom"/>
            <w:gridSpan w:val="5"/>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1540" w:type="dxa"/>
            <w:vAlign w:val="bottom"/>
          </w:tcPr>
          <w:p>
            <w:pPr>
              <w:spacing w:after="0"/>
              <w:rPr>
                <w:sz w:val="20"/>
                <w:szCs w:val="20"/>
                <w:color w:val="auto"/>
              </w:rPr>
            </w:pPr>
            <w:r>
              <w:rPr>
                <w:rFonts w:ascii="Arial" w:cs="Arial" w:eastAsia="Arial" w:hAnsi="Arial"/>
                <w:sz w:val="18"/>
                <w:szCs w:val="18"/>
                <w:color w:val="auto"/>
              </w:rPr>
              <w:t>31.1</w:t>
            </w:r>
          </w:p>
        </w:tc>
        <w:tc>
          <w:tcPr>
            <w:tcW w:w="970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79">
              <w:r>
                <w:rPr>
                  <w:rFonts w:ascii="Arial" w:cs="Arial" w:eastAsia="Arial" w:hAnsi="Arial"/>
                  <w:sz w:val="18"/>
                  <w:szCs w:val="18"/>
                  <w:color w:val="0000EE"/>
                  <w:w w:val="93"/>
                </w:rPr>
                <w:t>Certification of the Principal Executive Officer required by Rule 13a-14(a) under the Securities Exchange Act of 1934, as amended,</w:t>
              </w:r>
            </w:hyperlink>
          </w:p>
        </w:tc>
      </w:tr>
      <w:tr>
        <w:trPr>
          <w:trHeight w:val="196"/>
        </w:trPr>
        <w:tc>
          <w:tcPr>
            <w:tcW w:w="1540" w:type="dxa"/>
            <w:vAlign w:val="bottom"/>
          </w:tcPr>
          <w:p>
            <w:pPr>
              <w:spacing w:after="0"/>
              <w:rPr>
                <w:sz w:val="17"/>
                <w:szCs w:val="17"/>
                <w:color w:val="auto"/>
              </w:rPr>
            </w:pPr>
          </w:p>
        </w:tc>
        <w:tc>
          <w:tcPr>
            <w:tcW w:w="50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as adopted pursuant to Section 302 of the Sarbanes-Oxley Act of 2002</w:t>
              </w:r>
            </w:hyperlink>
          </w:p>
        </w:tc>
        <w:tc>
          <w:tcPr>
            <w:tcW w:w="4620" w:type="dxa"/>
            <w:vAlign w:val="bottom"/>
            <w:gridSpan w:val="3"/>
          </w:tcPr>
          <w:p>
            <w:pPr>
              <w:spacing w:after="0"/>
              <w:rPr>
                <w:sz w:val="17"/>
                <w:szCs w:val="17"/>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31.2</w:t>
            </w:r>
          </w:p>
        </w:tc>
        <w:tc>
          <w:tcPr>
            <w:tcW w:w="97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Certification of the Principal Financial Officer required by Rule 13a-14(a) under the Securities Exchange Act of 1934, as amended, as</w:t>
              </w:r>
            </w:hyperlink>
          </w:p>
        </w:tc>
      </w:tr>
      <w:tr>
        <w:trPr>
          <w:trHeight w:val="196"/>
        </w:trPr>
        <w:tc>
          <w:tcPr>
            <w:tcW w:w="1540" w:type="dxa"/>
            <w:vAlign w:val="bottom"/>
          </w:tcPr>
          <w:p>
            <w:pPr>
              <w:spacing w:after="0"/>
              <w:rPr>
                <w:sz w:val="17"/>
                <w:szCs w:val="17"/>
                <w:color w:val="auto"/>
              </w:rPr>
            </w:pPr>
          </w:p>
        </w:tc>
        <w:tc>
          <w:tcPr>
            <w:tcW w:w="9700" w:type="dxa"/>
            <w:vAlign w:val="bottom"/>
            <w:gridSpan w:val="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adopted pursuant to Section 302 of the Sarbanes-Oxley Act of 2002</w:t>
              </w:r>
            </w:hyperlink>
          </w:p>
        </w:tc>
      </w:tr>
      <w:tr>
        <w:trPr>
          <w:trHeight w:val="20"/>
        </w:trPr>
        <w:tc>
          <w:tcPr>
            <w:tcW w:w="1540" w:type="dxa"/>
            <w:vAlign w:val="bottom"/>
          </w:tcPr>
          <w:p>
            <w:pPr>
              <w:spacing w:after="0" w:line="20" w:lineRule="exact"/>
              <w:rPr>
                <w:sz w:val="1"/>
                <w:szCs w:val="1"/>
                <w:color w:val="auto"/>
              </w:rPr>
            </w:pPr>
          </w:p>
        </w:tc>
        <w:tc>
          <w:tcPr>
            <w:tcW w:w="488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32</w:t>
            </w:r>
          </w:p>
        </w:tc>
        <w:tc>
          <w:tcPr>
            <w:tcW w:w="9700" w:type="dxa"/>
            <w:vAlign w:val="bottom"/>
            <w:gridSpan w:val="5"/>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Certification of the Principal Executive and Financial Officers required by Rule 13a-14(b) and Section 1350 of Chapter 63 of Title 18</w:t>
              </w:r>
            </w:hyperlink>
          </w:p>
        </w:tc>
      </w:tr>
      <w:tr>
        <w:trPr>
          <w:trHeight w:val="196"/>
        </w:trPr>
        <w:tc>
          <w:tcPr>
            <w:tcW w:w="154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of the United States Code, as adopted pursuant to Section 906 of the Sarbanes-Oxley Act of 2002</w:t>
              </w:r>
            </w:hyperlink>
          </w:p>
        </w:tc>
        <w:tc>
          <w:tcPr>
            <w:tcW w:w="26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38"/>
        </w:trPr>
        <w:tc>
          <w:tcPr>
            <w:tcW w:w="1540" w:type="dxa"/>
            <w:vAlign w:val="bottom"/>
          </w:tcPr>
          <w:p>
            <w:pPr>
              <w:spacing w:after="0"/>
              <w:rPr>
                <w:sz w:val="20"/>
                <w:szCs w:val="20"/>
                <w:color w:val="auto"/>
              </w:rPr>
            </w:pPr>
            <w:r>
              <w:rPr>
                <w:rFonts w:ascii="Arial" w:cs="Arial" w:eastAsia="Arial" w:hAnsi="Arial"/>
                <w:sz w:val="18"/>
                <w:szCs w:val="18"/>
                <w:color w:val="auto"/>
              </w:rPr>
              <w:t>101.INS</w:t>
            </w:r>
          </w:p>
        </w:tc>
        <w:tc>
          <w:tcPr>
            <w:tcW w:w="9700" w:type="dxa"/>
            <w:vAlign w:val="bottom"/>
            <w:gridSpan w:val="5"/>
          </w:tcPr>
          <w:p>
            <w:pPr>
              <w:spacing w:after="0"/>
              <w:rPr>
                <w:sz w:val="20"/>
                <w:szCs w:val="20"/>
                <w:color w:val="auto"/>
              </w:rPr>
            </w:pPr>
            <w:r>
              <w:rPr>
                <w:rFonts w:ascii="Arial" w:cs="Arial" w:eastAsia="Arial" w:hAnsi="Arial"/>
                <w:sz w:val="18"/>
                <w:szCs w:val="18"/>
                <w:color w:val="auto"/>
                <w:w w:val="94"/>
              </w:rPr>
              <w:t>The instance document does not appear in the Interactive Data File because its XBRL tags are embedded within the Inline XBRL</w:t>
            </w:r>
          </w:p>
        </w:tc>
      </w:tr>
      <w:tr>
        <w:trPr>
          <w:trHeight w:val="216"/>
        </w:trPr>
        <w:tc>
          <w:tcPr>
            <w:tcW w:w="1540" w:type="dxa"/>
            <w:vAlign w:val="bottom"/>
          </w:tcPr>
          <w:p>
            <w:pPr>
              <w:spacing w:after="0"/>
              <w:rPr>
                <w:sz w:val="18"/>
                <w:szCs w:val="18"/>
                <w:color w:val="auto"/>
              </w:rPr>
            </w:pPr>
          </w:p>
        </w:tc>
        <w:tc>
          <w:tcPr>
            <w:tcW w:w="9700" w:type="dxa"/>
            <w:vAlign w:val="bottom"/>
            <w:gridSpan w:val="5"/>
          </w:tcPr>
          <w:p>
            <w:pPr>
              <w:spacing w:after="0"/>
              <w:rPr>
                <w:sz w:val="20"/>
                <w:szCs w:val="20"/>
                <w:color w:val="auto"/>
              </w:rPr>
            </w:pPr>
            <w:r>
              <w:rPr>
                <w:rFonts w:ascii="Arial" w:cs="Arial" w:eastAsia="Arial" w:hAnsi="Arial"/>
                <w:sz w:val="18"/>
                <w:szCs w:val="18"/>
                <w:color w:val="auto"/>
              </w:rPr>
              <w:t>document.</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101.SCH</w:t>
            </w:r>
          </w:p>
        </w:tc>
        <w:tc>
          <w:tcPr>
            <w:tcW w:w="97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101.CAL</w:t>
            </w:r>
          </w:p>
        </w:tc>
        <w:tc>
          <w:tcPr>
            <w:tcW w:w="970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101.DEF</w:t>
            </w:r>
          </w:p>
        </w:tc>
        <w:tc>
          <w:tcPr>
            <w:tcW w:w="97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101.LAB</w:t>
            </w:r>
          </w:p>
        </w:tc>
        <w:tc>
          <w:tcPr>
            <w:tcW w:w="970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101.PRE</w:t>
            </w:r>
          </w:p>
        </w:tc>
        <w:tc>
          <w:tcPr>
            <w:tcW w:w="97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ind w:left="5540" w:right="3160" w:hanging="5532"/>
        <w:spacing w:after="0" w:line="511" w:lineRule="auto"/>
        <w:tabs>
          <w:tab w:leader="none" w:pos="15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2022</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640"/>
          </w:cols>
          <w:pgMar w:left="320" w:top="125" w:right="9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25"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firstLine="8"/>
        <w:spacing w:after="0" w:line="342" w:lineRule="auto"/>
        <w:tabs>
          <w:tab w:leader="none" w:pos="585"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23" w:lineRule="exact"/>
        <w:rPr>
          <w:rFonts w:ascii="Arial" w:cs="Arial" w:eastAsia="Arial" w:hAnsi="Arial"/>
          <w:sz w:val="16"/>
          <w:szCs w:val="16"/>
          <w:color w:val="auto"/>
        </w:rPr>
      </w:pPr>
    </w:p>
    <w:p>
      <w:pPr>
        <w:ind w:firstLine="8"/>
        <w:spacing w:after="0" w:line="277" w:lineRule="auto"/>
        <w:tabs>
          <w:tab w:leader="none" w:pos="5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6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332"/>
        <w:spacing w:after="0" w:line="263" w:lineRule="auto"/>
        <w:tabs>
          <w:tab w:leader="none" w:pos="916"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332"/>
        <w:spacing w:after="0" w:line="263" w:lineRule="auto"/>
        <w:tabs>
          <w:tab w:leader="none" w:pos="10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332"/>
        <w:spacing w:after="0" w:line="308" w:lineRule="auto"/>
        <w:tabs>
          <w:tab w:leader="none" w:pos="1089"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332"/>
        <w:spacing w:after="0" w:line="263" w:lineRule="auto"/>
        <w:tabs>
          <w:tab w:leader="none" w:pos="92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93"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332"/>
        <w:spacing w:after="0" w:line="277" w:lineRule="auto"/>
        <w:tabs>
          <w:tab w:leader="none" w:pos="87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873"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tcPr>
          <w:p>
            <w:pPr>
              <w:spacing w:after="0"/>
              <w:rPr>
                <w:sz w:val="20"/>
                <w:szCs w:val="20"/>
                <w:color w:val="auto"/>
              </w:rPr>
            </w:pPr>
            <w:r>
              <w:rPr>
                <w:rFonts w:ascii="Arial" w:cs="Arial" w:eastAsia="Arial" w:hAnsi="Arial"/>
                <w:sz w:val="18"/>
                <w:szCs w:val="18"/>
                <w:color w:val="auto"/>
              </w:rPr>
              <w:t>February 10, 2022</w:t>
            </w:r>
          </w:p>
        </w:tc>
        <w:tc>
          <w:tcPr>
            <w:tcW w:w="1980" w:type="dxa"/>
            <w:vAlign w:val="bottom"/>
            <w:gridSpan w:val="2"/>
          </w:tcPr>
          <w:p>
            <w:pPr>
              <w:spacing w:after="0"/>
              <w:rPr>
                <w:sz w:val="20"/>
                <w:szCs w:val="20"/>
                <w:color w:val="auto"/>
              </w:rPr>
            </w:pPr>
            <w:r>
              <w:rPr>
                <w:rFonts w:ascii="Arial" w:cs="Arial" w:eastAsia="Arial" w:hAnsi="Arial"/>
                <w:sz w:val="18"/>
                <w:szCs w:val="18"/>
                <w:color w:val="auto"/>
              </w:rPr>
              <w:t>/s/ Shawn K. Singh</w:t>
            </w:r>
          </w:p>
        </w:tc>
      </w:tr>
      <w:tr>
        <w:trPr>
          <w:trHeight w:val="222"/>
        </w:trPr>
        <w:tc>
          <w:tcPr>
            <w:tcW w:w="7880" w:type="dxa"/>
            <w:vAlign w:val="bottom"/>
          </w:tcPr>
          <w:p>
            <w:pPr>
              <w:spacing w:after="0"/>
              <w:rPr>
                <w:sz w:val="19"/>
                <w:szCs w:val="19"/>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Shawn K. Singh</w:t>
            </w:r>
          </w:p>
        </w:tc>
        <w:tc>
          <w:tcPr>
            <w:tcW w:w="600" w:type="dxa"/>
            <w:vAlign w:val="bottom"/>
          </w:tcPr>
          <w:p>
            <w:pPr>
              <w:spacing w:after="0"/>
              <w:rPr>
                <w:sz w:val="19"/>
                <w:szCs w:val="19"/>
                <w:color w:val="auto"/>
              </w:rPr>
            </w:pPr>
          </w:p>
        </w:tc>
      </w:tr>
      <w:tr>
        <w:trPr>
          <w:trHeight w:val="230"/>
        </w:trPr>
        <w:tc>
          <w:tcPr>
            <w:tcW w:w="788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firstLine="8"/>
        <w:spacing w:after="0" w:line="342" w:lineRule="auto"/>
        <w:tabs>
          <w:tab w:leader="none" w:pos="585"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23" w:lineRule="exact"/>
        <w:rPr>
          <w:rFonts w:ascii="Arial" w:cs="Arial" w:eastAsia="Arial" w:hAnsi="Arial"/>
          <w:sz w:val="16"/>
          <w:szCs w:val="16"/>
          <w:color w:val="auto"/>
        </w:rPr>
      </w:pPr>
    </w:p>
    <w:p>
      <w:pPr>
        <w:ind w:firstLine="8"/>
        <w:spacing w:after="0" w:line="277" w:lineRule="auto"/>
        <w:tabs>
          <w:tab w:leader="none" w:pos="5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6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332"/>
        <w:spacing w:after="0" w:line="263" w:lineRule="auto"/>
        <w:tabs>
          <w:tab w:leader="none" w:pos="916"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332"/>
        <w:spacing w:after="0" w:line="263" w:lineRule="auto"/>
        <w:tabs>
          <w:tab w:leader="none" w:pos="1052"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332"/>
        <w:spacing w:after="0" w:line="308" w:lineRule="auto"/>
        <w:tabs>
          <w:tab w:leader="none" w:pos="1089"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332"/>
        <w:spacing w:after="0" w:line="263" w:lineRule="auto"/>
        <w:tabs>
          <w:tab w:leader="none" w:pos="92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93"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332"/>
        <w:spacing w:after="0" w:line="277" w:lineRule="auto"/>
        <w:tabs>
          <w:tab w:leader="none" w:pos="876"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873"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tcPr>
          <w:p>
            <w:pPr>
              <w:spacing w:after="0"/>
              <w:rPr>
                <w:sz w:val="20"/>
                <w:szCs w:val="20"/>
                <w:color w:val="auto"/>
              </w:rPr>
            </w:pPr>
            <w:r>
              <w:rPr>
                <w:rFonts w:ascii="Arial" w:cs="Arial" w:eastAsia="Arial" w:hAnsi="Arial"/>
                <w:sz w:val="18"/>
                <w:szCs w:val="18"/>
                <w:color w:val="auto"/>
              </w:rPr>
              <w:t>February 10, 2022</w:t>
            </w: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Jerrold D. Dotson</w:t>
            </w:r>
          </w:p>
        </w:tc>
        <w:tc>
          <w:tcPr>
            <w:tcW w:w="420" w:type="dxa"/>
            <w:vAlign w:val="bottom"/>
          </w:tcPr>
          <w:p>
            <w:pPr>
              <w:spacing w:after="0"/>
              <w:rPr>
                <w:sz w:val="18"/>
                <w:szCs w:val="18"/>
                <w:color w:val="auto"/>
              </w:rPr>
            </w:pPr>
          </w:p>
        </w:tc>
      </w:tr>
      <w:tr>
        <w:trPr>
          <w:trHeight w:val="222"/>
        </w:trPr>
        <w:tc>
          <w:tcPr>
            <w:tcW w:w="788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Jerrold D. Dotson</w:t>
            </w:r>
          </w:p>
        </w:tc>
      </w:tr>
      <w:tr>
        <w:trPr>
          <w:trHeight w:val="230"/>
        </w:trPr>
        <w:tc>
          <w:tcPr>
            <w:tcW w:w="788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w w:val="93"/>
              </w:rPr>
              <w:t>Principal Financial Officer</w:t>
            </w:r>
          </w:p>
        </w:tc>
      </w:tr>
    </w:tbl>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December 31, 2021,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87"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Roman"/>
      <w:start w:val="1"/>
    </w:lvl>
  </w:abstractNum>
  <w:abstractNum w:abstractNumId="3">
    <w:nsid w:val="519B500D"/>
    <w:multiLevelType w:val="hybridMultilevel"/>
    <w:lvl w:ilvl="0">
      <w:lvlJc w:val="left"/>
      <w:lvlText w:val="%1)"/>
      <w:numFmt w:val="decimal"/>
      <w:start w:val="842"/>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04"/>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2022-02-11T22:57:51Z</dcterms:created>
  <dcterms:modified xsi:type="dcterms:W3CDTF">2022-02-11T22:57:51Z</dcterms:modified>
</cp:coreProperties>
</file>