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May 23, 2024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NEVADA</w:t>
            </w:r>
          </w:p>
        </w:tc>
        <w:tc>
          <w:tcPr>
            <w:tcW w:w="3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30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1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400" w:type="dxa"/>
            <w:vAlign w:val="bottom"/>
          </w:tcPr>
          <w:p>
            <w:pPr>
              <w:spacing w:after="0"/>
              <w:rPr>
                <w:sz w:val="20"/>
                <w:szCs w:val="20"/>
                <w:color w:val="auto"/>
              </w:rPr>
            </w:pP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300" w:type="dxa"/>
            <w:vAlign w:val="bottom"/>
          </w:tcPr>
          <w:p>
            <w:pPr>
              <w:spacing w:after="0"/>
              <w:rPr>
                <w:sz w:val="24"/>
                <w:szCs w:val="24"/>
                <w:color w:val="auto"/>
              </w:rPr>
            </w:pP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940" w:type="dxa"/>
            <w:vAlign w:val="bottom"/>
          </w:tcPr>
          <w:p>
            <w:pPr>
              <w:spacing w:after="0"/>
              <w:rPr>
                <w:sz w:val="24"/>
                <w:szCs w:val="24"/>
                <w:color w:val="auto"/>
              </w:rPr>
            </w:pPr>
          </w:p>
        </w:tc>
      </w:tr>
      <w:tr>
        <w:trPr>
          <w:trHeight w:val="218"/>
        </w:trPr>
        <w:tc>
          <w:tcPr>
            <w:tcW w:w="2300" w:type="dxa"/>
            <w:vAlign w:val="bottom"/>
          </w:tcPr>
          <w:p>
            <w:pPr>
              <w:spacing w:after="0"/>
              <w:rPr>
                <w:sz w:val="18"/>
                <w:szCs w:val="18"/>
                <w:color w:val="auto"/>
              </w:rPr>
            </w:pP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940" w:type="dxa"/>
            <w:vAlign w:val="bottom"/>
          </w:tcPr>
          <w:p>
            <w:pPr>
              <w:spacing w:after="0"/>
              <w:rPr>
                <w:sz w:val="18"/>
                <w:szCs w:val="18"/>
                <w:color w:val="auto"/>
              </w:rPr>
            </w:pPr>
          </w:p>
        </w:tc>
      </w:tr>
      <w:tr>
        <w:trPr>
          <w:trHeight w:val="236"/>
        </w:trPr>
        <w:tc>
          <w:tcPr>
            <w:tcW w:w="2300" w:type="dxa"/>
            <w:vAlign w:val="bottom"/>
          </w:tcPr>
          <w:p>
            <w:pPr>
              <w:spacing w:after="0"/>
              <w:rPr>
                <w:sz w:val="20"/>
                <w:szCs w:val="20"/>
                <w:color w:val="auto"/>
              </w:rPr>
            </w:pP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23, 2024,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announced that it will present posters highlighting fasedienol, the Company’s investigational pherine candidate in Phase 3 development for the acute treatment of social anxiety disorder, and itruvone, the Company’s investigational pherine candidate in Phase 2 development for the treatment of major depressive disorder, at the American Society of Clinical Psychopharmacology Conference in Miami Beach, Florida, from May 28 to 31, 2024. A copy of the press release is attached to this Current Report on Form 8-K as Exhibit 99.1.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98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Vistagen Therapeutics, Inc., dated May 23, 2024.</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37"/>
        </w:trPr>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23, 2024</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354455"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to Present at the 2024 American Society of Clinical Psychopharmacology (ASCP) Conference</w:t>
      </w:r>
    </w:p>
    <w:p>
      <w:pPr>
        <w:spacing w:after="0" w:line="21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May 23,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late clinical-stage biopharmaceutical company pioneering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neuroscience to deliver groundbreaking therapies for individuals affected by psychiatric and neurological disorders, today announced that it will present posters highlighting fasedienol, its investigational pherine candidate in Phase 3 development for the acute treatment of social anxiety disorder (SAD), and itruvone, its investigational pherine candidate in Phase 2 development for the treatment of major depressive disorder (MDD), at the American Society of Clinical Psychopharmacology Conference in Miami Beach, Florida from May 28 to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Poster Presentation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May 29, 2024, 11:15 a.m.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Fasedienol (PH94B) Nasal Spray for Acute Treatment of Social Anxiety Disorder (SAD):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the PALISADE-2 Phase 3 Trial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Authors: Michael R. Liebowitz, MD; Ester Salmán, MPH; Rita Hanover, PhD; Brittany Reed, PA; Ross A. Baker, PhD; and Louis Monti, MD,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Poster Number: W96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Poster Presentation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May 29, 2024, 11:15 a.m. Eastern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Brain and Peripheral Tissue Distribution of Intranasal Radiolabeled Itruvone (PH10) in Laboratory Rats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Authors: Jo Cato PhD; Ross A. Baker, PhD; and Louis Monti, MD,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Poster Number: W78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posters will be available on the </w:t>
      </w:r>
      <w:r>
        <w:rPr>
          <w:rFonts w:ascii="Times New Roman" w:cs="Times New Roman" w:eastAsia="Times New Roman" w:hAnsi="Times New Roman"/>
          <w:sz w:val="18"/>
          <w:szCs w:val="18"/>
          <w:u w:val="single" w:color="auto"/>
          <w:color w:val="auto"/>
        </w:rPr>
        <w:t>Publications page</w:t>
      </w:r>
      <w:r>
        <w:rPr>
          <w:rFonts w:ascii="Times New Roman" w:cs="Times New Roman" w:eastAsia="Times New Roman" w:hAnsi="Times New Roman"/>
          <w:sz w:val="18"/>
          <w:szCs w:val="18"/>
          <w:color w:val="auto"/>
        </w:rPr>
        <w:t xml:space="preserve"> of Vistagen’s website on Monday, June 3,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Fasedienol Nasal Spray</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Vistagen’s fasedienol (PH94B) is a first-in-class, synthetic rapid-onset investigational pherine nasal spray in Phase 3 development for the acute treatment of social anxiety disorder (SAD). Fasedienol’s novel neurocircuitry-focused proposed mechanism of action (MOA) is differentiated from the SSRIs and SNRI currently approved for the treatment of SAD, as well as all benzodiazepines and other medications prescribed off label for SAD. There is no FDA-approved acute treatment of SAD. When administered intranasally in microgram-level doses, fasedienol activates receptors in peripheral nasal chemosensory neurons that, in turn, activate olfactory system neurocircuitry and limbic amygdala neurocircuits involved in the pathophysiology of SAD, and potentially other acute anxiety and mood disorders. Fasedienol is pharmacologically active without requiring systemic absorption and distribution, or binding to neurons in the brain. Given fasedienol’s rapid-onset MOA and patient-tailored as-needed administration, it has the potential to become the first FDA-approved acute treatment for SAD, which is the focus of Vistagen’s ongoing registration-directed PALISADE Phase 3 program. The U.S. FDA has granted Fast Track designation for the investigation of fasedienol nasal spray for the acute treatment of SAD.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Itruvone Nasal Spray</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Itruvone (PH10) is a synthetic rapid-onset investigational pherine nasal spray in Phase 2 development for the treatment of moderate to severe major depressive disorder (MDD). Itruvone’s proposed mechanism of action (MOA) is fundamentally differentiated from the MOA of all currently approved treatments for MDD. Administered intranasally at microgram-level doses, itruvone’s MOA involves the regulation of olfactory-to-amygdala neural circuits believed to increase the activity of the limbic-hypothalamic sympathetic nervous system and increase the release of catecholamines. Unlike all currently approved depression therapies, itruvone does not require systemic absorption and distribution or binding to neurons in the brain to produce antidepressant effects without the side effects and safety concerns that may be associated with current antidepressant therapies. The U.S. FDA has granted Fast Track designation for the development of itruvone as a potential treatment for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54455" cy="420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54455" cy="420370"/>
                    </a:xfrm>
                    <a:prstGeom prst="rect">
                      <a:avLst/>
                    </a:prstGeom>
                    <a:noFill/>
                  </pic:spPr>
                </pic:pic>
              </a:graphicData>
            </a:graphic>
          </wp:anchor>
        </w:drawing>
        <w:t>About Vistagen</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Vistagen (Nasdaq: VTGN) is a biopharmaceutical company pioneering neuroscience to deliver groundbreaking therapies for individuals affected by psychiatric and neurological disorders. Five of Vistagen’s clinical-stage neuroscience pipeline candidates belong to a new class of drugs known as pherines, which are investigational neuroactive nasal sprays with innovative proposed mechanisms of action that activate chemosensory neurons in the nasal passages to impact fundamental neural circuitry in the brain without the need for systemic absorption or binding to receptors in the brain. Vistagen’s sixth investigational candidate is an oral prodrug with potential to modulate NMDA receptor activity. At Vistagen, we are passionate about delivering differentiated treatments that set new standards of care for people living with anxiety, depression, and other neurological disorders.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(the Company)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drug candidates will successfully complete ongoing or future clinical trials, receive regulatory approval or be commercially successful. These risks and others are more fully discussed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2023,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Quarterly Report on Form 10-Q for the period ended December 31, 2023,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McPartland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markmcp@vistagen.com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Caren Scannell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cscannell@vistagen.com</w:t>
      </w:r>
    </w:p>
    <w:sectPr>
      <w:pgSz w:w="11900" w:h="16838" w:orient="portrait"/>
      <w:cols w:equalWidth="0" w:num="1">
        <w:col w:w="11220"/>
      </w:cols>
      <w:pgMar w:left="320" w:top="9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2024-05-24T05:08:11Z</dcterms:created>
  <dcterms:modified xsi:type="dcterms:W3CDTF">2024-05-24T05:08:11Z</dcterms:modified>
</cp:coreProperties>
</file>