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5280025</wp:posOffset>
            </wp:positionH>
            <wp:positionV relativeFrom="paragraph">
              <wp:posOffset>-596900</wp:posOffset>
            </wp:positionV>
            <wp:extent cx="8255" cy="5975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3971290</wp:posOffset>
            </wp:positionH>
            <wp:positionV relativeFrom="paragraph">
              <wp:posOffset>-605155</wp:posOffset>
            </wp:positionV>
            <wp:extent cx="8255" cy="6057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3995420</wp:posOffset>
            </wp:positionH>
            <wp:positionV relativeFrom="paragraph">
              <wp:posOffset>-581025</wp:posOffset>
            </wp:positionV>
            <wp:extent cx="1268095" cy="557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557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26670</wp:posOffset>
            </wp:positionV>
            <wp:extent cx="6969760" cy="18497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849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Ginski Mark J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CO/VISTAGEN THERAPEUTICS,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18"/>
          <w:szCs w:val="18"/>
          <w:color w:val="0000EE"/>
        </w:rPr>
      </w:pPr>
      <w:hyperlink r:id="rId14">
        <w:r>
          <w:rPr>
            <w:rFonts w:ascii="Arial" w:cs="Arial" w:eastAsia="Arial" w:hAnsi="Arial"/>
            <w:sz w:val="18"/>
            <w:szCs w:val="18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8"/>
            <w:szCs w:val="18"/>
            <w:color w:val="0000EE"/>
          </w:rPr>
          <w:t xml:space="preserve"> </w:t>
        </w:r>
      </w:hyperlink>
      <w:r>
        <w:rPr>
          <w:rFonts w:ascii="Arial" w:cs="Arial" w:eastAsia="Arial" w:hAnsi="Arial"/>
          <w:sz w:val="18"/>
          <w:szCs w:val="18"/>
          <w:color w:val="000000"/>
        </w:rPr>
        <w:t>[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VTGN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VP, HEAD OF CMC</w:t>
      </w:r>
    </w:p>
    <w:p>
      <w:pPr>
        <w:spacing w:after="0" w:line="5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13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-2474595</wp:posOffset>
            </wp:positionH>
            <wp:positionV relativeFrom="paragraph">
              <wp:posOffset>260985</wp:posOffset>
            </wp:positionV>
            <wp:extent cx="6969760" cy="8642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86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-15240</wp:posOffset>
            </wp:positionV>
            <wp:extent cx="7034530" cy="18249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1824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2.14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02/01/2021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200,000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02/01/2031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200,000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 w:right="260"/>
        <w:spacing w:after="0" w:line="243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Twenty-five percent (25%) of the shares vest on the first anniversary of the grant date, and the remainder vests in 36 equal monthly installments thereafter over a period of three (3) years, becoming fully vested on February 1, 2025.</w:t>
      </w:r>
    </w:p>
    <w:p>
      <w:pPr>
        <w:ind w:left="6600"/>
        <w:spacing w:after="0" w:line="18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Jerrold D. Dotson, Attorney- </w:t>
      </w:r>
      <w:r>
        <w:rPr>
          <w:rFonts w:ascii="Arial" w:cs="Arial" w:eastAsia="Arial" w:hAnsi="Arial"/>
          <w:sz w:val="31"/>
          <w:szCs w:val="31"/>
          <w:color w:val="0000FF"/>
          <w:vertAlign w:val="subscript"/>
        </w:rPr>
        <w:t>02/02/2021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-26670</wp:posOffset>
            </wp:positionV>
            <wp:extent cx="13354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4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-21590</wp:posOffset>
            </wp:positionV>
            <wp:extent cx="2971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-86360</wp:posOffset>
            </wp:positionV>
            <wp:extent cx="47815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843460" TargetMode="External"/><Relationship Id="rId14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2021-02-02T16:19:11Z</dcterms:created>
  <dcterms:modified xsi:type="dcterms:W3CDTF">2021-02-02T16:19:11Z</dcterms:modified>
</cp:coreProperties>
</file>