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b w:val="1"/>
          <w:bCs w:val="1"/>
          <w:color w:val="auto"/>
        </w:rPr>
        <w:t>As filed with the Securities and Exchange Commission on August 25, 2015</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w:t>
      </w:r>
      <w:r>
        <w:rPr>
          <w:rFonts w:ascii="Arial" w:cs="Arial" w:eastAsia="Arial" w:hAnsi="Arial"/>
          <w:sz w:val="14"/>
          <w:szCs w:val="14"/>
          <w:b w:val="1"/>
          <w:bCs w:val="1"/>
          <w:color w:val="auto"/>
        </w:rPr>
        <w:t>205782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S-1/A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 THE SECURITIES ACT OF 1933</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VistaGen Therapeutics,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154" w:lineRule="exact"/>
        <w:rPr>
          <w:sz w:val="24"/>
          <w:szCs w:val="24"/>
          <w:color w:val="auto"/>
        </w:rPr>
      </w:pPr>
    </w:p>
    <w:tbl>
      <w:tblPr>
        <w:tblLayout w:type="fixed"/>
        <w:tblInd w:w="960" w:type="dxa"/>
        <w:tblCellMar>
          <w:top w:w="0" w:type="dxa"/>
          <w:left w:w="0" w:type="dxa"/>
          <w:bottom w:w="0" w:type="dxa"/>
          <w:right w:w="0" w:type="dxa"/>
        </w:tblCellMar>
      </w:tblPr>
      <w:tr>
        <w:trPr>
          <w:trHeight w:val="148"/>
        </w:trPr>
        <w:tc>
          <w:tcPr>
            <w:tcW w:w="1740" w:type="dxa"/>
            <w:vAlign w:val="bottom"/>
          </w:tcPr>
          <w:p>
            <w:pPr>
              <w:jc w:val="center"/>
              <w:ind w:right="200"/>
              <w:spacing w:after="0"/>
              <w:rPr>
                <w:sz w:val="20"/>
                <w:szCs w:val="20"/>
                <w:color w:val="auto"/>
              </w:rPr>
            </w:pPr>
            <w:r>
              <w:rPr>
                <w:rFonts w:ascii="Arial" w:cs="Arial" w:eastAsia="Arial" w:hAnsi="Arial"/>
                <w:sz w:val="12"/>
                <w:szCs w:val="12"/>
                <w:b w:val="1"/>
                <w:bCs w:val="1"/>
                <w:color w:val="auto"/>
                <w:w w:val="93"/>
              </w:rPr>
              <w:t>Nevada</w:t>
            </w:r>
          </w:p>
        </w:tc>
        <w:tc>
          <w:tcPr>
            <w:tcW w:w="6160" w:type="dxa"/>
            <w:vAlign w:val="bottom"/>
          </w:tcPr>
          <w:p>
            <w:pPr>
              <w:jc w:val="right"/>
              <w:ind w:right="2940"/>
              <w:spacing w:after="0"/>
              <w:rPr>
                <w:sz w:val="20"/>
                <w:szCs w:val="20"/>
                <w:color w:val="auto"/>
              </w:rPr>
            </w:pPr>
            <w:r>
              <w:rPr>
                <w:rFonts w:ascii="Arial" w:cs="Arial" w:eastAsia="Arial" w:hAnsi="Arial"/>
                <w:sz w:val="12"/>
                <w:szCs w:val="12"/>
                <w:b w:val="1"/>
                <w:bCs w:val="1"/>
                <w:color w:val="auto"/>
              </w:rPr>
              <w:t>2086</w:t>
            </w:r>
          </w:p>
        </w:tc>
        <w:tc>
          <w:tcPr>
            <w:tcW w:w="1460" w:type="dxa"/>
            <w:vAlign w:val="bottom"/>
          </w:tcPr>
          <w:p>
            <w:pPr>
              <w:jc w:val="center"/>
              <w:ind w:left="300"/>
              <w:spacing w:after="0"/>
              <w:rPr>
                <w:sz w:val="20"/>
                <w:szCs w:val="20"/>
                <w:color w:val="auto"/>
              </w:rPr>
            </w:pPr>
            <w:r>
              <w:rPr>
                <w:rFonts w:ascii="Arial" w:cs="Arial" w:eastAsia="Arial" w:hAnsi="Arial"/>
                <w:sz w:val="12"/>
                <w:szCs w:val="12"/>
                <w:b w:val="1"/>
                <w:bCs w:val="1"/>
                <w:color w:val="auto"/>
                <w:w w:val="90"/>
              </w:rPr>
              <w:t>20-5093315</w:t>
            </w:r>
          </w:p>
        </w:tc>
      </w:tr>
      <w:tr>
        <w:trPr>
          <w:trHeight w:val="144"/>
        </w:trPr>
        <w:tc>
          <w:tcPr>
            <w:tcW w:w="1740" w:type="dxa"/>
            <w:vAlign w:val="bottom"/>
          </w:tcPr>
          <w:p>
            <w:pPr>
              <w:jc w:val="center"/>
              <w:ind w:right="200"/>
              <w:spacing w:after="0"/>
              <w:rPr>
                <w:sz w:val="20"/>
                <w:szCs w:val="20"/>
                <w:color w:val="auto"/>
              </w:rPr>
            </w:pPr>
            <w:r>
              <w:rPr>
                <w:rFonts w:ascii="Arial" w:cs="Arial" w:eastAsia="Arial" w:hAnsi="Arial"/>
                <w:sz w:val="12"/>
                <w:szCs w:val="12"/>
                <w:color w:val="auto"/>
                <w:w w:val="92"/>
              </w:rPr>
              <w:t>(State or Other Jurisdiction of</w:t>
            </w:r>
          </w:p>
        </w:tc>
        <w:tc>
          <w:tcPr>
            <w:tcW w:w="6160" w:type="dxa"/>
            <w:vAlign w:val="bottom"/>
          </w:tcPr>
          <w:p>
            <w:pPr>
              <w:jc w:val="center"/>
              <w:ind w:right="40"/>
              <w:spacing w:after="0"/>
              <w:rPr>
                <w:sz w:val="20"/>
                <w:szCs w:val="20"/>
                <w:color w:val="auto"/>
              </w:rPr>
            </w:pPr>
            <w:r>
              <w:rPr>
                <w:rFonts w:ascii="Arial" w:cs="Arial" w:eastAsia="Arial" w:hAnsi="Arial"/>
                <w:sz w:val="12"/>
                <w:szCs w:val="12"/>
                <w:color w:val="auto"/>
                <w:w w:val="92"/>
              </w:rPr>
              <w:t>(Primary Standard Industrial</w:t>
            </w:r>
          </w:p>
        </w:tc>
        <w:tc>
          <w:tcPr>
            <w:tcW w:w="1460" w:type="dxa"/>
            <w:vAlign w:val="bottom"/>
          </w:tcPr>
          <w:p>
            <w:pPr>
              <w:jc w:val="center"/>
              <w:ind w:left="300"/>
              <w:spacing w:after="0"/>
              <w:rPr>
                <w:sz w:val="20"/>
                <w:szCs w:val="20"/>
                <w:color w:val="auto"/>
              </w:rPr>
            </w:pPr>
            <w:r>
              <w:rPr>
                <w:rFonts w:ascii="Arial" w:cs="Arial" w:eastAsia="Arial" w:hAnsi="Arial"/>
                <w:sz w:val="12"/>
                <w:szCs w:val="12"/>
                <w:color w:val="auto"/>
                <w:w w:val="93"/>
              </w:rPr>
              <w:t>(I.R.S. Employer</w:t>
            </w:r>
          </w:p>
        </w:tc>
      </w:tr>
      <w:tr>
        <w:trPr>
          <w:trHeight w:val="153"/>
        </w:trPr>
        <w:tc>
          <w:tcPr>
            <w:tcW w:w="1740" w:type="dxa"/>
            <w:vAlign w:val="bottom"/>
          </w:tcPr>
          <w:p>
            <w:pPr>
              <w:jc w:val="center"/>
              <w:ind w:right="200"/>
              <w:spacing w:after="0"/>
              <w:rPr>
                <w:sz w:val="20"/>
                <w:szCs w:val="20"/>
                <w:color w:val="auto"/>
              </w:rPr>
            </w:pPr>
            <w:r>
              <w:rPr>
                <w:rFonts w:ascii="Arial" w:cs="Arial" w:eastAsia="Arial" w:hAnsi="Arial"/>
                <w:sz w:val="12"/>
                <w:szCs w:val="12"/>
                <w:color w:val="auto"/>
                <w:w w:val="92"/>
              </w:rPr>
              <w:t>Incorporation or Organization)</w:t>
            </w:r>
          </w:p>
        </w:tc>
        <w:tc>
          <w:tcPr>
            <w:tcW w:w="6160" w:type="dxa"/>
            <w:vAlign w:val="bottom"/>
          </w:tcPr>
          <w:p>
            <w:pPr>
              <w:jc w:val="center"/>
              <w:ind w:right="20"/>
              <w:spacing w:after="0"/>
              <w:rPr>
                <w:sz w:val="20"/>
                <w:szCs w:val="20"/>
                <w:color w:val="auto"/>
              </w:rPr>
            </w:pPr>
            <w:r>
              <w:rPr>
                <w:rFonts w:ascii="Arial" w:cs="Arial" w:eastAsia="Arial" w:hAnsi="Arial"/>
                <w:sz w:val="12"/>
                <w:szCs w:val="12"/>
                <w:color w:val="auto"/>
                <w:w w:val="91"/>
              </w:rPr>
              <w:t>Classification Code Number)</w:t>
            </w:r>
          </w:p>
        </w:tc>
        <w:tc>
          <w:tcPr>
            <w:tcW w:w="1460" w:type="dxa"/>
            <w:vAlign w:val="bottom"/>
          </w:tcPr>
          <w:p>
            <w:pPr>
              <w:jc w:val="center"/>
              <w:ind w:left="300"/>
              <w:spacing w:after="0"/>
              <w:rPr>
                <w:sz w:val="20"/>
                <w:szCs w:val="20"/>
                <w:color w:val="auto"/>
              </w:rPr>
            </w:pPr>
            <w:r>
              <w:rPr>
                <w:rFonts w:ascii="Arial" w:cs="Arial" w:eastAsia="Arial" w:hAnsi="Arial"/>
                <w:sz w:val="12"/>
                <w:szCs w:val="12"/>
                <w:color w:val="auto"/>
                <w:w w:val="93"/>
              </w:rPr>
              <w:t>Identification Number)</w:t>
            </w:r>
          </w:p>
        </w:tc>
      </w:tr>
      <w:tr>
        <w:trPr>
          <w:trHeight w:val="293"/>
        </w:trPr>
        <w:tc>
          <w:tcPr>
            <w:tcW w:w="1740" w:type="dxa"/>
            <w:vAlign w:val="bottom"/>
          </w:tcPr>
          <w:p>
            <w:pPr>
              <w:spacing w:after="0"/>
              <w:rPr>
                <w:sz w:val="24"/>
                <w:szCs w:val="24"/>
                <w:color w:val="auto"/>
              </w:rPr>
            </w:pPr>
          </w:p>
        </w:tc>
        <w:tc>
          <w:tcPr>
            <w:tcW w:w="6160" w:type="dxa"/>
            <w:vAlign w:val="bottom"/>
          </w:tcPr>
          <w:p>
            <w:pPr>
              <w:jc w:val="center"/>
              <w:ind w:right="20"/>
              <w:spacing w:after="0"/>
              <w:rPr>
                <w:sz w:val="20"/>
                <w:szCs w:val="20"/>
                <w:color w:val="auto"/>
              </w:rPr>
            </w:pPr>
            <w:r>
              <w:rPr>
                <w:rFonts w:ascii="Arial" w:cs="Arial" w:eastAsia="Arial" w:hAnsi="Arial"/>
                <w:sz w:val="12"/>
                <w:szCs w:val="12"/>
                <w:b w:val="1"/>
                <w:bCs w:val="1"/>
                <w:color w:val="auto"/>
                <w:w w:val="90"/>
              </w:rPr>
              <w:t>343 Allerton Avenue</w:t>
            </w:r>
          </w:p>
        </w:tc>
        <w:tc>
          <w:tcPr>
            <w:tcW w:w="1460" w:type="dxa"/>
            <w:vAlign w:val="bottom"/>
          </w:tcPr>
          <w:p>
            <w:pPr>
              <w:spacing w:after="0"/>
              <w:rPr>
                <w:sz w:val="24"/>
                <w:szCs w:val="24"/>
                <w:color w:val="auto"/>
              </w:rPr>
            </w:pPr>
          </w:p>
        </w:tc>
      </w:tr>
      <w:tr>
        <w:trPr>
          <w:trHeight w:val="144"/>
        </w:trPr>
        <w:tc>
          <w:tcPr>
            <w:tcW w:w="1740" w:type="dxa"/>
            <w:vAlign w:val="bottom"/>
          </w:tcPr>
          <w:p>
            <w:pPr>
              <w:spacing w:after="0"/>
              <w:rPr>
                <w:sz w:val="12"/>
                <w:szCs w:val="12"/>
                <w:color w:val="auto"/>
              </w:rPr>
            </w:pPr>
          </w:p>
        </w:tc>
        <w:tc>
          <w:tcPr>
            <w:tcW w:w="616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South San Francisco, California 94080</w:t>
            </w:r>
          </w:p>
        </w:tc>
        <w:tc>
          <w:tcPr>
            <w:tcW w:w="1460" w:type="dxa"/>
            <w:vAlign w:val="bottom"/>
          </w:tcPr>
          <w:p>
            <w:pPr>
              <w:spacing w:after="0"/>
              <w:rPr>
                <w:sz w:val="12"/>
                <w:szCs w:val="12"/>
                <w:color w:val="auto"/>
              </w:rPr>
            </w:pPr>
          </w:p>
        </w:tc>
      </w:tr>
      <w:tr>
        <w:trPr>
          <w:trHeight w:val="148"/>
        </w:trPr>
        <w:tc>
          <w:tcPr>
            <w:tcW w:w="1740" w:type="dxa"/>
            <w:vAlign w:val="bottom"/>
          </w:tcPr>
          <w:p>
            <w:pPr>
              <w:spacing w:after="0"/>
              <w:rPr>
                <w:sz w:val="12"/>
                <w:szCs w:val="12"/>
                <w:color w:val="auto"/>
              </w:rPr>
            </w:pPr>
          </w:p>
        </w:tc>
        <w:tc>
          <w:tcPr>
            <w:tcW w:w="6160" w:type="dxa"/>
            <w:vAlign w:val="bottom"/>
          </w:tcPr>
          <w:p>
            <w:pPr>
              <w:jc w:val="right"/>
              <w:ind w:right="2700"/>
              <w:spacing w:after="0"/>
              <w:rPr>
                <w:sz w:val="20"/>
                <w:szCs w:val="20"/>
                <w:color w:val="auto"/>
              </w:rPr>
            </w:pPr>
            <w:r>
              <w:rPr>
                <w:rFonts w:ascii="Arial" w:cs="Arial" w:eastAsia="Arial" w:hAnsi="Arial"/>
                <w:sz w:val="12"/>
                <w:szCs w:val="12"/>
                <w:b w:val="1"/>
                <w:bCs w:val="1"/>
                <w:color w:val="auto"/>
              </w:rPr>
              <w:t>(650) 577-3600</w:t>
            </w:r>
          </w:p>
        </w:tc>
        <w:tc>
          <w:tcPr>
            <w:tcW w:w="1460" w:type="dxa"/>
            <w:vAlign w:val="bottom"/>
          </w:tcPr>
          <w:p>
            <w:pPr>
              <w:spacing w:after="0"/>
              <w:rPr>
                <w:sz w:val="12"/>
                <w:szCs w:val="12"/>
                <w:color w:val="auto"/>
              </w:rPr>
            </w:pPr>
          </w:p>
        </w:tc>
      </w:tr>
      <w:tr>
        <w:trPr>
          <w:trHeight w:val="153"/>
        </w:trPr>
        <w:tc>
          <w:tcPr>
            <w:tcW w:w="1740" w:type="dxa"/>
            <w:vAlign w:val="bottom"/>
          </w:tcPr>
          <w:p>
            <w:pPr>
              <w:spacing w:after="0"/>
              <w:rPr>
                <w:sz w:val="13"/>
                <w:szCs w:val="13"/>
                <w:color w:val="auto"/>
              </w:rPr>
            </w:pPr>
          </w:p>
        </w:tc>
        <w:tc>
          <w:tcPr>
            <w:tcW w:w="6160" w:type="dxa"/>
            <w:vAlign w:val="bottom"/>
          </w:tcPr>
          <w:p>
            <w:pPr>
              <w:jc w:val="center"/>
              <w:ind w:right="40"/>
              <w:spacing w:after="0"/>
              <w:rPr>
                <w:sz w:val="20"/>
                <w:szCs w:val="20"/>
                <w:color w:val="auto"/>
              </w:rPr>
            </w:pPr>
            <w:r>
              <w:rPr>
                <w:rFonts w:ascii="Arial" w:cs="Arial" w:eastAsia="Arial" w:hAnsi="Arial"/>
                <w:sz w:val="12"/>
                <w:szCs w:val="12"/>
                <w:color w:val="auto"/>
                <w:w w:val="91"/>
              </w:rPr>
              <w:t>(Address, including zip code and telephone number, including area code, of registrant’s principal executive offices)</w:t>
            </w:r>
          </w:p>
        </w:tc>
        <w:tc>
          <w:tcPr>
            <w:tcW w:w="1460" w:type="dxa"/>
            <w:vAlign w:val="bottom"/>
          </w:tcPr>
          <w:p>
            <w:pPr>
              <w:spacing w:after="0"/>
              <w:rPr>
                <w:sz w:val="13"/>
                <w:szCs w:val="13"/>
                <w:color w:val="auto"/>
              </w:rPr>
            </w:pPr>
          </w:p>
        </w:tc>
      </w:tr>
    </w:tbl>
    <w:p>
      <w:pPr>
        <w:spacing w:after="0" w:line="153"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Copy of correspondence to:</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Daniel W. Rumsey, Esq.</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Disclosure Law Group</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One American Plaza</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600 West Broadway, Suite 700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San Diego, CA 92101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(619) 795-1134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From time to time after the effective date of this 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(Approximate date of commencement of proposed sale to the public)</w:t>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 [X]</w:t>
      </w:r>
    </w:p>
    <w:p>
      <w:pPr>
        <w:spacing w:after="0" w:line="168"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33"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15"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33"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4100" w:type="dxa"/>
            <w:vAlign w:val="bottom"/>
          </w:tcPr>
          <w:p>
            <w:pPr>
              <w:ind w:left="460"/>
              <w:spacing w:after="0"/>
              <w:rPr>
                <w:sz w:val="20"/>
                <w:szCs w:val="20"/>
                <w:color w:val="auto"/>
              </w:rPr>
            </w:pPr>
            <w:r>
              <w:rPr>
                <w:rFonts w:ascii="Arial" w:cs="Arial" w:eastAsia="Arial" w:hAnsi="Arial"/>
                <w:sz w:val="12"/>
                <w:szCs w:val="12"/>
                <w:color w:val="auto"/>
              </w:rPr>
              <w:t>Large accelerated filer</w:t>
            </w: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3460" w:type="dxa"/>
            <w:vAlign w:val="bottom"/>
          </w:tcPr>
          <w:p>
            <w:pPr>
              <w:ind w:left="220"/>
              <w:spacing w:after="0"/>
              <w:rPr>
                <w:sz w:val="20"/>
                <w:szCs w:val="20"/>
                <w:color w:val="auto"/>
              </w:rPr>
            </w:pPr>
            <w:r>
              <w:rPr>
                <w:rFonts w:ascii="Arial" w:cs="Arial" w:eastAsia="Arial" w:hAnsi="Arial"/>
                <w:sz w:val="12"/>
                <w:szCs w:val="12"/>
                <w:color w:val="auto"/>
              </w:rPr>
              <w:t>Accelerated filer</w:t>
            </w:r>
          </w:p>
        </w:tc>
        <w:tc>
          <w:tcPr>
            <w:tcW w:w="2080" w:type="dxa"/>
            <w:vAlign w:val="bottom"/>
          </w:tcPr>
          <w:p>
            <w:pPr>
              <w:ind w:left="1900"/>
              <w:spacing w:after="0"/>
              <w:rPr>
                <w:sz w:val="20"/>
                <w:szCs w:val="20"/>
                <w:color w:val="auto"/>
              </w:rPr>
            </w:pPr>
            <w:r>
              <w:rPr>
                <w:rFonts w:ascii="Arial" w:cs="Arial" w:eastAsia="Arial" w:hAnsi="Arial"/>
                <w:sz w:val="12"/>
                <w:szCs w:val="12"/>
                <w:color w:val="auto"/>
              </w:rPr>
              <w:t>[  ]</w:t>
            </w:r>
          </w:p>
        </w:tc>
      </w:tr>
      <w:tr>
        <w:trPr>
          <w:trHeight w:val="144"/>
        </w:trPr>
        <w:tc>
          <w:tcPr>
            <w:tcW w:w="4100" w:type="dxa"/>
            <w:vAlign w:val="bottom"/>
          </w:tcPr>
          <w:p>
            <w:pPr>
              <w:ind w:left="460"/>
              <w:spacing w:after="0"/>
              <w:rPr>
                <w:sz w:val="20"/>
                <w:szCs w:val="20"/>
                <w:color w:val="auto"/>
              </w:rPr>
            </w:pPr>
            <w:r>
              <w:rPr>
                <w:rFonts w:ascii="Arial" w:cs="Arial" w:eastAsia="Arial" w:hAnsi="Arial"/>
                <w:sz w:val="12"/>
                <w:szCs w:val="12"/>
                <w:color w:val="auto"/>
              </w:rPr>
              <w:t>Non-accelerated filer</w:t>
            </w: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3460" w:type="dxa"/>
            <w:vAlign w:val="bottom"/>
          </w:tcPr>
          <w:p>
            <w:pPr>
              <w:ind w:left="220"/>
              <w:spacing w:after="0"/>
              <w:rPr>
                <w:sz w:val="20"/>
                <w:szCs w:val="20"/>
                <w:color w:val="auto"/>
              </w:rPr>
            </w:pPr>
            <w:r>
              <w:rPr>
                <w:rFonts w:ascii="Arial" w:cs="Arial" w:eastAsia="Arial" w:hAnsi="Arial"/>
                <w:sz w:val="12"/>
                <w:szCs w:val="12"/>
                <w:color w:val="auto"/>
              </w:rPr>
              <w:t>Smaller reporting company</w:t>
            </w:r>
          </w:p>
        </w:tc>
        <w:tc>
          <w:tcPr>
            <w:tcW w:w="2080" w:type="dxa"/>
            <w:vAlign w:val="bottom"/>
          </w:tcPr>
          <w:p>
            <w:pPr>
              <w:ind w:left="1900"/>
              <w:spacing w:after="0"/>
              <w:rPr>
                <w:sz w:val="20"/>
                <w:szCs w:val="20"/>
                <w:color w:val="auto"/>
              </w:rPr>
            </w:pPr>
            <w:r>
              <w:rPr>
                <w:rFonts w:ascii="Arial" w:cs="Arial" w:eastAsia="Arial" w:hAnsi="Arial"/>
                <w:sz w:val="12"/>
                <w:szCs w:val="12"/>
                <w:color w:val="auto"/>
              </w:rPr>
              <w:t>[X]</w:t>
            </w:r>
          </w:p>
        </w:tc>
      </w:tr>
      <w:tr>
        <w:trPr>
          <w:trHeight w:val="153"/>
        </w:trPr>
        <w:tc>
          <w:tcPr>
            <w:tcW w:w="4100" w:type="dxa"/>
            <w:vAlign w:val="bottom"/>
          </w:tcPr>
          <w:p>
            <w:pPr>
              <w:ind w:left="420"/>
              <w:spacing w:after="0"/>
              <w:rPr>
                <w:sz w:val="20"/>
                <w:szCs w:val="20"/>
                <w:color w:val="auto"/>
              </w:rPr>
            </w:pPr>
            <w:r>
              <w:rPr>
                <w:rFonts w:ascii="Arial" w:cs="Arial" w:eastAsia="Arial" w:hAnsi="Arial"/>
                <w:sz w:val="12"/>
                <w:szCs w:val="12"/>
                <w:color w:val="auto"/>
              </w:rPr>
              <w:t>(do not check if a smaller reporting company )</w:t>
            </w: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436"/>
        </w:trPr>
        <w:tc>
          <w:tcPr>
            <w:tcW w:w="41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99"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340" w:type="dxa"/>
            <w:vAlign w:val="bottom"/>
            <w:gridSpan w:val="4"/>
          </w:tcPr>
          <w:p>
            <w:pPr>
              <w:jc w:val="right"/>
              <w:ind w:right="1980"/>
              <w:spacing w:after="0"/>
              <w:rPr>
                <w:sz w:val="20"/>
                <w:szCs w:val="20"/>
                <w:color w:val="auto"/>
              </w:rPr>
            </w:pPr>
            <w:r>
              <w:rPr>
                <w:rFonts w:ascii="Arial" w:cs="Arial" w:eastAsia="Arial" w:hAnsi="Arial"/>
                <w:sz w:val="12"/>
                <w:szCs w:val="12"/>
                <w:b w:val="1"/>
                <w:bCs w:val="1"/>
                <w:color w:val="auto"/>
              </w:rPr>
              <w:t>CALCULATION OF REGISTRATION FEE</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Proposed Maximum</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Amount to be</w:t>
            </w:r>
          </w:p>
        </w:tc>
        <w:tc>
          <w:tcPr>
            <w:tcW w:w="100" w:type="dxa"/>
            <w:vAlign w:val="bottom"/>
          </w:tcPr>
          <w:p>
            <w:pPr>
              <w:spacing w:after="0"/>
              <w:rPr>
                <w:sz w:val="12"/>
                <w:szCs w:val="12"/>
                <w:color w:val="auto"/>
              </w:rPr>
            </w:pPr>
          </w:p>
        </w:tc>
        <w:tc>
          <w:tcPr>
            <w:tcW w:w="104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Aggregate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Amount of</w:t>
            </w:r>
          </w:p>
        </w:tc>
        <w:tc>
          <w:tcPr>
            <w:tcW w:w="0" w:type="dxa"/>
            <w:vAlign w:val="bottom"/>
          </w:tcPr>
          <w:p>
            <w:pPr>
              <w:spacing w:after="0"/>
              <w:rPr>
                <w:sz w:val="1"/>
                <w:szCs w:val="1"/>
                <w:color w:val="auto"/>
              </w:rPr>
            </w:pPr>
          </w:p>
        </w:tc>
      </w:tr>
      <w:tr>
        <w:trPr>
          <w:trHeight w:val="157"/>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40"/>
              <w:spacing w:after="0" w:line="157" w:lineRule="exact"/>
              <w:rPr>
                <w:sz w:val="20"/>
                <w:szCs w:val="20"/>
                <w:color w:val="auto"/>
              </w:rPr>
            </w:pPr>
            <w:r>
              <w:rPr>
                <w:rFonts w:ascii="Arial" w:cs="Arial" w:eastAsia="Arial" w:hAnsi="Arial"/>
                <w:sz w:val="12"/>
                <w:szCs w:val="12"/>
                <w:b w:val="1"/>
                <w:bCs w:val="1"/>
                <w:color w:val="auto"/>
                <w:w w:val="85"/>
              </w:rPr>
              <w:t>Registered</w:t>
            </w:r>
            <w:r>
              <w:rPr>
                <w:rFonts w:ascii="Arial" w:cs="Arial" w:eastAsia="Arial" w:hAnsi="Arial"/>
                <w:sz w:val="16"/>
                <w:szCs w:val="16"/>
                <w:b w:val="1"/>
                <w:bCs w:val="1"/>
                <w:color w:val="auto"/>
                <w:w w:val="85"/>
                <w:vertAlign w:val="superscript"/>
              </w:rPr>
              <w:t>(2)</w:t>
            </w:r>
          </w:p>
        </w:tc>
        <w:tc>
          <w:tcPr>
            <w:tcW w:w="100" w:type="dxa"/>
            <w:vAlign w:val="bottom"/>
          </w:tcPr>
          <w:p>
            <w:pPr>
              <w:spacing w:after="0"/>
              <w:rPr>
                <w:sz w:val="13"/>
                <w:szCs w:val="13"/>
                <w:color w:val="auto"/>
              </w:rPr>
            </w:pPr>
          </w:p>
        </w:tc>
        <w:tc>
          <w:tcPr>
            <w:tcW w:w="1040" w:type="dxa"/>
            <w:vAlign w:val="bottom"/>
          </w:tcPr>
          <w:p>
            <w:pPr>
              <w:jc w:val="center"/>
              <w:ind w:right="40"/>
              <w:spacing w:after="0" w:line="157" w:lineRule="exact"/>
              <w:rPr>
                <w:sz w:val="20"/>
                <w:szCs w:val="20"/>
                <w:color w:val="auto"/>
              </w:rPr>
            </w:pPr>
            <w:r>
              <w:rPr>
                <w:rFonts w:ascii="Arial" w:cs="Arial" w:eastAsia="Arial" w:hAnsi="Arial"/>
                <w:sz w:val="12"/>
                <w:szCs w:val="12"/>
                <w:b w:val="1"/>
                <w:bCs w:val="1"/>
                <w:color w:val="auto"/>
                <w:w w:val="89"/>
              </w:rPr>
              <w:t xml:space="preserve">Offering Price </w:t>
            </w:r>
            <w:r>
              <w:rPr>
                <w:rFonts w:ascii="Arial" w:cs="Arial" w:eastAsia="Arial" w:hAnsi="Arial"/>
                <w:sz w:val="16"/>
                <w:szCs w:val="16"/>
                <w:b w:val="1"/>
                <w:bCs w:val="1"/>
                <w:color w:val="auto"/>
                <w:w w:val="89"/>
                <w:vertAlign w:val="superscript"/>
              </w:rPr>
              <w:t>(3)</w:t>
            </w:r>
          </w:p>
        </w:tc>
        <w:tc>
          <w:tcPr>
            <w:tcW w:w="240" w:type="dxa"/>
            <w:vAlign w:val="bottom"/>
          </w:tcPr>
          <w:p>
            <w:pPr>
              <w:spacing w:after="0"/>
              <w:rPr>
                <w:sz w:val="13"/>
                <w:szCs w:val="13"/>
                <w:color w:val="auto"/>
              </w:rPr>
            </w:pPr>
          </w:p>
        </w:tc>
        <w:tc>
          <w:tcPr>
            <w:tcW w:w="1240" w:type="dxa"/>
            <w:vAlign w:val="bottom"/>
            <w:gridSpan w:val="3"/>
          </w:tcPr>
          <w:p>
            <w:pPr>
              <w:jc w:val="center"/>
              <w:ind w:right="120"/>
              <w:spacing w:after="0" w:line="157" w:lineRule="exact"/>
              <w:rPr>
                <w:sz w:val="20"/>
                <w:szCs w:val="20"/>
                <w:color w:val="auto"/>
              </w:rPr>
            </w:pPr>
            <w:r>
              <w:rPr>
                <w:rFonts w:ascii="Arial" w:cs="Arial" w:eastAsia="Arial" w:hAnsi="Arial"/>
                <w:sz w:val="12"/>
                <w:szCs w:val="12"/>
                <w:b w:val="1"/>
                <w:bCs w:val="1"/>
                <w:color w:val="auto"/>
                <w:w w:val="85"/>
              </w:rPr>
              <w:t xml:space="preserve">Registration Fee </w:t>
            </w:r>
            <w:r>
              <w:rPr>
                <w:rFonts w:ascii="Arial" w:cs="Arial" w:eastAsia="Arial" w:hAnsi="Arial"/>
                <w:sz w:val="16"/>
                <w:szCs w:val="16"/>
                <w:b w:val="1"/>
                <w:bCs w:val="1"/>
                <w:color w:val="auto"/>
                <w:w w:val="85"/>
                <w:vertAlign w:val="superscript"/>
              </w:rPr>
              <w:t>(3) (4)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Common Stock, $0.001 par value per share</w:t>
            </w:r>
          </w:p>
        </w:tc>
        <w:tc>
          <w:tcPr>
            <w:tcW w:w="3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3,992,479</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39,924,790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4,639.26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40" w:hanging="304"/>
        <w:spacing w:after="0" w:line="323" w:lineRule="auto"/>
        <w:tabs>
          <w:tab w:leader="none" w:pos="440" w:val="left"/>
        </w:tabs>
        <w:numPr>
          <w:ilvl w:val="0"/>
          <w:numId w:val="1"/>
        </w:numPr>
        <w:rPr>
          <w:rFonts w:ascii="Arial" w:cs="Arial" w:eastAsia="Arial" w:hAnsi="Arial"/>
          <w:sz w:val="11"/>
          <w:szCs w:val="11"/>
          <w:color w:val="auto"/>
        </w:rPr>
      </w:pPr>
      <w:r>
        <w:rPr>
          <w:rFonts w:ascii="Arial" w:cs="Arial" w:eastAsia="Arial" w:hAnsi="Arial"/>
          <w:sz w:val="11"/>
          <w:szCs w:val="11"/>
          <w:color w:val="auto"/>
        </w:rPr>
        <w:t>Consists of up to 2,951,688 shares of common stock issuable upon conversion of shares of Series B 10%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and up to 1,040,791 shares of common stock, $0.001 par value per share, issuable upon exercise of warrants to purchase common stock (“</w:t>
      </w:r>
      <w:r>
        <w:rPr>
          <w:rFonts w:ascii="Arial" w:cs="Arial" w:eastAsia="Arial" w:hAnsi="Arial"/>
          <w:sz w:val="11"/>
          <w:szCs w:val="11"/>
          <w:i w:val="1"/>
          <w:iCs w:val="1"/>
          <w:color w:val="auto"/>
        </w:rPr>
        <w:t>Warrants</w:t>
      </w:r>
      <w:r>
        <w:rPr>
          <w:rFonts w:ascii="Arial" w:cs="Arial" w:eastAsia="Arial" w:hAnsi="Arial"/>
          <w:sz w:val="11"/>
          <w:szCs w:val="11"/>
          <w:color w:val="auto"/>
        </w:rPr>
        <w:t>”), issued in self-placed private placement transactions, the first of which was consummated on May 12, 2015 (the “</w:t>
      </w:r>
      <w:r>
        <w:rPr>
          <w:rFonts w:ascii="Arial" w:cs="Arial" w:eastAsia="Arial" w:hAnsi="Arial"/>
          <w:sz w:val="11"/>
          <w:szCs w:val="11"/>
          <w:i w:val="1"/>
          <w:iCs w:val="1"/>
          <w:color w:val="auto"/>
        </w:rPr>
        <w:t>Private Placements</w:t>
      </w:r>
      <w:r>
        <w:rPr>
          <w:rFonts w:ascii="Arial" w:cs="Arial" w:eastAsia="Arial" w:hAnsi="Arial"/>
          <w:sz w:val="11"/>
          <w:szCs w:val="11"/>
          <w:color w:val="auto"/>
        </w:rPr>
        <w:t>”).</w:t>
      </w:r>
    </w:p>
    <w:p>
      <w:pPr>
        <w:spacing w:after="0" w:line="91" w:lineRule="exact"/>
        <w:rPr>
          <w:rFonts w:ascii="Arial" w:cs="Arial" w:eastAsia="Arial" w:hAnsi="Arial"/>
          <w:sz w:val="11"/>
          <w:szCs w:val="11"/>
          <w:color w:val="auto"/>
        </w:rPr>
      </w:pPr>
    </w:p>
    <w:p>
      <w:pPr>
        <w:ind w:left="440" w:hanging="304"/>
        <w:spacing w:after="0" w:line="276" w:lineRule="auto"/>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the event of a stock split, stock dividend or similar transaction involving the common stock of the Registrant, in order to prevent dilution, the number of shares registered shall be automatically increased to cover additional shares in accordance with Rule 416(a) under the Securities Act of 1933, as amended (“</w:t>
      </w:r>
      <w:r>
        <w:rPr>
          <w:rFonts w:ascii="Arial" w:cs="Arial" w:eastAsia="Arial" w:hAnsi="Arial"/>
          <w:sz w:val="12"/>
          <w:szCs w:val="12"/>
          <w:i w:val="1"/>
          <w:iCs w:val="1"/>
          <w:color w:val="auto"/>
        </w:rPr>
        <w:t>Securities Act</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40" w:hanging="304"/>
        <w:spacing w:after="0"/>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in accordance with Rule 457(c) under the Securities Act.</w:t>
      </w:r>
    </w:p>
    <w:p>
      <w:pPr>
        <w:spacing w:after="0" w:line="150" w:lineRule="exact"/>
        <w:rPr>
          <w:rFonts w:ascii="Arial" w:cs="Arial" w:eastAsia="Arial" w:hAnsi="Arial"/>
          <w:sz w:val="12"/>
          <w:szCs w:val="12"/>
          <w:color w:val="auto"/>
        </w:rPr>
      </w:pPr>
    </w:p>
    <w:p>
      <w:pPr>
        <w:jc w:val="both"/>
        <w:ind w:left="440" w:hanging="304"/>
        <w:spacing w:after="0" w:line="263" w:lineRule="auto"/>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 registration fee in the aggregate amount of $4,404.96 was previously paid by the registrant in connection with the filing of a different Registration Statement on Form S-1 (Registration No. 333-195901), first filed on May 12, 2014 and subsequently withdrawn prior to the sale of any securities thereunder. Pursuant to Rule 457(p) under the Securities Act, the Registrant hereby applies all $4,404.96 of the previously paid filing fee against amounts due herewith. As a result, an additional fee of $234.30 is due in connection with this filing.</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192405</wp:posOffset>
            </wp:positionV>
            <wp:extent cx="729932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370205</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33" w:right="199" w:bottom="1440" w:gutter="0" w:footer="0" w:header="0"/>
        </w:sectPr>
      </w:pPr>
    </w:p>
    <w:bookmarkStart w:id="2" w:name="page3"/>
    <w:bookmarkEnd w:id="2"/>
    <w:p>
      <w:pPr>
        <w:jc w:val="both"/>
        <w:ind w:right="20"/>
        <w:spacing w:after="0" w:line="276" w:lineRule="auto"/>
        <w:rPr>
          <w:sz w:val="20"/>
          <w:szCs w:val="20"/>
          <w:color w:val="auto"/>
        </w:rPr>
      </w:pPr>
      <w:r>
        <w:rPr>
          <w:rFonts w:ascii="Arial" w:cs="Arial" w:eastAsia="Arial" w:hAnsi="Arial"/>
          <w:sz w:val="12"/>
          <w:szCs w:val="12"/>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PRELIMINARY PROSPECTUS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(Subject to Completion)</w:t>
      </w:r>
    </w:p>
    <w:p>
      <w:pPr>
        <w:spacing w:after="0" w:line="155" w:lineRule="exact"/>
        <w:rPr>
          <w:sz w:val="20"/>
          <w:szCs w:val="20"/>
          <w:color w:val="auto"/>
        </w:rPr>
      </w:pPr>
    </w:p>
    <w:p>
      <w:pPr>
        <w:ind w:left="5080"/>
        <w:spacing w:after="0"/>
        <w:rPr>
          <w:sz w:val="20"/>
          <w:szCs w:val="20"/>
          <w:color w:val="auto"/>
        </w:rPr>
      </w:pPr>
      <w:r>
        <w:rPr>
          <w:rFonts w:ascii="Arial" w:cs="Arial" w:eastAsia="Arial" w:hAnsi="Arial"/>
          <w:sz w:val="12"/>
          <w:szCs w:val="12"/>
          <w:b w:val="1"/>
          <w:bCs w:val="1"/>
          <w:color w:val="auto"/>
        </w:rPr>
        <w:t>Dated _________ __, 2015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3,992,479 Shares of Common Stock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15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registering for resale up to 3,992,479 shares of common stock, $0.001 per share, of VistaGen Therapeutics, Inc. (“</w:t>
      </w:r>
      <w:r>
        <w:rPr>
          <w:rFonts w:ascii="Arial" w:cs="Arial" w:eastAsia="Arial" w:hAnsi="Arial"/>
          <w:sz w:val="12"/>
          <w:szCs w:val="12"/>
          <w:i w:val="1"/>
          <w:iCs w:val="1"/>
          <w:color w:val="auto"/>
        </w:rPr>
        <w:t>we</w:t>
      </w:r>
      <w:r>
        <w:rPr>
          <w:rFonts w:ascii="Arial" w:cs="Arial" w:eastAsia="Arial" w:hAnsi="Arial"/>
          <w:sz w:val="12"/>
          <w:szCs w:val="12"/>
          <w:color w:val="auto"/>
        </w:rPr>
        <w:t>,” “</w:t>
      </w:r>
      <w:r>
        <w:rPr>
          <w:rFonts w:ascii="Arial" w:cs="Arial" w:eastAsia="Arial" w:hAnsi="Arial"/>
          <w:sz w:val="12"/>
          <w:szCs w:val="12"/>
          <w:i w:val="1"/>
          <w:iCs w:val="1"/>
          <w:color w:val="auto"/>
        </w:rPr>
        <w:t>us</w:t>
      </w:r>
      <w:r>
        <w:rPr>
          <w:rFonts w:ascii="Arial" w:cs="Arial" w:eastAsia="Arial" w:hAnsi="Arial"/>
          <w:sz w:val="12"/>
          <w:szCs w:val="12"/>
          <w:color w:val="auto"/>
        </w:rPr>
        <w:t>,” or the “</w:t>
      </w:r>
      <w:r>
        <w:rPr>
          <w:rFonts w:ascii="Arial" w:cs="Arial" w:eastAsia="Arial" w:hAnsi="Arial"/>
          <w:sz w:val="12"/>
          <w:szCs w:val="12"/>
          <w:i w:val="1"/>
          <w:iCs w:val="1"/>
          <w:color w:val="auto"/>
        </w:rPr>
        <w:t>Company</w:t>
      </w:r>
      <w:r>
        <w:rPr>
          <w:rFonts w:ascii="Arial" w:cs="Arial" w:eastAsia="Arial" w:hAnsi="Arial"/>
          <w:sz w:val="12"/>
          <w:szCs w:val="12"/>
          <w:color w:val="auto"/>
        </w:rPr>
        <w:t>”), held by the selling stockholders listed beginning on page 115 of this prospectus (“</w:t>
      </w:r>
      <w:r>
        <w:rPr>
          <w:rFonts w:ascii="Arial" w:cs="Arial" w:eastAsia="Arial" w:hAnsi="Arial"/>
          <w:sz w:val="12"/>
          <w:szCs w:val="12"/>
          <w:i w:val="1"/>
          <w:iCs w:val="1"/>
          <w:color w:val="auto"/>
        </w:rPr>
        <w:t>Selling Stockholders</w:t>
      </w:r>
      <w:r>
        <w:rPr>
          <w:rFonts w:ascii="Arial" w:cs="Arial" w:eastAsia="Arial" w:hAnsi="Arial"/>
          <w:sz w:val="12"/>
          <w:szCs w:val="12"/>
          <w:color w:val="auto"/>
        </w:rPr>
        <w:t>”). All of the shares being registered are being or may be offered for resale by the Selling Stockholders. The shares of common stock registered for potential resale by the selling stockholders under this prospectus include:</w:t>
      </w:r>
    </w:p>
    <w:p>
      <w:pPr>
        <w:spacing w:after="0" w:line="141" w:lineRule="exact"/>
        <w:rPr>
          <w:sz w:val="20"/>
          <w:szCs w:val="20"/>
          <w:color w:val="auto"/>
        </w:rPr>
      </w:pPr>
    </w:p>
    <w:p>
      <w:pPr>
        <w:ind w:left="1020" w:hanging="381"/>
        <w:spacing w:after="0" w:line="276" w:lineRule="auto"/>
        <w:tabs>
          <w:tab w:leader="none" w:pos="1020" w:val="left"/>
        </w:tabs>
        <w:numPr>
          <w:ilvl w:val="0"/>
          <w:numId w:val="2"/>
        </w:numPr>
        <w:rPr>
          <w:rFonts w:ascii="Arial" w:cs="Arial" w:eastAsia="Arial" w:hAnsi="Arial"/>
          <w:sz w:val="12"/>
          <w:szCs w:val="12"/>
          <w:color w:val="auto"/>
        </w:rPr>
      </w:pPr>
      <w:r>
        <w:rPr>
          <w:rFonts w:ascii="Arial" w:cs="Arial" w:eastAsia="Arial" w:hAnsi="Arial"/>
          <w:sz w:val="12"/>
          <w:szCs w:val="12"/>
          <w:color w:val="auto"/>
        </w:rPr>
        <w:t>up to 2,951,688 shares of common stock issuable upon conversion of shares of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issued in a series of self-placed private placement transactions, the first of which was consummated on May 12, 2015 (the “</w:t>
      </w:r>
      <w:r>
        <w:rPr>
          <w:rFonts w:ascii="Arial" w:cs="Arial" w:eastAsia="Arial" w:hAnsi="Arial"/>
          <w:sz w:val="12"/>
          <w:szCs w:val="12"/>
          <w:i w:val="1"/>
          <w:iCs w:val="1"/>
          <w:color w:val="auto"/>
        </w:rPr>
        <w:t>Private Placements</w:t>
      </w:r>
      <w:r>
        <w:rPr>
          <w:rFonts w:ascii="Arial" w:cs="Arial" w:eastAsia="Arial" w:hAnsi="Arial"/>
          <w:sz w:val="12"/>
          <w:szCs w:val="12"/>
          <w:color w:val="auto"/>
        </w:rPr>
        <w:t>”); and</w:t>
      </w:r>
    </w:p>
    <w:p>
      <w:pPr>
        <w:spacing w:after="0" w:line="114" w:lineRule="exact"/>
        <w:rPr>
          <w:rFonts w:ascii="Arial" w:cs="Arial" w:eastAsia="Arial" w:hAnsi="Arial"/>
          <w:sz w:val="12"/>
          <w:szCs w:val="12"/>
          <w:color w:val="auto"/>
        </w:rPr>
      </w:pPr>
    </w:p>
    <w:p>
      <w:pPr>
        <w:ind w:left="1020" w:hanging="381"/>
        <w:spacing w:after="0"/>
        <w:tabs>
          <w:tab w:leader="none" w:pos="1020" w:val="left"/>
        </w:tabs>
        <w:numPr>
          <w:ilvl w:val="0"/>
          <w:numId w:val="2"/>
        </w:numPr>
        <w:rPr>
          <w:rFonts w:ascii="Arial" w:cs="Arial" w:eastAsia="Arial" w:hAnsi="Arial"/>
          <w:sz w:val="12"/>
          <w:szCs w:val="12"/>
          <w:color w:val="auto"/>
        </w:rPr>
      </w:pPr>
      <w:r>
        <w:rPr>
          <w:rFonts w:ascii="Arial" w:cs="Arial" w:eastAsia="Arial" w:hAnsi="Arial"/>
          <w:sz w:val="12"/>
          <w:szCs w:val="12"/>
          <w:color w:val="auto"/>
        </w:rPr>
        <w:t>up to 1,040,791 shares of common stock issuable upon exercise of warrants to purchase common stock (“</w:t>
      </w:r>
      <w:r>
        <w:rPr>
          <w:rFonts w:ascii="Arial" w:cs="Arial" w:eastAsia="Arial" w:hAnsi="Arial"/>
          <w:sz w:val="12"/>
          <w:szCs w:val="12"/>
          <w:i w:val="1"/>
          <w:iCs w:val="1"/>
          <w:color w:val="auto"/>
        </w:rPr>
        <w:t>Warrants</w:t>
      </w:r>
      <w:r>
        <w:rPr>
          <w:rFonts w:ascii="Arial" w:cs="Arial" w:eastAsia="Arial" w:hAnsi="Arial"/>
          <w:sz w:val="12"/>
          <w:szCs w:val="12"/>
          <w:color w:val="auto"/>
        </w:rPr>
        <w:t>”) issued in connection with the Private Placements.</w:t>
      </w:r>
    </w:p>
    <w:p>
      <w:pPr>
        <w:spacing w:after="0" w:line="150"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2"/>
          <w:szCs w:val="12"/>
          <w:color w:val="auto"/>
        </w:rPr>
        <w:t>We will not receive any proceeds from the resale of any shares of common stock by the Selling Stockholders under this prospectus. However, if Warrants are exercised by the Selling Stockholders who hold them, we will receive the exercise price of any such Warrant exercises. We will pay the expenses of registering the shares of common stock for resale by the Selling Stockholders under this prospectus. See “</w:t>
      </w:r>
      <w:r>
        <w:rPr>
          <w:rFonts w:ascii="Arial" w:cs="Arial" w:eastAsia="Arial" w:hAnsi="Arial"/>
          <w:sz w:val="12"/>
          <w:szCs w:val="12"/>
          <w:i w:val="1"/>
          <w:iCs w:val="1"/>
          <w:color w:val="auto"/>
        </w:rPr>
        <w:t>Selling Stockholders</w:t>
      </w:r>
      <w:r>
        <w:rPr>
          <w:rFonts w:ascii="Arial" w:cs="Arial" w:eastAsia="Arial" w:hAnsi="Arial"/>
          <w:sz w:val="12"/>
          <w:szCs w:val="12"/>
          <w:color w:val="auto"/>
        </w:rPr>
        <w:t>” beginning on page 115 of this prospectus for a list of the Selling Stockholders.</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shares of common stock are being registered to provide the Selling Stockholders the opportunity to resell the shares from time to time, in amounts and at prices and on terms they may determine at the time of the offering. The Selling Stockholders may resell the shares of our common stock covered by this prospectus in a number of different ways and at prevailing market prices or privately negotiated transactions. We provide more information about how the Selling Stockholders may resell their shares in the section entitled “</w:t>
      </w:r>
      <w:r>
        <w:rPr>
          <w:rFonts w:ascii="Arial" w:cs="Arial" w:eastAsia="Arial" w:hAnsi="Arial"/>
          <w:sz w:val="12"/>
          <w:szCs w:val="12"/>
          <w:i w:val="1"/>
          <w:iCs w:val="1"/>
          <w:color w:val="auto"/>
        </w:rPr>
        <w:t>Plan of Distribution</w:t>
      </w:r>
      <w:r>
        <w:rPr>
          <w:rFonts w:ascii="Arial" w:cs="Arial" w:eastAsia="Arial" w:hAnsi="Arial"/>
          <w:sz w:val="12"/>
          <w:szCs w:val="12"/>
          <w:color w:val="auto"/>
        </w:rPr>
        <w:t>” beginning on page 118 of this prospectus.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common stock is quoted on the OTCQB under the symbol “VSTA.” The last reported sale price of our common stock on August 24, 2015 was $10.00 per share.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underwriter or other person has been engaged to facilitate the resale of shares of common stock or exercise of Warrants by the Selling Stockholders under this prospectus.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You should rely only on the information contained in this prospectus. We have not, and the Selling Stockholders have not, authorized anyone to provide you with different information. No dealer, salesperson or other person is authorized to give any information or to represent anything not contained in this prospectus. You must not rely on any unauthorized information or representations. If anyone provides you with different information, you should not rely on it. We are not, and the Selling Stockholders are not, making an offer to sell these securities in any jurisdiction where the offer or sale is not permitted. You should assume that the information contained in this prospectus is accurate only as of the date on the front cover of this prospectus. Our business, financial condition, results of operations and prospects may have changed since that date.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Investing in our common stock involves a high degree of risk. See “Risk Factors” beginning on page 3 of this prospectus.</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9"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The date of this prospectus is ______ __,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280670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37"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60" w:type="dxa"/>
            <w:vAlign w:val="bottom"/>
            <w:gridSpan w:val="2"/>
          </w:tcPr>
          <w:p>
            <w:pPr>
              <w:jc w:val="center"/>
              <w:ind w:right="3980"/>
              <w:spacing w:after="0"/>
              <w:rPr>
                <w:sz w:val="20"/>
                <w:szCs w:val="20"/>
                <w:color w:val="auto"/>
              </w:rPr>
            </w:pPr>
            <w:r>
              <w:rPr>
                <w:rFonts w:ascii="Arial" w:cs="Arial" w:eastAsia="Arial" w:hAnsi="Arial"/>
                <w:sz w:val="12"/>
                <w:szCs w:val="12"/>
                <w:b w:val="1"/>
                <w:bCs w:val="1"/>
                <w:color w:val="auto"/>
                <w:w w:val="91"/>
              </w:rPr>
              <w:t>VistaGen Therapeutics, Inc.</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60" w:type="dxa"/>
            <w:vAlign w:val="bottom"/>
            <w:gridSpan w:val="2"/>
          </w:tcPr>
          <w:p>
            <w:pPr>
              <w:jc w:val="center"/>
              <w:ind w:right="3980"/>
              <w:spacing w:after="0"/>
              <w:rPr>
                <w:sz w:val="20"/>
                <w:szCs w:val="20"/>
                <w:color w:val="auto"/>
              </w:rPr>
            </w:pPr>
            <w:r>
              <w:rPr>
                <w:rFonts w:ascii="Arial" w:cs="Arial" w:eastAsia="Arial" w:hAnsi="Arial"/>
                <w:sz w:val="12"/>
                <w:szCs w:val="12"/>
                <w:b w:val="1"/>
                <w:bCs w:val="1"/>
                <w:color w:val="auto"/>
                <w:w w:val="98"/>
              </w:rPr>
              <w:t>TABLE OF CONTENTS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0540" w:type="dxa"/>
            <w:vAlign w:val="bottom"/>
            <w:gridSpan w:val="20"/>
            <w:shd w:val="clear" w:color="auto" w:fill="CCEEFF"/>
          </w:tcPr>
          <w:p>
            <w:pPr>
              <w:spacing w:after="0" w:line="117" w:lineRule="exact"/>
              <w:rPr>
                <w:rFonts w:ascii="Arial" w:cs="Arial" w:eastAsia="Arial" w:hAnsi="Arial"/>
                <w:sz w:val="12"/>
                <w:szCs w:val="12"/>
                <w:color w:val="0000EE"/>
              </w:rPr>
            </w:pPr>
            <w:hyperlink w:anchor="page6">
              <w:r>
                <w:rPr>
                  <w:rFonts w:ascii="Arial" w:cs="Arial" w:eastAsia="Arial" w:hAnsi="Arial"/>
                  <w:sz w:val="12"/>
                  <w:szCs w:val="12"/>
                  <w:color w:val="0000EE"/>
                </w:rPr>
                <w:t>Prospectus Summary</w:t>
              </w:r>
            </w:hyperlink>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0" w:type="dxa"/>
            <w:vAlign w:val="bottom"/>
            <w:tcBorders>
              <w:top w:val="single" w:sz="8" w:color="0000EE"/>
              <w:bottom w:val="single" w:sz="8" w:color="0000EE"/>
            </w:tcBorders>
            <w:gridSpan w:val="4"/>
          </w:tcPr>
          <w:p>
            <w:pPr>
              <w:spacing w:after="0" w:line="117" w:lineRule="exact"/>
              <w:rPr>
                <w:rFonts w:ascii="Arial" w:cs="Arial" w:eastAsia="Arial" w:hAnsi="Arial"/>
                <w:sz w:val="12"/>
                <w:szCs w:val="12"/>
                <w:color w:val="0000EE"/>
                <w:w w:val="89"/>
              </w:rPr>
            </w:pPr>
            <w:hyperlink w:anchor="page6">
              <w:r>
                <w:rPr>
                  <w:rFonts w:ascii="Arial" w:cs="Arial" w:eastAsia="Arial" w:hAnsi="Arial"/>
                  <w:sz w:val="12"/>
                  <w:szCs w:val="12"/>
                  <w:color w:val="0000EE"/>
                  <w:w w:val="89"/>
                </w:rPr>
                <w:t>The Offering</w:t>
              </w:r>
            </w:hyperlink>
          </w:p>
        </w:tc>
        <w:tc>
          <w:tcPr>
            <w:tcW w:w="340" w:type="dxa"/>
            <w:vAlign w:val="bottom"/>
            <w:tcBorders>
              <w:top w:val="single" w:sz="8" w:color="0000EE"/>
            </w:tcBorders>
            <w:gridSpan w:val="2"/>
          </w:tcPr>
          <w:p>
            <w:pPr>
              <w:spacing w:after="0"/>
              <w:rPr>
                <w:sz w:val="10"/>
                <w:szCs w:val="10"/>
                <w:color w:val="auto"/>
              </w:rPr>
            </w:pPr>
          </w:p>
        </w:tc>
        <w:tc>
          <w:tcPr>
            <w:tcW w:w="9560" w:type="dxa"/>
            <w:vAlign w:val="bottom"/>
            <w:tcBorders>
              <w:top w:val="single" w:sz="8" w:color="CCEEFF"/>
            </w:tcBorders>
            <w:gridSpan w:val="14"/>
          </w:tcPr>
          <w:p>
            <w:pPr>
              <w:spacing w:after="0"/>
              <w:rPr>
                <w:sz w:val="10"/>
                <w:szCs w:val="10"/>
                <w:color w:val="auto"/>
              </w:rPr>
            </w:pPr>
          </w:p>
        </w:tc>
        <w:tc>
          <w:tcPr>
            <w:tcW w:w="9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9"/>
              </w:rPr>
              <w:t>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80" w:type="dxa"/>
            <w:vAlign w:val="bottom"/>
            <w:tcBorders>
              <w:bottom w:val="single" w:sz="8" w:color="0000EE"/>
            </w:tcBorders>
            <w:gridSpan w:val="3"/>
            <w:shd w:val="clear" w:color="auto" w:fill="CCEEFF"/>
          </w:tcPr>
          <w:p>
            <w:pPr>
              <w:spacing w:after="0" w:line="117" w:lineRule="exact"/>
              <w:rPr>
                <w:rFonts w:ascii="Arial" w:cs="Arial" w:eastAsia="Arial" w:hAnsi="Arial"/>
                <w:sz w:val="12"/>
                <w:szCs w:val="12"/>
                <w:color w:val="0000EE"/>
                <w:w w:val="83"/>
              </w:rPr>
            </w:pPr>
            <w:hyperlink w:anchor="page7">
              <w:r>
                <w:rPr>
                  <w:rFonts w:ascii="Arial" w:cs="Arial" w:eastAsia="Arial" w:hAnsi="Arial"/>
                  <w:sz w:val="12"/>
                  <w:szCs w:val="12"/>
                  <w:color w:val="0000EE"/>
                  <w:w w:val="83"/>
                </w:rPr>
                <w:t>Risk Factors</w:t>
              </w:r>
            </w:hyperlink>
          </w:p>
        </w:tc>
        <w:tc>
          <w:tcPr>
            <w:tcW w:w="9960" w:type="dxa"/>
            <w:vAlign w:val="bottom"/>
            <w:tcBorders>
              <w:bottom w:val="single" w:sz="8" w:color="CCEEFF"/>
            </w:tcBorders>
            <w:gridSpan w:val="17"/>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Borders>
              <w:bottom w:val="single" w:sz="8" w:color="0000EE"/>
            </w:tcBorders>
            <w:gridSpan w:val="5"/>
          </w:tcPr>
          <w:p>
            <w:pPr>
              <w:spacing w:after="0" w:line="117" w:lineRule="exact"/>
              <w:rPr>
                <w:rFonts w:ascii="Arial" w:cs="Arial" w:eastAsia="Arial" w:hAnsi="Arial"/>
                <w:sz w:val="12"/>
                <w:szCs w:val="12"/>
                <w:color w:val="0000EE"/>
                <w:w w:val="83"/>
              </w:rPr>
            </w:pPr>
            <w:hyperlink w:anchor="page37">
              <w:r>
                <w:rPr>
                  <w:rFonts w:ascii="Arial" w:cs="Arial" w:eastAsia="Arial" w:hAnsi="Arial"/>
                  <w:sz w:val="12"/>
                  <w:szCs w:val="12"/>
                  <w:color w:val="0000EE"/>
                  <w:w w:val="83"/>
                </w:rPr>
                <w:t>Use of Proceeds</w:t>
              </w:r>
            </w:hyperlink>
          </w:p>
        </w:tc>
        <w:tc>
          <w:tcPr>
            <w:tcW w:w="9780" w:type="dxa"/>
            <w:vAlign w:val="bottom"/>
            <w:gridSpan w:val="15"/>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33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60" w:type="dxa"/>
            <w:vAlign w:val="bottom"/>
            <w:tcBorders>
              <w:bottom w:val="single" w:sz="8" w:color="0000EE"/>
            </w:tcBorders>
            <w:gridSpan w:val="12"/>
            <w:shd w:val="clear" w:color="auto" w:fill="CCEEFF"/>
          </w:tcPr>
          <w:p>
            <w:pPr>
              <w:spacing w:after="0" w:line="117" w:lineRule="exact"/>
              <w:rPr>
                <w:rFonts w:ascii="Arial" w:cs="Arial" w:eastAsia="Arial" w:hAnsi="Arial"/>
                <w:sz w:val="12"/>
                <w:szCs w:val="12"/>
                <w:color w:val="0000EE"/>
                <w:w w:val="89"/>
              </w:rPr>
            </w:pPr>
            <w:hyperlink w:anchor="page37">
              <w:r>
                <w:rPr>
                  <w:rFonts w:ascii="Arial" w:cs="Arial" w:eastAsia="Arial" w:hAnsi="Arial"/>
                  <w:sz w:val="12"/>
                  <w:szCs w:val="12"/>
                  <w:color w:val="0000EE"/>
                  <w:w w:val="89"/>
                </w:rPr>
                <w:t>Special Note Regarding Forward-Looking Statements</w:t>
              </w:r>
            </w:hyperlink>
          </w:p>
        </w:tc>
        <w:tc>
          <w:tcPr>
            <w:tcW w:w="7980" w:type="dxa"/>
            <w:vAlign w:val="bottom"/>
            <w:tcBorders>
              <w:bottom w:val="single" w:sz="8" w:color="CCEEFF"/>
            </w:tcBorders>
            <w:gridSpan w:val="8"/>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33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Borders>
              <w:bottom w:val="single" w:sz="8" w:color="0000EE"/>
            </w:tcBorders>
            <w:gridSpan w:val="2"/>
          </w:tcPr>
          <w:p>
            <w:pPr>
              <w:spacing w:after="0" w:line="117" w:lineRule="exact"/>
              <w:rPr>
                <w:rFonts w:ascii="Arial" w:cs="Arial" w:eastAsia="Arial" w:hAnsi="Arial"/>
                <w:sz w:val="12"/>
                <w:szCs w:val="12"/>
                <w:color w:val="0000EE"/>
                <w:w w:val="77"/>
              </w:rPr>
            </w:pPr>
            <w:hyperlink w:anchor="page38">
              <w:r>
                <w:rPr>
                  <w:rFonts w:ascii="Arial" w:cs="Arial" w:eastAsia="Arial" w:hAnsi="Arial"/>
                  <w:sz w:val="12"/>
                  <w:szCs w:val="12"/>
                  <w:color w:val="0000EE"/>
                  <w:w w:val="77"/>
                </w:rPr>
                <w:t>Business</w:t>
              </w:r>
            </w:hyperlink>
          </w:p>
        </w:tc>
        <w:tc>
          <w:tcPr>
            <w:tcW w:w="10140" w:type="dxa"/>
            <w:vAlign w:val="bottom"/>
            <w:gridSpan w:val="18"/>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34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540" w:type="dxa"/>
            <w:vAlign w:val="bottom"/>
            <w:gridSpan w:val="20"/>
            <w:shd w:val="clear" w:color="auto" w:fill="CCEEFF"/>
          </w:tcPr>
          <w:p>
            <w:pPr>
              <w:spacing w:after="0" w:line="117" w:lineRule="exact"/>
              <w:rPr>
                <w:rFonts w:ascii="Arial" w:cs="Arial" w:eastAsia="Arial" w:hAnsi="Arial"/>
                <w:sz w:val="12"/>
                <w:szCs w:val="12"/>
                <w:color w:val="0000EE"/>
              </w:rPr>
            </w:pPr>
            <w:hyperlink w:anchor="page77">
              <w:r>
                <w:rPr>
                  <w:rFonts w:ascii="Arial" w:cs="Arial" w:eastAsia="Arial" w:hAnsi="Arial"/>
                  <w:sz w:val="12"/>
                  <w:szCs w:val="12"/>
                  <w:color w:val="0000EE"/>
                </w:rPr>
                <w:t>Legal Proceedings</w:t>
              </w:r>
            </w:hyperlink>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020" w:type="dxa"/>
            <w:vAlign w:val="bottom"/>
            <w:tcBorders>
              <w:bottom w:val="single" w:sz="8" w:color="0000EE"/>
            </w:tcBorders>
            <w:gridSpan w:val="14"/>
          </w:tcPr>
          <w:p>
            <w:pPr>
              <w:spacing w:after="0" w:line="117" w:lineRule="exact"/>
              <w:rPr>
                <w:rFonts w:ascii="Arial" w:cs="Arial" w:eastAsia="Arial" w:hAnsi="Arial"/>
                <w:sz w:val="12"/>
                <w:szCs w:val="12"/>
                <w:color w:val="0000EE"/>
                <w:w w:val="90"/>
              </w:rPr>
            </w:pPr>
            <w:hyperlink w:anchor="page78">
              <w:r>
                <w:rPr>
                  <w:rFonts w:ascii="Arial" w:cs="Arial" w:eastAsia="Arial" w:hAnsi="Arial"/>
                  <w:sz w:val="12"/>
                  <w:szCs w:val="12"/>
                  <w:color w:val="0000EE"/>
                  <w:w w:val="90"/>
                </w:rPr>
                <w:t>Market Price of Common Stock and Other Stockholder Matters</w:t>
              </w:r>
            </w:hyperlink>
          </w:p>
        </w:tc>
        <w:tc>
          <w:tcPr>
            <w:tcW w:w="7520" w:type="dxa"/>
            <w:vAlign w:val="bottom"/>
            <w:gridSpan w:val="6"/>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74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80" w:type="dxa"/>
            <w:vAlign w:val="bottom"/>
            <w:tcBorders>
              <w:bottom w:val="single" w:sz="8" w:color="0000EE"/>
            </w:tcBorders>
            <w:gridSpan w:val="8"/>
            <w:shd w:val="clear" w:color="auto" w:fill="CCEEFF"/>
          </w:tcPr>
          <w:p>
            <w:pPr>
              <w:spacing w:after="0" w:line="117" w:lineRule="exact"/>
              <w:rPr>
                <w:rFonts w:ascii="Arial" w:cs="Arial" w:eastAsia="Arial" w:hAnsi="Arial"/>
                <w:sz w:val="12"/>
                <w:szCs w:val="12"/>
                <w:color w:val="0000EE"/>
                <w:w w:val="87"/>
              </w:rPr>
            </w:pPr>
            <w:hyperlink w:anchor="page79">
              <w:r>
                <w:rPr>
                  <w:rFonts w:ascii="Arial" w:cs="Arial" w:eastAsia="Arial" w:hAnsi="Arial"/>
                  <w:sz w:val="12"/>
                  <w:szCs w:val="12"/>
                  <w:color w:val="0000EE"/>
                  <w:w w:val="87"/>
                </w:rPr>
                <w:t>Selected Consolidated Financial Data</w:t>
              </w:r>
            </w:hyperlink>
          </w:p>
        </w:tc>
        <w:tc>
          <w:tcPr>
            <w:tcW w:w="8760" w:type="dxa"/>
            <w:vAlign w:val="bottom"/>
            <w:tcBorders>
              <w:bottom w:val="single" w:sz="8" w:color="CCEEFF"/>
            </w:tcBorders>
            <w:gridSpan w:val="12"/>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75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80" w:type="dxa"/>
            <w:vAlign w:val="bottom"/>
            <w:tcBorders>
              <w:bottom w:val="single" w:sz="8" w:color="0000EE"/>
            </w:tcBorders>
            <w:gridSpan w:val="16"/>
          </w:tcPr>
          <w:p>
            <w:pPr>
              <w:spacing w:after="0" w:line="117" w:lineRule="exact"/>
              <w:rPr>
                <w:rFonts w:ascii="Arial" w:cs="Arial" w:eastAsia="Arial" w:hAnsi="Arial"/>
                <w:sz w:val="12"/>
                <w:szCs w:val="12"/>
                <w:color w:val="0000EE"/>
                <w:w w:val="90"/>
              </w:rPr>
            </w:pPr>
            <w:hyperlink w:anchor="page79">
              <w:r>
                <w:rPr>
                  <w:rFonts w:ascii="Arial" w:cs="Arial" w:eastAsia="Arial" w:hAnsi="Arial"/>
                  <w:sz w:val="12"/>
                  <w:szCs w:val="12"/>
                  <w:color w:val="0000EE"/>
                  <w:w w:val="90"/>
                </w:rPr>
                <w:t>Management’s Discussion and Analysis of Financial Condition and Results of Operations</w:t>
              </w:r>
            </w:hyperlink>
          </w:p>
        </w:tc>
        <w:tc>
          <w:tcPr>
            <w:tcW w:w="6260" w:type="dxa"/>
            <w:vAlign w:val="bottom"/>
            <w:gridSpan w:val="4"/>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75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00" w:type="dxa"/>
            <w:vAlign w:val="bottom"/>
            <w:tcBorders>
              <w:bottom w:val="single" w:sz="8" w:color="0000EE"/>
            </w:tcBorders>
            <w:gridSpan w:val="17"/>
            <w:shd w:val="clear" w:color="auto" w:fill="CCEEFF"/>
          </w:tcPr>
          <w:p>
            <w:pPr>
              <w:spacing w:after="0" w:line="117" w:lineRule="exact"/>
              <w:rPr>
                <w:rFonts w:ascii="Arial" w:cs="Arial" w:eastAsia="Arial" w:hAnsi="Arial"/>
                <w:sz w:val="12"/>
                <w:szCs w:val="12"/>
                <w:color w:val="0000EE"/>
                <w:w w:val="89"/>
              </w:rPr>
            </w:pPr>
            <w:hyperlink w:anchor="page97">
              <w:r>
                <w:rPr>
                  <w:rFonts w:ascii="Arial" w:cs="Arial" w:eastAsia="Arial" w:hAnsi="Arial"/>
                  <w:sz w:val="12"/>
                  <w:szCs w:val="12"/>
                  <w:color w:val="0000EE"/>
                  <w:w w:val="89"/>
                </w:rPr>
                <w:t>Changes in and Disagreements with Accountants on Accounting and Financial Disclosure</w:t>
              </w:r>
            </w:hyperlink>
          </w:p>
        </w:tc>
        <w:tc>
          <w:tcPr>
            <w:tcW w:w="6240" w:type="dxa"/>
            <w:vAlign w:val="bottom"/>
            <w:tcBorders>
              <w:bottom w:val="single" w:sz="8" w:color="CCEEFF"/>
            </w:tcBorders>
            <w:gridSpan w:val="3"/>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93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40" w:type="dxa"/>
            <w:vAlign w:val="bottom"/>
            <w:tcBorders>
              <w:bottom w:val="single" w:sz="8" w:color="0000EE"/>
            </w:tcBorders>
            <w:gridSpan w:val="13"/>
          </w:tcPr>
          <w:p>
            <w:pPr>
              <w:spacing w:after="0" w:line="117" w:lineRule="exact"/>
              <w:rPr>
                <w:rFonts w:ascii="Arial" w:cs="Arial" w:eastAsia="Arial" w:hAnsi="Arial"/>
                <w:sz w:val="12"/>
                <w:szCs w:val="12"/>
                <w:color w:val="0000EE"/>
                <w:w w:val="89"/>
              </w:rPr>
            </w:pPr>
            <w:hyperlink w:anchor="page97">
              <w:r>
                <w:rPr>
                  <w:rFonts w:ascii="Arial" w:cs="Arial" w:eastAsia="Arial" w:hAnsi="Arial"/>
                  <w:sz w:val="12"/>
                  <w:szCs w:val="12"/>
                  <w:color w:val="0000EE"/>
                  <w:w w:val="89"/>
                </w:rPr>
                <w:t>Directors, Executive Officers, Promoters and Control Persons</w:t>
              </w:r>
            </w:hyperlink>
          </w:p>
        </w:tc>
        <w:tc>
          <w:tcPr>
            <w:tcW w:w="7600" w:type="dxa"/>
            <w:vAlign w:val="bottom"/>
            <w:gridSpan w:val="7"/>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97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80" w:type="dxa"/>
            <w:vAlign w:val="bottom"/>
            <w:tcBorders>
              <w:bottom w:val="single" w:sz="8" w:color="0000EE"/>
            </w:tcBorders>
            <w:gridSpan w:val="7"/>
            <w:shd w:val="clear" w:color="auto" w:fill="CCEEFF"/>
          </w:tcPr>
          <w:p>
            <w:pPr>
              <w:spacing w:after="0" w:line="117" w:lineRule="exact"/>
              <w:rPr>
                <w:rFonts w:ascii="Arial" w:cs="Arial" w:eastAsia="Arial" w:hAnsi="Arial"/>
                <w:sz w:val="12"/>
                <w:szCs w:val="12"/>
                <w:color w:val="0000EE"/>
                <w:w w:val="87"/>
              </w:rPr>
            </w:pPr>
            <w:hyperlink w:anchor="page102">
              <w:r>
                <w:rPr>
                  <w:rFonts w:ascii="Arial" w:cs="Arial" w:eastAsia="Arial" w:hAnsi="Arial"/>
                  <w:sz w:val="12"/>
                  <w:szCs w:val="12"/>
                  <w:color w:val="0000EE"/>
                  <w:w w:val="87"/>
                </w:rPr>
                <w:t>Executive Compensation</w:t>
              </w:r>
            </w:hyperlink>
          </w:p>
        </w:tc>
        <w:tc>
          <w:tcPr>
            <w:tcW w:w="9360" w:type="dxa"/>
            <w:vAlign w:val="bottom"/>
            <w:tcBorders>
              <w:bottom w:val="single" w:sz="8" w:color="CCEEFF"/>
            </w:tcBorders>
            <w:gridSpan w:val="13"/>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98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540" w:type="dxa"/>
            <w:vAlign w:val="bottom"/>
            <w:gridSpan w:val="20"/>
          </w:tcPr>
          <w:p>
            <w:pPr>
              <w:spacing w:after="0" w:line="117" w:lineRule="exact"/>
              <w:rPr>
                <w:rFonts w:ascii="Arial" w:cs="Arial" w:eastAsia="Arial" w:hAnsi="Arial"/>
                <w:sz w:val="12"/>
                <w:szCs w:val="12"/>
                <w:color w:val="0000EE"/>
              </w:rPr>
            </w:pPr>
            <w:hyperlink w:anchor="page109">
              <w:r>
                <w:rPr>
                  <w:rFonts w:ascii="Arial" w:cs="Arial" w:eastAsia="Arial" w:hAnsi="Arial"/>
                  <w:sz w:val="12"/>
                  <w:szCs w:val="12"/>
                  <w:color w:val="0000EE"/>
                </w:rPr>
                <w:t>Certain Relationships and Related Transactions</w:t>
              </w:r>
            </w:hyperlink>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0540" w:type="dxa"/>
            <w:vAlign w:val="bottom"/>
            <w:gridSpan w:val="20"/>
            <w:shd w:val="clear" w:color="auto" w:fill="CCEEFF"/>
          </w:tcPr>
          <w:p>
            <w:pPr>
              <w:spacing w:after="0" w:line="117" w:lineRule="exact"/>
              <w:rPr>
                <w:sz w:val="20"/>
                <w:szCs w:val="20"/>
                <w:color w:val="auto"/>
              </w:rPr>
            </w:pPr>
            <w:r>
              <w:rPr>
                <w:rFonts w:ascii="Arial" w:cs="Arial" w:eastAsia="Arial" w:hAnsi="Arial"/>
                <w:sz w:val="12"/>
                <w:szCs w:val="12"/>
                <w:color w:val="0000EE"/>
              </w:rPr>
              <w:t>Security Ownership of Certain Beneficial Owners and Management and Related Stockholders Matters</w:t>
            </w:r>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106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80" w:type="dxa"/>
            <w:vAlign w:val="bottom"/>
            <w:tcBorders>
              <w:top w:val="single" w:sz="8" w:color="0000EE"/>
              <w:bottom w:val="single" w:sz="8" w:color="0000EE"/>
            </w:tcBorders>
            <w:gridSpan w:val="10"/>
          </w:tcPr>
          <w:p>
            <w:pPr>
              <w:spacing w:after="0" w:line="117" w:lineRule="exact"/>
              <w:rPr>
                <w:rFonts w:ascii="Arial" w:cs="Arial" w:eastAsia="Arial" w:hAnsi="Arial"/>
                <w:sz w:val="12"/>
                <w:szCs w:val="12"/>
                <w:color w:val="0000EE"/>
                <w:w w:val="88"/>
              </w:rPr>
            </w:pPr>
            <w:hyperlink w:anchor="page117">
              <w:r>
                <w:rPr>
                  <w:rFonts w:ascii="Arial" w:cs="Arial" w:eastAsia="Arial" w:hAnsi="Arial"/>
                  <w:sz w:val="12"/>
                  <w:szCs w:val="12"/>
                  <w:color w:val="0000EE"/>
                  <w:w w:val="88"/>
                </w:rPr>
                <w:t>Description of Securities to be Registered</w:t>
              </w:r>
            </w:hyperlink>
          </w:p>
        </w:tc>
        <w:tc>
          <w:tcPr>
            <w:tcW w:w="2900" w:type="dxa"/>
            <w:vAlign w:val="bottom"/>
            <w:tcBorders>
              <w:top w:val="single" w:sz="8" w:color="0000EE"/>
            </w:tcBorders>
            <w:gridSpan w:val="8"/>
          </w:tcPr>
          <w:p>
            <w:pPr>
              <w:spacing w:after="0"/>
              <w:rPr>
                <w:sz w:val="10"/>
                <w:szCs w:val="10"/>
                <w:color w:val="auto"/>
              </w:rPr>
            </w:pPr>
          </w:p>
        </w:tc>
        <w:tc>
          <w:tcPr>
            <w:tcW w:w="5660" w:type="dxa"/>
            <w:vAlign w:val="bottom"/>
            <w:tcBorders>
              <w:top w:val="single" w:sz="8" w:color="CCEEFF"/>
            </w:tcBorders>
            <w:gridSpan w:val="2"/>
          </w:tcPr>
          <w:p>
            <w:pPr>
              <w:spacing w:after="0"/>
              <w:rPr>
                <w:sz w:val="10"/>
                <w:szCs w:val="10"/>
                <w:color w:val="auto"/>
              </w:rPr>
            </w:pPr>
          </w:p>
        </w:tc>
        <w:tc>
          <w:tcPr>
            <w:tcW w:w="9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9"/>
              </w:rPr>
              <w:t>113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540" w:type="dxa"/>
            <w:vAlign w:val="bottom"/>
            <w:gridSpan w:val="20"/>
            <w:shd w:val="clear" w:color="auto" w:fill="CCEEFF"/>
          </w:tcPr>
          <w:p>
            <w:pPr>
              <w:spacing w:after="0" w:line="117" w:lineRule="exact"/>
              <w:rPr>
                <w:sz w:val="20"/>
                <w:szCs w:val="20"/>
                <w:color w:val="auto"/>
              </w:rPr>
            </w:pPr>
            <w:r>
              <w:rPr>
                <w:rFonts w:ascii="Arial" w:cs="Arial" w:eastAsia="Arial" w:hAnsi="Arial"/>
                <w:sz w:val="12"/>
                <w:szCs w:val="12"/>
                <w:color w:val="0000EE"/>
              </w:rPr>
              <w:t>Selling Stockholders</w:t>
            </w:r>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160" w:type="dxa"/>
            <w:vAlign w:val="bottom"/>
            <w:tcBorders>
              <w:bottom w:val="single" w:sz="8" w:color="0000EE"/>
            </w:tcBorders>
            <w:gridSpan w:val="15"/>
          </w:tcPr>
          <w:p>
            <w:pPr>
              <w:spacing w:after="0" w:line="117" w:lineRule="exact"/>
              <w:rPr>
                <w:rFonts w:ascii="Arial" w:cs="Arial" w:eastAsia="Arial" w:hAnsi="Arial"/>
                <w:sz w:val="12"/>
                <w:szCs w:val="12"/>
                <w:color w:val="0000EE"/>
                <w:w w:val="89"/>
              </w:rPr>
            </w:pPr>
            <w:hyperlink w:anchor="page122">
              <w:r>
                <w:rPr>
                  <w:rFonts w:ascii="Arial" w:cs="Arial" w:eastAsia="Arial" w:hAnsi="Arial"/>
                  <w:sz w:val="12"/>
                  <w:szCs w:val="12"/>
                  <w:color w:val="0000EE"/>
                  <w:w w:val="89"/>
                </w:rPr>
                <w:t>Relationships Between the Issuer and the Selling Security Holders</w:t>
              </w:r>
            </w:hyperlink>
          </w:p>
        </w:tc>
        <w:tc>
          <w:tcPr>
            <w:tcW w:w="7380" w:type="dxa"/>
            <w:vAlign w:val="bottom"/>
            <w:gridSpan w:val="5"/>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118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540" w:type="dxa"/>
            <w:vAlign w:val="bottom"/>
            <w:gridSpan w:val="20"/>
            <w:shd w:val="clear" w:color="auto" w:fill="CCEEFF"/>
          </w:tcPr>
          <w:p>
            <w:pPr>
              <w:spacing w:after="0" w:line="117" w:lineRule="exact"/>
              <w:rPr>
                <w:rFonts w:ascii="Arial" w:cs="Arial" w:eastAsia="Arial" w:hAnsi="Arial"/>
                <w:sz w:val="12"/>
                <w:szCs w:val="12"/>
                <w:color w:val="0000EE"/>
              </w:rPr>
            </w:pPr>
            <w:hyperlink w:anchor="page122">
              <w:r>
                <w:rPr>
                  <w:rFonts w:ascii="Arial" w:cs="Arial" w:eastAsia="Arial" w:hAnsi="Arial"/>
                  <w:sz w:val="12"/>
                  <w:szCs w:val="12"/>
                  <w:color w:val="0000EE"/>
                </w:rPr>
                <w:t>Plan of Distribution</w:t>
              </w:r>
            </w:hyperlink>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118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Borders>
              <w:top w:val="single" w:sz="8" w:color="0000EE"/>
              <w:bottom w:val="single" w:sz="8" w:color="0000EE"/>
            </w:tcBorders>
          </w:tcPr>
          <w:p>
            <w:pPr>
              <w:spacing w:after="0" w:line="117" w:lineRule="exact"/>
              <w:rPr>
                <w:rFonts w:ascii="Arial" w:cs="Arial" w:eastAsia="Arial" w:hAnsi="Arial"/>
                <w:sz w:val="12"/>
                <w:szCs w:val="12"/>
                <w:color w:val="0000EE"/>
                <w:w w:val="78"/>
              </w:rPr>
            </w:pPr>
            <w:hyperlink w:anchor="page123">
              <w:r>
                <w:rPr>
                  <w:rFonts w:ascii="Arial" w:cs="Arial" w:eastAsia="Arial" w:hAnsi="Arial"/>
                  <w:sz w:val="12"/>
                  <w:szCs w:val="12"/>
                  <w:color w:val="0000EE"/>
                  <w:w w:val="78"/>
                </w:rPr>
                <w:t>Experts</w:t>
              </w:r>
            </w:hyperlink>
          </w:p>
        </w:tc>
        <w:tc>
          <w:tcPr>
            <w:tcW w:w="640" w:type="dxa"/>
            <w:vAlign w:val="bottom"/>
            <w:tcBorders>
              <w:top w:val="single" w:sz="8" w:color="0000EE"/>
            </w:tcBorders>
            <w:gridSpan w:val="5"/>
          </w:tcPr>
          <w:p>
            <w:pPr>
              <w:spacing w:after="0"/>
              <w:rPr>
                <w:sz w:val="10"/>
                <w:szCs w:val="10"/>
                <w:color w:val="auto"/>
              </w:rPr>
            </w:pPr>
          </w:p>
        </w:tc>
        <w:tc>
          <w:tcPr>
            <w:tcW w:w="9560" w:type="dxa"/>
            <w:vAlign w:val="bottom"/>
            <w:tcBorders>
              <w:top w:val="single" w:sz="8" w:color="CCEEFF"/>
            </w:tcBorders>
            <w:gridSpan w:val="14"/>
          </w:tcPr>
          <w:p>
            <w:pPr>
              <w:spacing w:after="0"/>
              <w:rPr>
                <w:sz w:val="10"/>
                <w:szCs w:val="10"/>
                <w:color w:val="auto"/>
              </w:rPr>
            </w:pPr>
          </w:p>
        </w:tc>
        <w:tc>
          <w:tcPr>
            <w:tcW w:w="9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9"/>
              </w:rPr>
              <w:t>119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540" w:type="dxa"/>
            <w:vAlign w:val="bottom"/>
            <w:gridSpan w:val="20"/>
            <w:shd w:val="clear" w:color="auto" w:fill="CCEEFF"/>
          </w:tcPr>
          <w:p>
            <w:pPr>
              <w:spacing w:after="0" w:line="117" w:lineRule="exact"/>
              <w:rPr>
                <w:rFonts w:ascii="Arial" w:cs="Arial" w:eastAsia="Arial" w:hAnsi="Arial"/>
                <w:sz w:val="12"/>
                <w:szCs w:val="12"/>
                <w:color w:val="0000EE"/>
              </w:rPr>
            </w:pPr>
            <w:hyperlink w:anchor="page124">
              <w:r>
                <w:rPr>
                  <w:rFonts w:ascii="Arial" w:cs="Arial" w:eastAsia="Arial" w:hAnsi="Arial"/>
                  <w:sz w:val="12"/>
                  <w:szCs w:val="12"/>
                  <w:color w:val="0000EE"/>
                </w:rPr>
                <w:t>Legal Matters</w:t>
              </w:r>
            </w:hyperlink>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0540" w:type="dxa"/>
            <w:vAlign w:val="bottom"/>
            <w:gridSpan w:val="20"/>
          </w:tcPr>
          <w:p>
            <w:pPr>
              <w:spacing w:after="0" w:line="117" w:lineRule="exact"/>
              <w:rPr>
                <w:rFonts w:ascii="Arial" w:cs="Arial" w:eastAsia="Arial" w:hAnsi="Arial"/>
                <w:sz w:val="12"/>
                <w:szCs w:val="12"/>
                <w:color w:val="0000EE"/>
              </w:rPr>
            </w:pPr>
            <w:hyperlink w:anchor="page124">
              <w:r>
                <w:rPr>
                  <w:rFonts w:ascii="Arial" w:cs="Arial" w:eastAsia="Arial" w:hAnsi="Arial"/>
                  <w:sz w:val="12"/>
                  <w:szCs w:val="12"/>
                  <w:color w:val="0000EE"/>
                </w:rPr>
                <w:t>Interests of Named Experts and Counsel</w:t>
              </w:r>
            </w:hyperlink>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120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00" w:type="dxa"/>
            <w:vAlign w:val="bottom"/>
            <w:tcBorders>
              <w:top w:val="single" w:sz="8" w:color="0000EE"/>
              <w:right w:val="single" w:sz="8" w:color="CCEEFF"/>
            </w:tcBorders>
            <w:gridSpan w:val="9"/>
            <w:shd w:val="clear" w:color="auto" w:fill="CCEEFF"/>
          </w:tcPr>
          <w:p>
            <w:pPr>
              <w:spacing w:after="0" w:line="117" w:lineRule="exact"/>
              <w:rPr>
                <w:rFonts w:ascii="Arial" w:cs="Arial" w:eastAsia="Arial" w:hAnsi="Arial"/>
                <w:sz w:val="12"/>
                <w:szCs w:val="12"/>
                <w:color w:val="0000EE"/>
                <w:w w:val="90"/>
              </w:rPr>
            </w:pPr>
            <w:hyperlink w:anchor="page124">
              <w:r>
                <w:rPr>
                  <w:rFonts w:ascii="Arial" w:cs="Arial" w:eastAsia="Arial" w:hAnsi="Arial"/>
                  <w:sz w:val="12"/>
                  <w:szCs w:val="12"/>
                  <w:color w:val="0000EE"/>
                  <w:w w:val="90"/>
                </w:rPr>
                <w:t>Where You Can Find More Information</w:t>
              </w:r>
            </w:hyperlink>
          </w:p>
        </w:tc>
        <w:tc>
          <w:tcPr>
            <w:tcW w:w="8640" w:type="dxa"/>
            <w:vAlign w:val="bottom"/>
            <w:gridSpan w:val="11"/>
            <w:shd w:val="clear" w:color="auto" w:fill="CCEEFF"/>
          </w:tcPr>
          <w:p>
            <w:pPr>
              <w:spacing w:after="0"/>
              <w:rPr>
                <w:sz w:val="10"/>
                <w:szCs w:val="10"/>
                <w:color w:val="auto"/>
              </w:rPr>
            </w:pPr>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10540" w:type="dxa"/>
            <w:vAlign w:val="bottom"/>
            <w:gridSpan w:val="20"/>
          </w:tcPr>
          <w:p>
            <w:pPr>
              <w:spacing w:after="0" w:line="117" w:lineRule="exact"/>
              <w:rPr>
                <w:sz w:val="20"/>
                <w:szCs w:val="20"/>
                <w:color w:val="auto"/>
              </w:rPr>
            </w:pPr>
            <w:r>
              <w:rPr>
                <w:rFonts w:ascii="Arial" w:cs="Arial" w:eastAsia="Arial" w:hAnsi="Arial"/>
                <w:sz w:val="12"/>
                <w:szCs w:val="12"/>
                <w:color w:val="0000EE"/>
              </w:rPr>
              <w:t>Index to Consolidated Financial Statements for the years ended March 31, 2015 and 2014, and Condensed Consolidated Financial Statements for the three months ended June 30, 2015 and 2014</w:t>
            </w: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8"/>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i w:val="1"/>
          <w:iCs w:val="1"/>
          <w:color w:val="auto"/>
        </w:rPr>
        <w:t>You should rely only on the information contained in this prospectus. We have not authorized anyone to provide you with additional information or information different from that contained in this prospectus. The information contained in this prospectus is accurate only as of the date of this prospectus, regardless of the time of delivery of this prospectus or any sale of our common stock.</w:t>
      </w:r>
    </w:p>
    <w:p>
      <w:pPr>
        <w:spacing w:after="0" w:line="115" w:lineRule="exact"/>
        <w:rPr>
          <w:sz w:val="20"/>
          <w:szCs w:val="20"/>
          <w:color w:val="auto"/>
        </w:rPr>
      </w:pPr>
    </w:p>
    <w:p>
      <w:pPr>
        <w:jc w:val="both"/>
        <w:ind w:right="60"/>
        <w:spacing w:after="0" w:line="259" w:lineRule="auto"/>
        <w:rPr>
          <w:sz w:val="20"/>
          <w:szCs w:val="20"/>
          <w:color w:val="auto"/>
        </w:rPr>
      </w:pPr>
      <w:r>
        <w:rPr>
          <w:rFonts w:ascii="Arial" w:cs="Arial" w:eastAsia="Arial" w:hAnsi="Arial"/>
          <w:sz w:val="12"/>
          <w:szCs w:val="12"/>
          <w:i w:val="1"/>
          <w:iCs w:val="1"/>
          <w:color w:val="auto"/>
        </w:rPr>
        <w:t>We own or have rights to use a number of common law trademarks and trade names that we use in connection with our business, including VistaGen Therapeutics, Inc., VistaGen, our logo, Better Cells Lead to Better Medicine, Human Clinical Trials in a Test Tube, CardioSafe 3D and LiverSafe 3D. Solely for convenience, the trademarks and trade names referred to in certain portions of this prospectus may have been included without the TM symbol, but any such references are not intended to indicate in any way that we will not assert to the fullest extent under applicable law our rights to use those trademarks and trade names. All other trademarks, service marks and trade names referred to in this prospectus, if any, are, to our knowledge, the property of their respective owners.</w:t>
      </w:r>
    </w:p>
    <w:p>
      <w:pPr>
        <w:spacing w:after="0" w:line="125"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i w:val="1"/>
          <w:iCs w:val="1"/>
          <w:color w:val="auto"/>
        </w:rPr>
        <w:t>Unless the context otherwise requires, the words “VistaGen Therapeutics, Inc.” “VistaGen,” “we,” “the Company,” “us” and “our” refer to VistaGen Therapeutics, Inc., a Nevada corporation. “VistaGen California” refers to VistaGen Therapeutics, Inc., a California corporation and our wholly owned subsidiary.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95" w:right="199" w:bottom="1440" w:gutter="0" w:footer="0" w:header="0"/>
        </w:sectPr>
      </w:pPr>
    </w:p>
    <w:bookmarkStart w:id="4" w:name="page5"/>
    <w:bookmarkEnd w:id="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jc w:val="both"/>
        <w:ind w:firstLine="114"/>
        <w:spacing w:after="0" w:line="257" w:lineRule="auto"/>
        <w:rPr>
          <w:sz w:val="20"/>
          <w:szCs w:val="20"/>
          <w:color w:val="auto"/>
        </w:rPr>
      </w:pPr>
      <w:r>
        <w:rPr>
          <w:rFonts w:ascii="Arial" w:cs="Arial" w:eastAsia="Arial" w:hAnsi="Arial"/>
          <w:sz w:val="12"/>
          <w:szCs w:val="12"/>
          <w:color w:val="auto"/>
        </w:rPr>
        <w:t>This prospectus, including the information incorporated by reference, contains forward-looking statements as defined in the Private Securities Litigation Reform Act of 1995. The use of any statements containing the words “intend,” “believe,” “estimate,” “project,” “expect,” “anticipate,” “plan,” “should” or similar expressions are intended to identify such statement. Forward-looking statements inherently involve risks and uncertainties that could cause actual results to differ materially from the forward-looking statements. Factors that could cause or contribute to such differences include, but are not limited to, changes in demand for our products and services, changes in the level of operating expenses, our ability to execute our business and operating plan, changes in general economic conditions that impact government spending, regulatory issues, dependence on third party suppliers, and other risks detailed in this prospectus under the heading “Risk Factors” and in our periodic report filings with the Securities and Exchange Commission (the “</w:t>
      </w:r>
      <w:r>
        <w:rPr>
          <w:rFonts w:ascii="Arial" w:cs="Arial" w:eastAsia="Arial" w:hAnsi="Arial"/>
          <w:sz w:val="12"/>
          <w:szCs w:val="12"/>
          <w:i w:val="1"/>
          <w:iCs w:val="1"/>
          <w:color w:val="auto"/>
        </w:rPr>
        <w:t>SEC</w:t>
      </w:r>
      <w:r>
        <w:rPr>
          <w:rFonts w:ascii="Arial" w:cs="Arial" w:eastAsia="Arial" w:hAnsi="Arial"/>
          <w:sz w:val="12"/>
          <w:szCs w:val="12"/>
          <w:color w:val="auto"/>
        </w:rPr>
        <w:t>”).</w:t>
      </w:r>
    </w:p>
    <w:p>
      <w:pPr>
        <w:spacing w:after="0" w:line="126" w:lineRule="exact"/>
        <w:rPr>
          <w:sz w:val="20"/>
          <w:szCs w:val="20"/>
          <w:color w:val="auto"/>
        </w:rPr>
      </w:pPr>
    </w:p>
    <w:p>
      <w:pPr>
        <w:jc w:val="both"/>
        <w:ind w:firstLine="99"/>
        <w:spacing w:after="0" w:line="263" w:lineRule="auto"/>
        <w:rPr>
          <w:sz w:val="20"/>
          <w:szCs w:val="20"/>
          <w:color w:val="auto"/>
        </w:rPr>
      </w:pPr>
      <w:r>
        <w:rPr>
          <w:rFonts w:ascii="Arial" w:cs="Arial" w:eastAsia="Arial" w:hAnsi="Arial"/>
          <w:sz w:val="12"/>
          <w:szCs w:val="12"/>
          <w:color w:val="auto"/>
        </w:rPr>
        <w:t>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may not meet the safe harbor for forward-looking statements pursuant to Sections 21E or 27A of the Securities Act. Actual results could differ materially from those anticipated in forward-looking statements and future results could differ materially from historical performance.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 w:name="page6"/>
    <w:bookmarkEnd w:id="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i w:val="1"/>
          <w:iCs w:val="1"/>
          <w:color w:val="auto"/>
        </w:rPr>
        <w:t>This summary highlights information contained elsewhere in this prospectus. This summary does not contain all the information you should consider before buying our common stock. You should read the following summary together with the more detailed information appearing in this prospectus, including our Consolidated Financial Statements for the years ended March 31, 2015 and 2014, and the Condensed Consolidated Financial Statements for the three months ended June 30, 2015 and 2014, and related notes thereto, as well as our risk factors beginning on page 3, before deciding whether to purchase shares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are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2"/>
          <w:szCs w:val="12"/>
          <w:i w:val="1"/>
          <w:iCs w:val="1"/>
          <w:color w:val="auto"/>
        </w:rPr>
        <w:t>CNS</w:t>
      </w:r>
      <w:r>
        <w:rPr>
          <w:rFonts w:ascii="Arial" w:cs="Arial" w:eastAsia="Arial" w:hAnsi="Arial"/>
          <w:sz w:val="12"/>
          <w:szCs w:val="12"/>
          <w:color w:val="auto"/>
        </w:rPr>
        <w:t>”), as well as cancer.</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More than one billion people worldwide suffer from CNS disorders. Recently, the economic burden of these disorders was estimated at $2.0 trillion in the U.S. and European Union alone, a figure that is expected to triple by 2030. The World Health Organization estimates that 350 million people worldwide are affected by depression. According to the U.S. National Institutes of Health (“</w:t>
      </w:r>
      <w:r>
        <w:rPr>
          <w:rFonts w:ascii="Arial" w:cs="Arial" w:eastAsia="Arial" w:hAnsi="Arial"/>
          <w:sz w:val="11"/>
          <w:szCs w:val="11"/>
          <w:i w:val="1"/>
          <w:iCs w:val="1"/>
          <w:color w:val="auto"/>
        </w:rPr>
        <w:t>NIH</w:t>
      </w:r>
      <w:r>
        <w:rPr>
          <w:rFonts w:ascii="Arial" w:cs="Arial" w:eastAsia="Arial" w:hAnsi="Arial"/>
          <w:sz w:val="11"/>
          <w:szCs w:val="11"/>
          <w:color w:val="auto"/>
        </w:rPr>
        <w:t>”), major depression is one of the most common mental disorders in the U.S. In 2012, the NIH estimated 16 million adults aged 18 or older in the U.S. had at least one major depressive episode. This represented approximately 6.7 percent of all U.S. adults.</w:t>
      </w:r>
    </w:p>
    <w:p>
      <w:pPr>
        <w:spacing w:after="0" w:line="1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lead product candidate, AV-101, is an orally available small molecule prodrug in Phase 2 clinical development for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 AV-101’s mechanism of action (“</w:t>
      </w:r>
      <w:r>
        <w:rPr>
          <w:rFonts w:ascii="Arial" w:cs="Arial" w:eastAsia="Arial" w:hAnsi="Arial"/>
          <w:sz w:val="12"/>
          <w:szCs w:val="12"/>
          <w:i w:val="1"/>
          <w:iCs w:val="1"/>
          <w:color w:val="auto"/>
        </w:rPr>
        <w:t>MOA</w:t>
      </w:r>
      <w:r>
        <w:rPr>
          <w:rFonts w:ascii="Arial" w:cs="Arial" w:eastAsia="Arial" w:hAnsi="Arial"/>
          <w:sz w:val="12"/>
          <w:szCs w:val="12"/>
          <w:color w:val="auto"/>
        </w:rPr>
        <w:t>”), as an N-methyl-D-aspartate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 from all antidepressants currently approved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 In four preclinical studies utilizing well-validated animal models of depression, AV-101 was shown to induce fast-acting, dose-dependent, persistent and statistically significant antidepressant-like responses, following a single treatment, which was equivalent to responses seen with a control single sub-anesthetic dose of ketamine (sometimes used by clinicians off-label to treat MDD and suicidal behavior). In the same studies, fluoxetine (Prozac)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U.S.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NIH. Under the CRADA, we will collaborate with the NIMH on the initial Phase 2 clinical study of AV-101 in subjects with treatment-resistant MDD. Pursuant to the CRADA, the study will be conducted at the NIMH and be fully funded by the NIMH. It is contemplated that this clinical study will begin in Fall 2015 under the direction of Dr. Carlos Zarate, Jr., the NIMH’s Chief of Experimental Therapeutics &amp; Pathophysiology Branch and of the Section on Neurobiology and Treatment of Mood and Anxiety Disorders.</w:t>
      </w:r>
    </w:p>
    <w:p>
      <w:pPr>
        <w:spacing w:after="0" w:line="1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addition to developing AV-101 for MDD and other CNS indications, we are applying our stem cell technology for drug rescue programs intended to identify and develop proprietary new chemical entities (“</w:t>
      </w:r>
      <w:r>
        <w:rPr>
          <w:rFonts w:ascii="Arial" w:cs="Arial" w:eastAsia="Arial" w:hAnsi="Arial"/>
          <w:sz w:val="12"/>
          <w:szCs w:val="12"/>
          <w:i w:val="1"/>
          <w:iCs w:val="1"/>
          <w:color w:val="auto"/>
        </w:rPr>
        <w:t>NCEs</w:t>
      </w:r>
      <w:r>
        <w:rPr>
          <w:rFonts w:ascii="Arial" w:cs="Arial" w:eastAsia="Arial" w:hAnsi="Arial"/>
          <w:sz w:val="12"/>
          <w:szCs w:val="12"/>
          <w:color w:val="auto"/>
        </w:rPr>
        <w:t xml:space="preserve">”) for our internal drug candidate pipeline. Drug rescue involves (1) using our customized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to predict potential heart and liver toxicity of NCEs, (2) leveraging prior investments by pharmaceutical companies and others related to screening large-scale compound libraries, optimizing and testing for efficacy NCEs that were terminated before FDA approval due to heart or liver toxicity and are now available in the public domain, and (3) applying modern medicinal chemistry to produce safer NCEs for our internal development pipeline.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bioassay system uses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”)-derived cardiomyocytes, or human heart cells. We believe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is more comprehensive and clinically predictive than the hERG assay, which is currently the only</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cardiac safety assay required by FDA guidelines. We use our hPSC-derived hepatocytes, or human liver cells, in our</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bioassay system to predict potential liver toxicity of NCEs, including potential drug metabolism issues and adverse drug-drug interactions.</w:t>
      </w:r>
      <w:r>
        <w:rPr>
          <w:rFonts w:ascii="Arial" w:cs="Arial" w:eastAsia="Arial" w:hAnsi="Arial"/>
          <w:sz w:val="12"/>
          <w:szCs w:val="12"/>
          <w:i w:val="1"/>
          <w:iCs w:val="1"/>
          <w:color w:val="auto"/>
        </w:rPr>
        <w:t xml:space="preserve"> CardioSafe </w:t>
      </w:r>
      <w:r>
        <w:rPr>
          <w:rFonts w:ascii="Arial" w:cs="Arial" w:eastAsia="Arial" w:hAnsi="Arial"/>
          <w:sz w:val="12"/>
          <w:szCs w:val="12"/>
          <w:color w:val="auto"/>
        </w:rPr>
        <w:t>3D and</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offer a new paradigm for evaluating and</w:t>
      </w:r>
      <w:r>
        <w:rPr>
          <w:rFonts w:ascii="Arial" w:cs="Arial" w:eastAsia="Arial" w:hAnsi="Arial"/>
          <w:sz w:val="12"/>
          <w:szCs w:val="12"/>
          <w:i w:val="1"/>
          <w:iCs w:val="1"/>
          <w:color w:val="auto"/>
        </w:rPr>
        <w:t xml:space="preserve"> </w:t>
      </w:r>
      <w:r>
        <w:rPr>
          <w:rFonts w:ascii="Arial" w:cs="Arial" w:eastAsia="Arial" w:hAnsi="Arial"/>
          <w:sz w:val="12"/>
          <w:szCs w:val="12"/>
          <w:color w:val="auto"/>
        </w:rPr>
        <w:t>predicting potential heart and liver toxicity of NCEs, including drug rescue NCEs, early in the development process, long before costly, high risk animal studies and human clinical trials. We intend to develop internally for our pipeline each lead drug rescue NCE we produce.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80" w:type="dxa"/>
            <w:vAlign w:val="bottom"/>
          </w:tcPr>
          <w:p>
            <w:pPr>
              <w:spacing w:after="0"/>
              <w:rPr>
                <w:sz w:val="13"/>
                <w:szCs w:val="13"/>
                <w:color w:val="auto"/>
              </w:rPr>
            </w:pPr>
          </w:p>
        </w:tc>
        <w:tc>
          <w:tcPr>
            <w:tcW w:w="7900" w:type="dxa"/>
            <w:vAlign w:val="bottom"/>
          </w:tcPr>
          <w:p>
            <w:pPr>
              <w:ind w:left="1700"/>
              <w:spacing w:after="0"/>
              <w:rPr>
                <w:sz w:val="20"/>
                <w:szCs w:val="20"/>
                <w:color w:val="auto"/>
              </w:rPr>
            </w:pPr>
            <w:r>
              <w:rPr>
                <w:rFonts w:ascii="Arial" w:cs="Arial" w:eastAsia="Arial" w:hAnsi="Arial"/>
                <w:sz w:val="12"/>
                <w:szCs w:val="12"/>
                <w:b w:val="1"/>
                <w:bCs w:val="1"/>
                <w:color w:val="auto"/>
              </w:rPr>
              <w:t>THE OFFERING</w:t>
            </w:r>
          </w:p>
        </w:tc>
      </w:tr>
      <w:tr>
        <w:trPr>
          <w:trHeight w:val="306"/>
        </w:trPr>
        <w:tc>
          <w:tcPr>
            <w:tcW w:w="3580" w:type="dxa"/>
            <w:vAlign w:val="bottom"/>
          </w:tcPr>
          <w:p>
            <w:pPr>
              <w:spacing w:after="0"/>
              <w:rPr>
                <w:sz w:val="20"/>
                <w:szCs w:val="20"/>
                <w:color w:val="auto"/>
              </w:rPr>
            </w:pPr>
            <w:r>
              <w:rPr>
                <w:rFonts w:ascii="Arial" w:cs="Arial" w:eastAsia="Arial" w:hAnsi="Arial"/>
                <w:sz w:val="12"/>
                <w:szCs w:val="12"/>
                <w:color w:val="auto"/>
              </w:rPr>
              <w:t>Securities Offered by the Selling Stockholders</w:t>
            </w:r>
          </w:p>
        </w:tc>
        <w:tc>
          <w:tcPr>
            <w:tcW w:w="7900" w:type="dxa"/>
            <w:vAlign w:val="bottom"/>
          </w:tcPr>
          <w:p>
            <w:pPr>
              <w:ind w:left="1140"/>
              <w:spacing w:after="0"/>
              <w:rPr>
                <w:sz w:val="20"/>
                <w:szCs w:val="20"/>
                <w:color w:val="auto"/>
              </w:rPr>
            </w:pPr>
            <w:r>
              <w:rPr>
                <w:rFonts w:ascii="Arial" w:cs="Arial" w:eastAsia="Arial" w:hAnsi="Arial"/>
                <w:sz w:val="12"/>
                <w:szCs w:val="12"/>
                <w:color w:val="auto"/>
              </w:rPr>
              <w:t>3,992,479 shares of common stock.</w:t>
            </w:r>
          </w:p>
        </w:tc>
      </w:tr>
      <w:tr>
        <w:trPr>
          <w:trHeight w:val="288"/>
        </w:trPr>
        <w:tc>
          <w:tcPr>
            <w:tcW w:w="3580" w:type="dxa"/>
            <w:vAlign w:val="bottom"/>
          </w:tcPr>
          <w:p>
            <w:pPr>
              <w:spacing w:after="0"/>
              <w:rPr>
                <w:sz w:val="20"/>
                <w:szCs w:val="20"/>
                <w:color w:val="auto"/>
              </w:rPr>
            </w:pPr>
            <w:r>
              <w:rPr>
                <w:rFonts w:ascii="Arial" w:cs="Arial" w:eastAsia="Arial" w:hAnsi="Arial"/>
                <w:sz w:val="12"/>
                <w:szCs w:val="12"/>
                <w:color w:val="auto"/>
              </w:rPr>
              <w:t>Common Stock Outstanding as of August 24, 2015</w:t>
            </w:r>
          </w:p>
        </w:tc>
        <w:tc>
          <w:tcPr>
            <w:tcW w:w="7900" w:type="dxa"/>
            <w:vAlign w:val="bottom"/>
          </w:tcPr>
          <w:p>
            <w:pPr>
              <w:ind w:left="1180"/>
              <w:spacing w:after="0"/>
              <w:rPr>
                <w:sz w:val="20"/>
                <w:szCs w:val="20"/>
                <w:color w:val="auto"/>
              </w:rPr>
            </w:pPr>
            <w:r>
              <w:rPr>
                <w:rFonts w:ascii="Arial" w:cs="Arial" w:eastAsia="Arial" w:hAnsi="Arial"/>
                <w:sz w:val="12"/>
                <w:szCs w:val="12"/>
                <w:color w:val="auto"/>
              </w:rPr>
              <w:t>1,594,461 shares.</w:t>
            </w:r>
          </w:p>
        </w:tc>
      </w:tr>
      <w:tr>
        <w:trPr>
          <w:trHeight w:val="279"/>
        </w:trPr>
        <w:tc>
          <w:tcPr>
            <w:tcW w:w="3580" w:type="dxa"/>
            <w:vAlign w:val="bottom"/>
          </w:tcPr>
          <w:p>
            <w:pPr>
              <w:spacing w:after="0"/>
              <w:rPr>
                <w:sz w:val="20"/>
                <w:szCs w:val="20"/>
                <w:color w:val="auto"/>
              </w:rPr>
            </w:pPr>
            <w:r>
              <w:rPr>
                <w:rFonts w:ascii="Arial" w:cs="Arial" w:eastAsia="Arial" w:hAnsi="Arial"/>
                <w:sz w:val="12"/>
                <w:szCs w:val="12"/>
                <w:color w:val="auto"/>
              </w:rPr>
              <w:t>Use of Proceeds</w:t>
            </w:r>
          </w:p>
        </w:tc>
        <w:tc>
          <w:tcPr>
            <w:tcW w:w="7900" w:type="dxa"/>
            <w:vAlign w:val="bottom"/>
          </w:tcPr>
          <w:p>
            <w:pPr>
              <w:ind w:left="1140"/>
              <w:spacing w:after="0"/>
              <w:rPr>
                <w:sz w:val="20"/>
                <w:szCs w:val="20"/>
                <w:color w:val="auto"/>
              </w:rPr>
            </w:pPr>
            <w:r>
              <w:rPr>
                <w:rFonts w:ascii="Arial" w:cs="Arial" w:eastAsia="Arial" w:hAnsi="Arial"/>
                <w:sz w:val="12"/>
                <w:szCs w:val="12"/>
                <w:color w:val="auto"/>
                <w:w w:val="95"/>
              </w:rPr>
              <w:t>We will not receive any of the proceeds of the shares of common stock which may be offered for resale by the Selling Stockholders. If</w:t>
            </w:r>
          </w:p>
        </w:tc>
      </w:tr>
      <w:tr>
        <w:trPr>
          <w:trHeight w:val="144"/>
        </w:trPr>
        <w:tc>
          <w:tcPr>
            <w:tcW w:w="3580" w:type="dxa"/>
            <w:vAlign w:val="bottom"/>
          </w:tcPr>
          <w:p>
            <w:pPr>
              <w:spacing w:after="0"/>
              <w:rPr>
                <w:sz w:val="12"/>
                <w:szCs w:val="12"/>
                <w:color w:val="auto"/>
              </w:rPr>
            </w:pPr>
          </w:p>
        </w:tc>
        <w:tc>
          <w:tcPr>
            <w:tcW w:w="7900" w:type="dxa"/>
            <w:vAlign w:val="bottom"/>
          </w:tcPr>
          <w:p>
            <w:pPr>
              <w:ind w:left="1140"/>
              <w:spacing w:after="0"/>
              <w:rPr>
                <w:sz w:val="20"/>
                <w:szCs w:val="20"/>
                <w:color w:val="auto"/>
              </w:rPr>
            </w:pPr>
            <w:r>
              <w:rPr>
                <w:rFonts w:ascii="Arial" w:cs="Arial" w:eastAsia="Arial" w:hAnsi="Arial"/>
                <w:sz w:val="12"/>
                <w:szCs w:val="12"/>
                <w:color w:val="auto"/>
                <w:w w:val="90"/>
              </w:rPr>
              <w:t>Warrants held by certain of which may be the Selling Stockholders are exercised, we will receive the exercise proceeds from such exercises.</w:t>
            </w:r>
          </w:p>
        </w:tc>
      </w:tr>
      <w:tr>
        <w:trPr>
          <w:trHeight w:val="144"/>
        </w:trPr>
        <w:tc>
          <w:tcPr>
            <w:tcW w:w="3580" w:type="dxa"/>
            <w:vAlign w:val="bottom"/>
          </w:tcPr>
          <w:p>
            <w:pPr>
              <w:spacing w:after="0"/>
              <w:rPr>
                <w:sz w:val="12"/>
                <w:szCs w:val="12"/>
                <w:color w:val="auto"/>
              </w:rPr>
            </w:pPr>
          </w:p>
        </w:tc>
        <w:tc>
          <w:tcPr>
            <w:tcW w:w="7900" w:type="dxa"/>
            <w:vAlign w:val="bottom"/>
          </w:tcPr>
          <w:p>
            <w:pPr>
              <w:ind w:left="1140"/>
              <w:spacing w:after="0"/>
              <w:rPr>
                <w:sz w:val="20"/>
                <w:szCs w:val="20"/>
                <w:color w:val="auto"/>
              </w:rPr>
            </w:pPr>
            <w:r>
              <w:rPr>
                <w:rFonts w:ascii="Arial" w:cs="Arial" w:eastAsia="Arial" w:hAnsi="Arial"/>
                <w:sz w:val="12"/>
                <w:szCs w:val="12"/>
                <w:color w:val="auto"/>
                <w:w w:val="94"/>
              </w:rPr>
              <w:t>The shares of common stock that may be resold by the Selling Stockholders under this prospectus are issuable upon the conversion of</w:t>
            </w:r>
          </w:p>
        </w:tc>
      </w:tr>
      <w:tr>
        <w:trPr>
          <w:trHeight w:val="144"/>
        </w:trPr>
        <w:tc>
          <w:tcPr>
            <w:tcW w:w="3580" w:type="dxa"/>
            <w:vAlign w:val="bottom"/>
          </w:tcPr>
          <w:p>
            <w:pPr>
              <w:spacing w:after="0"/>
              <w:rPr>
                <w:sz w:val="12"/>
                <w:szCs w:val="12"/>
                <w:color w:val="auto"/>
              </w:rPr>
            </w:pPr>
          </w:p>
        </w:tc>
        <w:tc>
          <w:tcPr>
            <w:tcW w:w="7900" w:type="dxa"/>
            <w:vAlign w:val="bottom"/>
          </w:tcPr>
          <w:p>
            <w:pPr>
              <w:ind w:left="1140"/>
              <w:spacing w:after="0"/>
              <w:rPr>
                <w:sz w:val="20"/>
                <w:szCs w:val="20"/>
                <w:color w:val="auto"/>
              </w:rPr>
            </w:pPr>
            <w:r>
              <w:rPr>
                <w:rFonts w:ascii="Arial" w:cs="Arial" w:eastAsia="Arial" w:hAnsi="Arial"/>
                <w:sz w:val="12"/>
                <w:szCs w:val="12"/>
                <w:color w:val="auto"/>
                <w:w w:val="96"/>
              </w:rPr>
              <w:t>securities sold by us to the Selling Stockholders in a series of self-placed private placement transactions, or upon future exercise of</w:t>
            </w:r>
          </w:p>
        </w:tc>
      </w:tr>
      <w:tr>
        <w:trPr>
          <w:trHeight w:val="153"/>
        </w:trPr>
        <w:tc>
          <w:tcPr>
            <w:tcW w:w="3580" w:type="dxa"/>
            <w:vAlign w:val="bottom"/>
          </w:tcPr>
          <w:p>
            <w:pPr>
              <w:spacing w:after="0"/>
              <w:rPr>
                <w:sz w:val="13"/>
                <w:szCs w:val="13"/>
                <w:color w:val="auto"/>
              </w:rPr>
            </w:pPr>
          </w:p>
        </w:tc>
        <w:tc>
          <w:tcPr>
            <w:tcW w:w="7900" w:type="dxa"/>
            <w:vAlign w:val="bottom"/>
          </w:tcPr>
          <w:p>
            <w:pPr>
              <w:ind w:left="1140"/>
              <w:spacing w:after="0"/>
              <w:rPr>
                <w:sz w:val="20"/>
                <w:szCs w:val="20"/>
                <w:color w:val="auto"/>
              </w:rPr>
            </w:pPr>
            <w:r>
              <w:rPr>
                <w:rFonts w:ascii="Arial" w:cs="Arial" w:eastAsia="Arial" w:hAnsi="Arial"/>
                <w:sz w:val="12"/>
                <w:szCs w:val="12"/>
                <w:color w:val="auto"/>
              </w:rPr>
              <w:t>Warrants.</w:t>
            </w:r>
          </w:p>
        </w:tc>
      </w:tr>
      <w:tr>
        <w:trPr>
          <w:trHeight w:val="279"/>
        </w:trPr>
        <w:tc>
          <w:tcPr>
            <w:tcW w:w="3580" w:type="dxa"/>
            <w:vAlign w:val="bottom"/>
          </w:tcPr>
          <w:p>
            <w:pPr>
              <w:spacing w:after="0"/>
              <w:rPr>
                <w:sz w:val="20"/>
                <w:szCs w:val="20"/>
                <w:color w:val="auto"/>
              </w:rPr>
            </w:pPr>
            <w:r>
              <w:rPr>
                <w:rFonts w:ascii="Arial" w:cs="Arial" w:eastAsia="Arial" w:hAnsi="Arial"/>
                <w:sz w:val="12"/>
                <w:szCs w:val="12"/>
                <w:color w:val="auto"/>
              </w:rPr>
              <w:t>Risk Factors</w:t>
            </w:r>
          </w:p>
        </w:tc>
        <w:tc>
          <w:tcPr>
            <w:tcW w:w="7900" w:type="dxa"/>
            <w:vAlign w:val="bottom"/>
          </w:tcPr>
          <w:p>
            <w:pPr>
              <w:ind w:left="1140"/>
              <w:spacing w:after="0"/>
              <w:rPr>
                <w:sz w:val="20"/>
                <w:szCs w:val="20"/>
                <w:color w:val="auto"/>
              </w:rPr>
            </w:pPr>
            <w:r>
              <w:rPr>
                <w:rFonts w:ascii="Arial" w:cs="Arial" w:eastAsia="Arial" w:hAnsi="Arial"/>
                <w:sz w:val="12"/>
                <w:szCs w:val="12"/>
                <w:color w:val="auto"/>
                <w:w w:val="92"/>
              </w:rPr>
              <w:t>Prior to making an investment decision, you should carefully consider all of the information in this prospectus and, in particular, you should</w:t>
            </w:r>
          </w:p>
        </w:tc>
      </w:tr>
      <w:tr>
        <w:trPr>
          <w:trHeight w:val="153"/>
        </w:trPr>
        <w:tc>
          <w:tcPr>
            <w:tcW w:w="3580" w:type="dxa"/>
            <w:vAlign w:val="bottom"/>
          </w:tcPr>
          <w:p>
            <w:pPr>
              <w:spacing w:after="0"/>
              <w:rPr>
                <w:sz w:val="13"/>
                <w:szCs w:val="13"/>
                <w:color w:val="auto"/>
              </w:rPr>
            </w:pPr>
          </w:p>
        </w:tc>
        <w:tc>
          <w:tcPr>
            <w:tcW w:w="7900" w:type="dxa"/>
            <w:vAlign w:val="bottom"/>
          </w:tcPr>
          <w:p>
            <w:pPr>
              <w:ind w:left="1140"/>
              <w:spacing w:after="0"/>
              <w:rPr>
                <w:sz w:val="20"/>
                <w:szCs w:val="20"/>
                <w:color w:val="auto"/>
              </w:rPr>
            </w:pPr>
            <w:r>
              <w:rPr>
                <w:rFonts w:ascii="Arial" w:cs="Arial" w:eastAsia="Arial" w:hAnsi="Arial"/>
                <w:sz w:val="12"/>
                <w:szCs w:val="12"/>
                <w:color w:val="auto"/>
              </w:rPr>
              <w:t>evaluate the risk factors set forth under the caption “</w:t>
            </w:r>
            <w:r>
              <w:rPr>
                <w:rFonts w:ascii="Arial" w:cs="Arial" w:eastAsia="Arial" w:hAnsi="Arial"/>
                <w:sz w:val="12"/>
                <w:szCs w:val="12"/>
                <w:i w:val="1"/>
                <w:iCs w:val="1"/>
                <w:color w:val="auto"/>
              </w:rPr>
              <w:t>Risk Factors</w:t>
            </w:r>
            <w:r>
              <w:rPr>
                <w:rFonts w:ascii="Arial" w:cs="Arial" w:eastAsia="Arial" w:hAnsi="Arial"/>
                <w:sz w:val="12"/>
                <w:szCs w:val="12"/>
                <w:color w:val="auto"/>
              </w:rPr>
              <w:t>” beginning on page 3.</w:t>
            </w:r>
          </w:p>
        </w:tc>
      </w:tr>
      <w:tr>
        <w:trPr>
          <w:trHeight w:val="306"/>
        </w:trPr>
        <w:tc>
          <w:tcPr>
            <w:tcW w:w="3580" w:type="dxa"/>
            <w:vAlign w:val="bottom"/>
          </w:tcPr>
          <w:p>
            <w:pPr>
              <w:spacing w:after="0"/>
              <w:rPr>
                <w:sz w:val="20"/>
                <w:szCs w:val="20"/>
                <w:color w:val="auto"/>
              </w:rPr>
            </w:pPr>
            <w:r>
              <w:rPr>
                <w:rFonts w:ascii="Arial" w:cs="Arial" w:eastAsia="Arial" w:hAnsi="Arial"/>
                <w:sz w:val="12"/>
                <w:szCs w:val="12"/>
                <w:color w:val="auto"/>
              </w:rPr>
              <w:t>Trading Symbol</w:t>
            </w:r>
          </w:p>
        </w:tc>
        <w:tc>
          <w:tcPr>
            <w:tcW w:w="7900" w:type="dxa"/>
            <w:vAlign w:val="bottom"/>
          </w:tcPr>
          <w:p>
            <w:pPr>
              <w:ind w:left="1140"/>
              <w:spacing w:after="0"/>
              <w:rPr>
                <w:sz w:val="20"/>
                <w:szCs w:val="20"/>
                <w:color w:val="auto"/>
              </w:rPr>
            </w:pPr>
            <w:r>
              <w:rPr>
                <w:rFonts w:ascii="Arial" w:cs="Arial" w:eastAsia="Arial" w:hAnsi="Arial"/>
                <w:sz w:val="12"/>
                <w:szCs w:val="12"/>
                <w:color w:val="auto"/>
              </w:rPr>
              <w:t>VSTA</w:t>
            </w:r>
          </w:p>
        </w:tc>
      </w:tr>
      <w:tr>
        <w:trPr>
          <w:trHeight w:val="567"/>
        </w:trPr>
        <w:tc>
          <w:tcPr>
            <w:tcW w:w="3580" w:type="dxa"/>
            <w:vAlign w:val="bottom"/>
          </w:tcPr>
          <w:p>
            <w:pPr>
              <w:spacing w:after="0"/>
              <w:rPr>
                <w:sz w:val="24"/>
                <w:szCs w:val="24"/>
                <w:color w:val="auto"/>
              </w:rPr>
            </w:pPr>
          </w:p>
        </w:tc>
        <w:tc>
          <w:tcPr>
            <w:tcW w:w="7900" w:type="dxa"/>
            <w:vAlign w:val="bottom"/>
          </w:tcPr>
          <w:p>
            <w:pPr>
              <w:ind w:left="2080"/>
              <w:spacing w:after="0"/>
              <w:rPr>
                <w:sz w:val="20"/>
                <w:szCs w:val="20"/>
                <w:color w:val="auto"/>
              </w:rPr>
            </w:pPr>
            <w:r>
              <w:rPr>
                <w:rFonts w:ascii="Arial" w:cs="Arial" w:eastAsia="Arial" w:hAnsi="Arial"/>
                <w:sz w:val="12"/>
                <w:szCs w:val="12"/>
                <w:color w:val="auto"/>
              </w:rPr>
              <w:t>-2-</w:t>
            </w:r>
          </w:p>
        </w:tc>
      </w:tr>
      <w:tr>
        <w:trPr>
          <w:trHeight w:val="76"/>
        </w:trPr>
        <w:tc>
          <w:tcPr>
            <w:tcW w:w="3580" w:type="dxa"/>
            <w:vAlign w:val="bottom"/>
            <w:tcBorders>
              <w:bottom w:val="single" w:sz="8" w:color="808080"/>
            </w:tcBorders>
          </w:tcPr>
          <w:p>
            <w:pPr>
              <w:spacing w:after="0"/>
              <w:rPr>
                <w:sz w:val="6"/>
                <w:szCs w:val="6"/>
                <w:color w:val="auto"/>
              </w:rPr>
            </w:pPr>
          </w:p>
        </w:tc>
        <w:tc>
          <w:tcPr>
            <w:tcW w:w="790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 w:name="page7"/>
    <w:bookmarkEnd w:id="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Investing in our securities involves a high degree of risk. You should consider carefully the risks and uncertainties described below, together with all of the other information in this Prospectus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Product Development, Regulatory Approval and Commercialization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68" w:lineRule="exact"/>
        <w:rPr>
          <w:sz w:val="20"/>
          <w:szCs w:val="20"/>
          <w:color w:val="auto"/>
        </w:rPr>
      </w:pPr>
    </w:p>
    <w:p>
      <w:pPr>
        <w:jc w:val="both"/>
        <w:ind w:firstLine="432"/>
        <w:spacing w:after="0" w:line="309" w:lineRule="auto"/>
        <w:rPr>
          <w:sz w:val="20"/>
          <w:szCs w:val="20"/>
          <w:color w:val="auto"/>
        </w:rPr>
      </w:pPr>
      <w:r>
        <w:rPr>
          <w:rFonts w:ascii="Arial" w:cs="Arial" w:eastAsia="Arial" w:hAnsi="Arial"/>
          <w:sz w:val="10"/>
          <w:szCs w:val="10"/>
          <w:color w:val="auto"/>
        </w:rPr>
        <w:t>We currently have no drug products for sale and may never be able to develop and commercialize marketable drug products. Our business depends heavily on the successful non-clinical and clinical development, regulatory approval and commercialization of AV-101 for depression, including Major Depressive Disorder (“</w:t>
      </w:r>
      <w:r>
        <w:rPr>
          <w:rFonts w:ascii="Arial" w:cs="Arial" w:eastAsia="Arial" w:hAnsi="Arial"/>
          <w:sz w:val="10"/>
          <w:szCs w:val="10"/>
          <w:i w:val="1"/>
          <w:iCs w:val="1"/>
          <w:color w:val="auto"/>
        </w:rPr>
        <w:t>MDD</w:t>
      </w:r>
      <w:r>
        <w:rPr>
          <w:rFonts w:ascii="Arial" w:cs="Arial" w:eastAsia="Arial" w:hAnsi="Arial"/>
          <w:sz w:val="10"/>
          <w:szCs w:val="10"/>
          <w:color w:val="auto"/>
        </w:rPr>
        <w:t>”), and various other diseases and disorders involving the central nervous system (“</w:t>
      </w:r>
      <w:r>
        <w:rPr>
          <w:rFonts w:ascii="Arial" w:cs="Arial" w:eastAsia="Arial" w:hAnsi="Arial"/>
          <w:sz w:val="10"/>
          <w:szCs w:val="10"/>
          <w:i w:val="1"/>
          <w:iCs w:val="1"/>
          <w:color w:val="auto"/>
        </w:rPr>
        <w:t>CNS</w:t>
      </w:r>
      <w:r>
        <w:rPr>
          <w:rFonts w:ascii="Arial" w:cs="Arial" w:eastAsia="Arial" w:hAnsi="Arial"/>
          <w:sz w:val="10"/>
          <w:szCs w:val="10"/>
          <w:color w:val="auto"/>
        </w:rPr>
        <w:t>”), as well as our ability to produce, develop and commercialize new chemical entities (“</w:t>
      </w:r>
      <w:r>
        <w:rPr>
          <w:rFonts w:ascii="Arial" w:cs="Arial" w:eastAsia="Arial" w:hAnsi="Arial"/>
          <w:sz w:val="10"/>
          <w:szCs w:val="10"/>
          <w:i w:val="1"/>
          <w:iCs w:val="1"/>
          <w:color w:val="auto"/>
        </w:rPr>
        <w:t>NCEs</w:t>
      </w:r>
      <w:r>
        <w:rPr>
          <w:rFonts w:ascii="Arial" w:cs="Arial" w:eastAsia="Arial" w:hAnsi="Arial"/>
          <w:sz w:val="10"/>
          <w:szCs w:val="10"/>
          <w:color w:val="auto"/>
        </w:rPr>
        <w:t>”) from our drug rescue programs. AV-101 will require substantial additional Phase 2 and Phase 3 clinical development, testing and regulatory approval before we are permitted to commence its commercialization.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U.S. Food and Drug Administration, or FDA, regulatory approval process and will be commercialized. Accordingly, even if we are able to obtain the requisite financing to continue to fund our non-clinical studies and clinical trials, we cannot assure you that AV-101 or any other product candidate will be successfully developed or commercialized.</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are not permitted to market our product candidates in the United States until we receive approval of a New Drug Application, or an NDA, from the FDA, or in any foreign countries until we receive the requisite approval from such countries. We recently received FDA clearance to initiate the initial Phase 2 clinical trial involving AV-101, to study its safety, tolerability and efficacy in patients with MDD. If our Phase 2 clinical trial of AV-101 is successful, we expect the FDA to require us to complete at least one additional Phase 2 clinical trial and at least one pivotal Phase 3 clinical trial in order to submit an NDA for AV-101 as a treatment for MDD. However, the FDA may require that we conduct more than one additional Phase 2 clinical study and more than one Phase 3 pivotal trial of AV-101 before we can submit an NDA. The FDA may also require that we conduct additional toxicity studies and additional non-clinical studies before submitting an NDA for AV-101.</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Obtaining FDA approval of an NDA is a complex, lengthy, expensive and uncertain process, and the FDA may delay, limit or deny approval of AV-101 or any of our product candidates for many reasons, including, among others:</w:t>
      </w:r>
    </w:p>
    <w:p>
      <w:pPr>
        <w:spacing w:after="0" w:line="180" w:lineRule="exact"/>
        <w:rPr>
          <w:sz w:val="20"/>
          <w:szCs w:val="20"/>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may not be able to demonstrate that the product candidate is safe and effective in treating a human disease or disorder, to the satisfaction of the FDA;</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results of our non-clinical studies and clinical trials may not meet the level of statistical or clinical significance required by the FDA for marketing approval;</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may disagree with the number, design, size, conduct or implementation of our non-clinical studies and clinical trials;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may require that we conduct additional non-clinical studies and clinical trials;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or the applicable foreign regulatory agency may not approve the formulation, labeling or specifications of any of our product candidates;</w:t>
      </w:r>
    </w:p>
    <w:p>
      <w:pPr>
        <w:spacing w:after="0" w:line="168" w:lineRule="exact"/>
        <w:rPr>
          <w:rFonts w:ascii="Arial" w:cs="Arial" w:eastAsia="Arial" w:hAnsi="Arial"/>
          <w:sz w:val="12"/>
          <w:szCs w:val="12"/>
          <w:color w:val="auto"/>
        </w:rPr>
      </w:pPr>
    </w:p>
    <w:p>
      <w:pPr>
        <w:ind w:left="940" w:hanging="342"/>
        <w:spacing w:after="0" w:line="276" w:lineRule="auto"/>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contract research organizations, or CROs, that we retain to conduct our non-clinical studies and clinical trials may take actions outside of our control that materially adversely impact our non-clinical studies and clinical trials;</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may find the data from non-clinical studies and clinical trials insufficient to demonstrate that our product candidates’ clinical and other benefits outweigh their safety risks;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may disagree with our interpretation of data from our non-clinical studies and clinical trials;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may not accept data generated at our non-clinical studies and clinical trial sites;</w:t>
      </w:r>
    </w:p>
    <w:p>
      <w:pPr>
        <w:spacing w:after="0" w:line="168" w:lineRule="exact"/>
        <w:rPr>
          <w:rFonts w:ascii="Arial" w:cs="Arial" w:eastAsia="Arial" w:hAnsi="Arial"/>
          <w:sz w:val="12"/>
          <w:szCs w:val="12"/>
          <w:color w:val="auto"/>
        </w:rPr>
      </w:pPr>
    </w:p>
    <w:p>
      <w:pPr>
        <w:jc w:val="both"/>
        <w:ind w:left="940" w:hanging="342"/>
        <w:spacing w:after="0" w:line="263" w:lineRule="auto"/>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40"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may require development of a Risk Evaluation and Mitigation Strategy, or REMS, as a condition of approval or post-approval;</w:t>
      </w:r>
    </w:p>
    <w:p>
      <w:pPr>
        <w:spacing w:after="0" w:line="168" w:lineRule="exact"/>
        <w:rPr>
          <w:rFonts w:ascii="Arial" w:cs="Arial" w:eastAsia="Arial" w:hAnsi="Arial"/>
          <w:sz w:val="12"/>
          <w:szCs w:val="12"/>
          <w:color w:val="auto"/>
        </w:rPr>
      </w:pPr>
    </w:p>
    <w:p>
      <w:pPr>
        <w:ind w:left="940" w:hanging="342"/>
        <w:spacing w:after="0" w:line="276" w:lineRule="auto"/>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or cGMPs; or</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or applicable foreign regulatory agency may change its approval policies or adopt new regulations.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 w:name="page8"/>
    <w:bookmarkEnd w:id="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Any of these factors, many of which are beyond our control, could jeopardize our ability to obtain regulatory approval for and successfully market AV-101 or any other product candidate we may develop, including drug rescue NCEs. Any such setback in our pursuit of regulatory approval would have a material adverse effect on our business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Fast Track designation by the FDA may not actually lead to a faster development or regulatory review or approval process.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intend to seek FDA Fast Track designation for AV-101, and we may do so for other product candidates as well. If a product candidate is intended for the treatment of a serious or life-threatening condition and the product candidate demonstrates the potential to address unmet medical needs for this condition, the sponsor may apply for the FDA Fast Track designation.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number of patients suffering from MDD has not been established with precision. If the actual number of patients with MDD is smaller than we anticipate, we may encounter difficulties in enrolling patients in our AV-101 clinical trials, including our impending NIH-funded Phase 2 clinical study of AV-101 in MDD, thereby delaying or preventing clinical development. Further, if AV-101 is approved for treatment of MDD, and the market for this indication is smaller than we anticipate, our ability to achieve profitability could be limited.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earlier clinical trials may not be predictive of the results of later-stage clinical trials.</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2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serious adverse events or other undesirable side effects are identified during the use of AV-101 in investigator-sponsored trials, it may adversely effect our development of AV-101 for MDD and other CNS indications.</w:t>
      </w:r>
    </w:p>
    <w:p>
      <w:pPr>
        <w:spacing w:after="0" w:line="1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AV-101 will be tested in an NIH investigator sponsored Phase 2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 w:name="page9"/>
    <w:bookmarkEnd w:id="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Positive results from early non-clinical studies and clinical trials of AV-101 or other product candidates are not necessarily predictive of the results of later non-clinical studies and clinical trials of such product candidates. If we cannot replicate the positive results from our earlier non-clinical studies and clinical trials of AV-101 or other product candidates in our later non-clinical studies and clinical trials, we may be unable to successfully develop, obtain regulatory approval for and commercialize our product candidates.</w:t>
      </w:r>
    </w:p>
    <w:p>
      <w:pPr>
        <w:spacing w:after="0" w:line="141"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Positive results from non-clinical studies of our product candidates, and any positive results we may obtain from early clinical trials of our product candidates, may not necessarily be predictive of the results from required later non-clinical studies and clinical trials. Similarly, even if we are able to complete our planned non-clinical studies or clinical trials of our product candidates according to our current development timeline, the positive results from our non-clinical studies and clinical trials of our product candidates may not be replicated in subsequent non-clinical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non-clinical findings made while clinical trials were underway or safety or efficacy observations made in non-clinical studies and clinical trials, including previously unreported adverse events. Moreover, non-clinical and clinical data are often susceptible to varying interpretations and analyses, and many companies that believed their product candidates performed satisfactorily in non-clinical studies and clinical trials nonetheless failed to obtain FDA approval. We have not yet completed any Phase 2 clinical trial for AV-101, and if we fail to produce positive results in our NIH-sponsored Phase 2 clinical trial of AV-101 in MDD, the development timeline and regulatory approval and commercialization prospects for AV-101 and, correspondingly, our business and financial prospects, would be materially adversely affected.</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5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2"/>
          <w:szCs w:val="12"/>
          <w:color w:val="auto"/>
        </w:rPr>
        <w:t>We and the NIH are preparing to commence an NIH-funded Phase 2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 study of AV-101 or any of our future-planned clinical trials will begin or be completed on schedule, if at all, as the commencement and completion of clinical trials can be delayed or prevented for a number of reasons, including, among others:</w:t>
      </w:r>
    </w:p>
    <w:p>
      <w:pPr>
        <w:spacing w:after="0" w:line="125" w:lineRule="exact"/>
        <w:rPr>
          <w:sz w:val="20"/>
          <w:szCs w:val="20"/>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FDA may deny permission to proceed with our planned clinical trials or any other clinical trials we may initiate, or may place a clinical trial on hold;</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delays in filing or receiving approvals of additional INDs that may be required;</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negative results from our ongoing non-clinical studies;</w:t>
      </w:r>
    </w:p>
    <w:p>
      <w:pPr>
        <w:spacing w:after="0" w:line="168" w:lineRule="exact"/>
        <w:rPr>
          <w:rFonts w:ascii="Arial" w:cs="Arial" w:eastAsia="Arial" w:hAnsi="Arial"/>
          <w:sz w:val="12"/>
          <w:szCs w:val="12"/>
          <w:color w:val="auto"/>
        </w:rPr>
      </w:pPr>
    </w:p>
    <w:p>
      <w:pPr>
        <w:ind w:left="940" w:right="20" w:hanging="342"/>
        <w:spacing w:after="0" w:line="276" w:lineRule="auto"/>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inadequate quantity or quality of a product candidate or other materials necessary to conduct clinical trials, for example delays in the manufacturing of sufficient supply of finished drug product;</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difficulties obtaining Institutional Review Board, or IRB, approval to conduct a clinical trial at a prospective site or sites;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challenges in recruiting and enrolling patients to participate in clinical trials, including the proximity of patients to trial sites;</w:t>
      </w:r>
    </w:p>
    <w:p>
      <w:pPr>
        <w:spacing w:after="0" w:line="168" w:lineRule="exact"/>
        <w:rPr>
          <w:rFonts w:ascii="Arial" w:cs="Arial" w:eastAsia="Arial" w:hAnsi="Arial"/>
          <w:sz w:val="12"/>
          <w:szCs w:val="12"/>
          <w:color w:val="auto"/>
        </w:rPr>
      </w:pPr>
    </w:p>
    <w:p>
      <w:pPr>
        <w:ind w:left="940" w:hanging="342"/>
        <w:spacing w:after="0" w:line="276" w:lineRule="auto"/>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severe or unexpected drug-related side effects experienced by patients in a clinical trial;</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delays in validating any endpoints utilized in a clinical trial;</w:t>
      </w:r>
    </w:p>
    <w:p>
      <w:pPr>
        <w:spacing w:after="0" w:line="168" w:lineRule="exact"/>
        <w:rPr>
          <w:rFonts w:ascii="Arial" w:cs="Arial" w:eastAsia="Arial" w:hAnsi="Arial"/>
          <w:sz w:val="12"/>
          <w:szCs w:val="12"/>
          <w:color w:val="auto"/>
        </w:rPr>
      </w:pPr>
    </w:p>
    <w:p>
      <w:pPr>
        <w:ind w:left="940" w:right="20" w:hanging="342"/>
        <w:spacing w:after="0" w:line="276" w:lineRule="auto"/>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reports from non-clinical or clinical testing of other CNS therapies that raise safety or efficacy concerns; and</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difficulties retaining patients who have enrolled in a clinical trial but may be prone to withdraw due to rigors of the clinical trials, lack of efficacy, side effects, personal issues or loss of interest.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 w:name="page10"/>
    <w:bookmarkEnd w:id="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or DSMB, overseeing the clinical trial at issue or other regulatory authorities due to a number of factors, including, among others:</w:t>
      </w:r>
    </w:p>
    <w:p>
      <w:pPr>
        <w:spacing w:after="0" w:line="133" w:lineRule="exact"/>
        <w:rPr>
          <w:sz w:val="20"/>
          <w:szCs w:val="20"/>
          <w:color w:val="auto"/>
        </w:rPr>
      </w:pPr>
    </w:p>
    <w:p>
      <w:pPr>
        <w:ind w:left="940" w:hanging="342"/>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failure to conduct the clinical trial in accordance with regulatory requirements or our clinical protocols;</w:t>
      </w:r>
    </w:p>
    <w:p>
      <w:pPr>
        <w:spacing w:after="0" w:line="168" w:lineRule="exact"/>
        <w:rPr>
          <w:rFonts w:ascii="Arial" w:cs="Arial" w:eastAsia="Arial" w:hAnsi="Arial"/>
          <w:sz w:val="12"/>
          <w:szCs w:val="12"/>
          <w:color w:val="auto"/>
        </w:rPr>
      </w:pPr>
    </w:p>
    <w:p>
      <w:pPr>
        <w:ind w:left="940" w:hanging="342"/>
        <w:spacing w:after="0" w:line="276" w:lineRule="auto"/>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unforeseen safety issues, including any that could be identified in our ongoing non-clinical carcinogenicity studies, adverse side effects or lack of effectiveness;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government regulations or administrative actions;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problems with clinical supply materials; and</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lack of adequate funding to continue clinical trials.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Changes in regulatory requirements, FDA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do not have the ability to independently conduct clinical trials. We rely on medical institutions, clinical investigators, contract laboratories and other third parties, such as contract research organizations, or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27" w:lineRule="exact"/>
        <w:rPr>
          <w:sz w:val="20"/>
          <w:szCs w:val="20"/>
          <w:color w:val="auto"/>
        </w:rPr>
      </w:pPr>
    </w:p>
    <w:p>
      <w:pPr>
        <w:ind w:left="940" w:hanging="342"/>
        <w:spacing w:after="0"/>
        <w:tabs>
          <w:tab w:leader="none" w:pos="940" w:val="left"/>
        </w:tabs>
        <w:numPr>
          <w:ilvl w:val="0"/>
          <w:numId w:val="6"/>
        </w:numPr>
        <w:rPr>
          <w:rFonts w:ascii="Arial" w:cs="Arial" w:eastAsia="Arial" w:hAnsi="Arial"/>
          <w:sz w:val="12"/>
          <w:szCs w:val="12"/>
          <w:color w:val="auto"/>
        </w:rPr>
      </w:pPr>
      <w:r>
        <w:rPr>
          <w:rFonts w:ascii="Arial" w:cs="Arial" w:eastAsia="Arial" w:hAnsi="Arial"/>
          <w:sz w:val="12"/>
          <w:szCs w:val="12"/>
          <w:color w:val="auto"/>
        </w:rPr>
        <w:t>have staffing difficulties;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6"/>
        </w:numPr>
        <w:rPr>
          <w:rFonts w:ascii="Arial" w:cs="Arial" w:eastAsia="Arial" w:hAnsi="Arial"/>
          <w:sz w:val="12"/>
          <w:szCs w:val="12"/>
          <w:color w:val="auto"/>
        </w:rPr>
      </w:pPr>
      <w:r>
        <w:rPr>
          <w:rFonts w:ascii="Arial" w:cs="Arial" w:eastAsia="Arial" w:hAnsi="Arial"/>
          <w:sz w:val="12"/>
          <w:szCs w:val="12"/>
          <w:color w:val="auto"/>
        </w:rPr>
        <w:t>fail to comply with contractual obligations;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6"/>
        </w:numPr>
        <w:rPr>
          <w:rFonts w:ascii="Arial" w:cs="Arial" w:eastAsia="Arial" w:hAnsi="Arial"/>
          <w:sz w:val="12"/>
          <w:szCs w:val="12"/>
          <w:color w:val="auto"/>
        </w:rPr>
      </w:pPr>
      <w:r>
        <w:rPr>
          <w:rFonts w:ascii="Arial" w:cs="Arial" w:eastAsia="Arial" w:hAnsi="Arial"/>
          <w:sz w:val="12"/>
          <w:szCs w:val="12"/>
          <w:color w:val="auto"/>
        </w:rPr>
        <w:t>experience regulatory compliance issues;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6"/>
        </w:numPr>
        <w:rPr>
          <w:rFonts w:ascii="Arial" w:cs="Arial" w:eastAsia="Arial" w:hAnsi="Arial"/>
          <w:sz w:val="12"/>
          <w:szCs w:val="12"/>
          <w:color w:val="auto"/>
        </w:rPr>
      </w:pPr>
      <w:r>
        <w:rPr>
          <w:rFonts w:ascii="Arial" w:cs="Arial" w:eastAsia="Arial" w:hAnsi="Arial"/>
          <w:sz w:val="12"/>
          <w:szCs w:val="12"/>
          <w:color w:val="auto"/>
        </w:rPr>
        <w:t>undergo changes in priorities or become financially distressed; or</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6"/>
        </w:numPr>
        <w:rPr>
          <w:rFonts w:ascii="Arial" w:cs="Arial" w:eastAsia="Arial" w:hAnsi="Arial"/>
          <w:sz w:val="12"/>
          <w:szCs w:val="12"/>
          <w:color w:val="auto"/>
        </w:rPr>
      </w:pPr>
      <w:r>
        <w:rPr>
          <w:rFonts w:ascii="Arial" w:cs="Arial" w:eastAsia="Arial" w:hAnsi="Arial"/>
          <w:sz w:val="12"/>
          <w:szCs w:val="12"/>
          <w:color w:val="auto"/>
        </w:rPr>
        <w:t>form relationships with other entities, some of which may be our competitors.</w:t>
      </w:r>
    </w:p>
    <w:p>
      <w:pPr>
        <w:spacing w:after="0" w:line="16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Good Clinical Practices, or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 w:name="page11"/>
    <w:bookmarkEnd w:id="1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Although we intend to design our clinical trials for our product candidates, we plan to have CROs, and in the case of our initial AV-101 Phase 2 study in MDD, the NIH, conduct all of the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49"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1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4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4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do not have long-term supply agreements in place with our contract manufacturers and each batch of our product candidates is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AV-101 and other product candidates, if approved. Our current scale of manufacturing for AV-101 is adequate to support our currently planned needs for non-clinical studies and clinical trial supplies.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 w:name="page12"/>
    <w:bookmarkEnd w:id="1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do not currently have an infrastructure for the sales, marketing and distribution of pharmaceutical products. In order to market our product candidates,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33" w:lineRule="exact"/>
        <w:rPr>
          <w:sz w:val="20"/>
          <w:szCs w:val="20"/>
          <w:color w:val="auto"/>
        </w:rPr>
      </w:pPr>
    </w:p>
    <w:p>
      <w:pPr>
        <w:ind w:left="960" w:hanging="357"/>
        <w:spacing w:after="0" w:line="276" w:lineRule="auto"/>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32"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limitations or warnings contained in the labeling approved for our product candidates by the FDA or other applicable regulatory authorities;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clinical indications for which our product candidates are approved;</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availability of alternative treatments already approved or expected to be commercially launched in the near future;</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potential and perceived advantages of our product candidates over current treatment options or alternative treatments, including future alternative treatments;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strength of marketing and distribution support and timing of market introduction of competitive products;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publicity concerning our products or competing products and treatments;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pricing and cost effectiveness;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effectiveness of our sales and marketing strategies;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ability to increase awareness of our product candidates through marketing efforts;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ability to obtain sufficient third-party coverage or reimbursement; or</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willingness of patients to pay out-of-pocket in the absence of third-party coverage.</w:t>
      </w:r>
    </w:p>
    <w:p>
      <w:pPr>
        <w:spacing w:after="0" w:line="163" w:lineRule="exact"/>
        <w:rPr>
          <w:sz w:val="20"/>
          <w:szCs w:val="20"/>
          <w:color w:val="auto"/>
        </w:rPr>
      </w:pPr>
    </w:p>
    <w:p>
      <w:pPr>
        <w:jc w:val="both"/>
        <w:ind w:firstLine="659"/>
        <w:spacing w:after="0" w:line="252" w:lineRule="auto"/>
        <w:rPr>
          <w:sz w:val="20"/>
          <w:szCs w:val="20"/>
          <w:color w:val="auto"/>
        </w:rPr>
      </w:pPr>
      <w:r>
        <w:rPr>
          <w:rFonts w:ascii="Arial" w:cs="Arial" w:eastAsia="Arial" w:hAnsi="Arial"/>
          <w:sz w:val="14"/>
          <w:szCs w:val="14"/>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 w:name="page13"/>
    <w:bookmarkEnd w:id="1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41" w:lineRule="exact"/>
        <w:rPr>
          <w:sz w:val="20"/>
          <w:szCs w:val="20"/>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regulatory authorities may withdraw or limit their approval of such product candidates;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regulatory authorities may require the addition of labeling statements, such as a “boxed” warning or a contraindication;</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be required to change the way such product candidates are distributed or administered, conduct additional clinical trials or change the labeling of the product candidates;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be subject to regulatory investigations and government enforcement actions;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decide to remove such product candidates from the marketplace;</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could be sued and held liable for injury caused to individuals exposed to or taking our product candidates; and</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reputation may suffer.</w:t>
      </w:r>
    </w:p>
    <w:p>
      <w:pPr>
        <w:spacing w:after="0" w:line="163" w:lineRule="exact"/>
        <w:rPr>
          <w:sz w:val="20"/>
          <w:szCs w:val="20"/>
          <w:color w:val="auto"/>
        </w:rPr>
      </w:pPr>
    </w:p>
    <w:p>
      <w:pPr>
        <w:jc w:val="both"/>
        <w:ind w:firstLine="685"/>
        <w:spacing w:after="0" w:line="273" w:lineRule="auto"/>
        <w:rPr>
          <w:sz w:val="20"/>
          <w:szCs w:val="20"/>
          <w:color w:val="auto"/>
        </w:rPr>
      </w:pPr>
      <w:r>
        <w:rPr>
          <w:rFonts w:ascii="Arial" w:cs="Arial" w:eastAsia="Arial" w:hAnsi="Arial"/>
          <w:sz w:val="14"/>
          <w:szCs w:val="14"/>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we may still face future development and regulatory difficulties.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25" w:lineRule="exact"/>
        <w:rPr>
          <w:sz w:val="20"/>
          <w:szCs w:val="20"/>
          <w:color w:val="auto"/>
        </w:rPr>
      </w:pPr>
    </w:p>
    <w:p>
      <w:pPr>
        <w:ind w:left="920" w:hanging="340"/>
        <w:spacing w:after="0"/>
        <w:tabs>
          <w:tab w:leader="none" w:pos="9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issue warning letters or untitled letters;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seek an injunction or impose civil or criminal penalties or monetary fines;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suspend or withdraw marketing approval;</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suspend any ongoing clinical trials;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refuse to approve pending applications or supplements to applications submitted by us;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suspend or impose restrictions on operations, including costly new manufacturing requirements; or</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seize or detain products, refuse to permit the import or export of products, or require that we initiate a product recall.</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 w:name="page14"/>
    <w:bookmarkEnd w:id="1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Competing therapies could emerge adversely affecting our opportunity to generate revenue from the sale of our product candidates.</w:t>
      </w:r>
    </w:p>
    <w:p>
      <w:pPr>
        <w:spacing w:after="0" w:line="16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Currently, management is unaware of any FDA-approved therapy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or ECT, are sometimes used before or instead of antidepressant medications to treat patients with MDD.</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the field of new generation antidepressants focused on modulation of the NMDA receptor, our principal competitor is Naurex, Inc., which is developing GLYX-13 and NRX-1074 for treatment-resistant MDD. Although each of these drug candidates is a peptide and may not be orally active in MDD patients (GLYX-13 is only administered intravenously and, we believe, NRX-1074 has not yet been administered orally to MDD patients), both are new generation NMDA modulators focused, as is AV-101, on the glycine binding site of the NMDAR.</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Actavis, Astra Zeneca, Eli Lilly, GlaxoSmithKline, Johnson &amp; Johnson, Lundbeck, Merck, Novartis, Otsuka, Pfizer, Roche,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47"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 w:name="page15"/>
    <w:bookmarkEnd w:id="1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success of our business depends primarily upon our ability to identify, develop and commercialize biopharmaceutical product candidates. Although AV-101 is in Phase 2 clinical development, our research programs, we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Because we have limited financial and management resources, we focus on a limited number of research programs and product candidates and are currently focused on AV-101 and stem cell technology-based drug rescue .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 w:name="page16"/>
    <w:bookmarkEnd w:id="1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920" w:hanging="340"/>
        <w:spacing w:after="0" w:line="323" w:lineRule="auto"/>
        <w:tabs>
          <w:tab w:leader="none" w:pos="9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09" w:lineRule="exact"/>
        <w:rPr>
          <w:rFonts w:ascii="Arial" w:cs="Arial" w:eastAsia="Arial" w:hAnsi="Arial"/>
          <w:sz w:val="11"/>
          <w:szCs w:val="11"/>
          <w:color w:val="auto"/>
        </w:rPr>
      </w:pPr>
    </w:p>
    <w:p>
      <w:pPr>
        <w:ind w:left="900" w:hanging="324"/>
        <w:spacing w:after="0" w:line="276"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32" w:lineRule="exact"/>
        <w:rPr>
          <w:rFonts w:ascii="Arial" w:cs="Arial" w:eastAsia="Arial" w:hAnsi="Arial"/>
          <w:sz w:val="12"/>
          <w:szCs w:val="12"/>
          <w:color w:val="auto"/>
        </w:rPr>
      </w:pPr>
    </w:p>
    <w:p>
      <w:pPr>
        <w:jc w:val="both"/>
        <w:ind w:left="900" w:hanging="324"/>
        <w:spacing w:after="0" w:line="263"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40" w:lineRule="exact"/>
        <w:rPr>
          <w:rFonts w:ascii="Arial" w:cs="Arial" w:eastAsia="Arial" w:hAnsi="Arial"/>
          <w:sz w:val="12"/>
          <w:szCs w:val="12"/>
          <w:color w:val="auto"/>
        </w:rPr>
      </w:pPr>
    </w:p>
    <w:p>
      <w:pPr>
        <w:ind w:left="900" w:right="20" w:hanging="324"/>
        <w:spacing w:after="0" w:line="276"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2" w:lineRule="exact"/>
        <w:rPr>
          <w:rFonts w:ascii="Arial" w:cs="Arial" w:eastAsia="Arial" w:hAnsi="Arial"/>
          <w:sz w:val="12"/>
          <w:szCs w:val="12"/>
          <w:color w:val="auto"/>
        </w:rPr>
      </w:pPr>
    </w:p>
    <w:p>
      <w:pPr>
        <w:jc w:val="both"/>
        <w:ind w:left="900" w:hanging="324"/>
        <w:spacing w:after="0" w:line="263"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40" w:lineRule="exact"/>
        <w:rPr>
          <w:rFonts w:ascii="Arial" w:cs="Arial" w:eastAsia="Arial" w:hAnsi="Arial"/>
          <w:sz w:val="12"/>
          <w:szCs w:val="12"/>
          <w:color w:val="auto"/>
        </w:rPr>
      </w:pPr>
    </w:p>
    <w:p>
      <w:pPr>
        <w:jc w:val="both"/>
        <w:ind w:left="900" w:hanging="324"/>
        <w:spacing w:after="0" w:line="263"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40" w:lineRule="exact"/>
        <w:rPr>
          <w:rFonts w:ascii="Arial" w:cs="Arial" w:eastAsia="Arial" w:hAnsi="Arial"/>
          <w:sz w:val="12"/>
          <w:szCs w:val="12"/>
          <w:color w:val="auto"/>
        </w:rPr>
      </w:pPr>
    </w:p>
    <w:p>
      <w:pPr>
        <w:ind w:left="900" w:right="20" w:hanging="324"/>
        <w:spacing w:after="0" w:line="276"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1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9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AV0-101 as a treatment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 w:name="page17"/>
    <w:bookmarkEnd w:id="1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approved, reimbursement policies could limit our ability to sell our product candidates.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2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have obtained orphan drug designation for one or more of our product candidates, there may be limits to the regulatory exclusivity afforded by such designation.</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growth may depend, in part, on our ability to penetrate foreign markets, where we would be subject to additional regulatory burdens and other risks and uncertainties.</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3" w:lineRule="exact"/>
        <w:rPr>
          <w:sz w:val="20"/>
          <w:szCs w:val="20"/>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customers’ ability to obtain reimbursement for our product candidates in foreign markets;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inability to directly control commercial activities because we are relying on third parties;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burden of complying with complex and changing foreign regulatory, tax, accounting and legal requirements;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different medical practices and customs in foreign countries affecting acceptance in the marketplace;</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import or export licensing requirements;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longer accounts receivable collection times;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longer lead times for shipping;</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language barriers for technical training;</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reduced protection of intellectual property rights in some foreign countries;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existence of additional potentially relevant third party intellectual property rights;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foreign currency exchange rate fluctuations;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interpretation of contractual provisions governed by foreign laws in the event of a contract dispute.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 w:name="page18"/>
    <w:bookmarkEnd w:id="1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Foreign sales of our product candidates could also be adversely affected by the imposition of governmental controls, political and economic instability, trade restrictions and changes in tariffs.</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23" w:lineRule="exact"/>
        <w:rPr>
          <w:sz w:val="20"/>
          <w:szCs w:val="20"/>
          <w:color w:val="auto"/>
        </w:rPr>
      </w:pPr>
    </w:p>
    <w:p>
      <w:pPr>
        <w:ind w:left="900" w:hanging="32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produce product candidates;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develop and obtain required regulatory approvals for commercialization of products we produce;</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maintain, leverage and expand our intellectual property portfolio;</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establish and maintain sales, distribution and marketing capabilities, and/or enter into strategic partnering arrangements to access such capabilities;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gain market acceptance for our products; and</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obtain adequate capital resources and manage our spending as costs and expenses increase due to research, production, development, regulatory approval and commercialization of product candidates.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Our future success is highly dependent upon our ability to successfully develop and commercialize AV-101 and produce, develop and commercialize proprietary NCEs using our stem cell technology, human cells derived from stem cells, our customized human cell-based bioassay systems and medicinal chemistry, and we cannot provide any assurance that we will successfully develop and commercialize AV-101 or drug rescue NCEs , or that, if produced, AV-101 or any drug rescue NCE will be successfully commercialized.</w:t>
      </w:r>
    </w:p>
    <w:p>
      <w:pPr>
        <w:spacing w:after="0" w:line="12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92" w:lineRule="exact"/>
        <w:rPr>
          <w:sz w:val="20"/>
          <w:szCs w:val="20"/>
          <w:color w:val="auto"/>
        </w:rPr>
      </w:pPr>
    </w:p>
    <w:p>
      <w:pPr>
        <w:ind w:left="900" w:hanging="324"/>
        <w:spacing w:after="0"/>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drug rescue research methodology may not be successful in identifying potential drug rescue NCEs;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competitors may develop alternatives that render our drug rescue NCEs obsolete;</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a drug rescue NCE may, on further study, be shown to have harmful side effects or other characteristics that indicate it is unlikely to be effective or otherwise does not meet applicable regulatory criteria;</w:t>
      </w:r>
    </w:p>
    <w:p>
      <w:pPr>
        <w:spacing w:after="0" w:line="161" w:lineRule="exact"/>
        <w:rPr>
          <w:rFonts w:ascii="Arial" w:cs="Arial" w:eastAsia="Arial" w:hAnsi="Arial"/>
          <w:sz w:val="11"/>
          <w:szCs w:val="11"/>
          <w:color w:val="auto"/>
        </w:rPr>
      </w:pPr>
    </w:p>
    <w:p>
      <w:pPr>
        <w:ind w:left="900" w:hanging="324"/>
        <w:spacing w:after="0"/>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drug rescue NCE may not be capable of being produced in commercial quantities at an acceptable cost, or at all; or</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drug rescue NCE may not be accepted as safe and effective by regulatory authorities, patients, the medical community or third-party payors.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8" w:name="page19"/>
    <w:bookmarkEnd w:id="1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If we are unable to develop and commercialize AV-101 or produce suitable drug rescue NCEs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w:t>
      </w:r>
    </w:p>
    <w:p>
      <w:pPr>
        <w:spacing w:after="0" w:line="13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There are a number of factors, in addition to the utility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that may impact our ability to identify and produce, develop or out-license and commercialize drug rescue NCEs, independently or with strategic partners, including:</w:t>
      </w:r>
    </w:p>
    <w:p>
      <w:pPr>
        <w:spacing w:after="0" w:line="115" w:lineRule="exact"/>
        <w:rPr>
          <w:sz w:val="20"/>
          <w:szCs w:val="20"/>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identify potential drug rescue candidates in the public domain, obtain sufficient quantities of them, and assess them using our bioassay systems;</w:t>
      </w:r>
    </w:p>
    <w:p>
      <w:pPr>
        <w:spacing w:after="0" w:line="150" w:lineRule="exact"/>
        <w:rPr>
          <w:rFonts w:ascii="Arial" w:cs="Arial" w:eastAsia="Arial" w:hAnsi="Arial"/>
          <w:sz w:val="12"/>
          <w:szCs w:val="12"/>
          <w:color w:val="auto"/>
        </w:rPr>
      </w:pPr>
    </w:p>
    <w:p>
      <w:pPr>
        <w:ind w:left="900" w:hanging="324"/>
        <w:spacing w:after="0" w:line="276" w:lineRule="auto"/>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14" w:lineRule="exact"/>
        <w:rPr>
          <w:rFonts w:ascii="Arial" w:cs="Arial" w:eastAsia="Arial" w:hAnsi="Arial"/>
          <w:sz w:val="12"/>
          <w:szCs w:val="12"/>
          <w:color w:val="auto"/>
        </w:rPr>
      </w:pPr>
    </w:p>
    <w:p>
      <w:pPr>
        <w:ind w:left="900" w:hanging="324"/>
        <w:spacing w:after="0"/>
        <w:tabs>
          <w:tab w:leader="none" w:pos="9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w:t>
      </w:r>
    </w:p>
    <w:p>
      <w:pPr>
        <w:spacing w:after="0" w:line="161" w:lineRule="exact"/>
        <w:rPr>
          <w:rFonts w:ascii="Arial" w:cs="Arial" w:eastAsia="Arial" w:hAnsi="Arial"/>
          <w:sz w:val="11"/>
          <w:szCs w:val="11"/>
          <w:color w:val="auto"/>
        </w:rPr>
      </w:pPr>
    </w:p>
    <w:p>
      <w:pPr>
        <w:ind w:left="900" w:hanging="324"/>
        <w:spacing w:after="0" w:line="276" w:lineRule="auto"/>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15" w:lineRule="exact"/>
        <w:rPr>
          <w:sz w:val="20"/>
          <w:szCs w:val="20"/>
          <w:color w:val="auto"/>
        </w:rPr>
      </w:pPr>
    </w:p>
    <w:p>
      <w:pPr>
        <w:jc w:val="both"/>
        <w:ind w:firstLine="583"/>
        <w:spacing w:after="0" w:line="257" w:lineRule="auto"/>
        <w:rPr>
          <w:sz w:val="20"/>
          <w:szCs w:val="20"/>
          <w:color w:val="auto"/>
        </w:rPr>
      </w:pPr>
      <w:r>
        <w:rPr>
          <w:rFonts w:ascii="Arial" w:cs="Arial" w:eastAsia="Arial" w:hAnsi="Arial"/>
          <w:sz w:val="12"/>
          <w:szCs w:val="12"/>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If CardioSafe </w:t>
      </w:r>
      <w:r>
        <w:rPr>
          <w:rFonts w:ascii="Arial" w:cs="Arial" w:eastAsia="Arial" w:hAnsi="Arial"/>
          <w:sz w:val="11"/>
          <w:szCs w:val="11"/>
          <w:b w:val="1"/>
          <w:bCs w:val="1"/>
          <w:color w:val="auto"/>
        </w:rPr>
        <w:t>3D</w:t>
      </w:r>
      <w:r>
        <w:rPr>
          <w:rFonts w:ascii="Arial" w:cs="Arial" w:eastAsia="Arial" w:hAnsi="Arial"/>
          <w:sz w:val="11"/>
          <w:szCs w:val="11"/>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6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Our success is highly dependent on our ability to 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identify and predict, accurately and efficiently, the potential toxic and nontoxic cardiac effects of drug rescue candidates and drug rescue NCEs. If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not capable of providing physiologically relevant and clinically predictive information regarding human cardiac biology, our drug rescue business will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 have not yet fully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for potential drug rescue applications, and we may never do so.</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We have developed proprietary protocols for controlling the differentiation of human pluripotent stem cells and producing functional, mature, adult liver cells we believe are superior to primary (cadaver) hepatocytes used in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vitro </w:t>
      </w:r>
      <w:r>
        <w:rPr>
          <w:rFonts w:ascii="Arial" w:cs="Arial" w:eastAsia="Arial" w:hAnsi="Arial"/>
          <w:sz w:val="12"/>
          <w:szCs w:val="12"/>
          <w:color w:val="auto"/>
        </w:rPr>
        <w:t>testing. However, we have not yet fully validated our ability to use the human liver cells we produce for</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to predict important biological effects, both toxic and nontoxic, of reference drugs, drug rescue candidates or drug</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rescue NCEs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drug discovery, drug rescue and regenerative medicine.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and, if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may not be meaningfully more predictive of the behavior of human cells than existing methods.</w:t>
      </w:r>
    </w:p>
    <w:p>
      <w:pPr>
        <w:spacing w:after="0" w:line="15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The success of our drug rescue business is highly dependent, in the first instance, upon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in the second instance, if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will be more efficient or accurate at predicting the heart or liver safety of new drug candidates than the testing models currently used. If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9" w:name="page20"/>
    <w:bookmarkEnd w:id="1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invest in producing drug rescue NCEs for which there proves to be no demand.</w:t>
      </w:r>
    </w:p>
    <w:p>
      <w:pPr>
        <w:spacing w:after="0" w:line="15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5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research and development programs related to producing and using functional, mature adult liver cells to validate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 a novel bioassay system for drug rescue, as well as exploratory nonclinical regenerative medicine programs involving blood, bone, cartilage, heart, and liver. Although we and our collaborators have developed proprietary protocols for the production of multiple differentiated cell types, we could encounter difficulties in differentiating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1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Some of our ongoing and planned research and development programs involve the use of human cells derived from our controlled differentiation of human embryonic stem cells (“</w:t>
      </w:r>
      <w:r>
        <w:rPr>
          <w:rFonts w:ascii="Arial" w:cs="Arial" w:eastAsia="Arial" w:hAnsi="Arial"/>
          <w:sz w:val="12"/>
          <w:szCs w:val="12"/>
          <w:i w:val="1"/>
          <w:iCs w:val="1"/>
          <w:color w:val="auto"/>
        </w:rPr>
        <w:t>hESC</w:t>
      </w:r>
      <w:r>
        <w:rPr>
          <w:rFonts w:ascii="Arial" w:cs="Arial" w:eastAsia="Arial" w:hAnsi="Arial"/>
          <w:sz w:val="12"/>
          <w:szCs w:val="12"/>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2"/>
          <w:szCs w:val="12"/>
          <w:i w:val="1"/>
          <w:iCs w:val="1"/>
          <w:color w:val="auto"/>
        </w:rPr>
        <w:t>(“iPSCs</w:t>
      </w:r>
      <w:r>
        <w:rPr>
          <w:rFonts w:ascii="Arial" w:cs="Arial" w:eastAsia="Arial" w:hAnsi="Arial"/>
          <w:sz w:val="12"/>
          <w:szCs w:val="12"/>
          <w:color w:val="auto"/>
        </w:rPr>
        <w:t>”), or our plans to pursue studies involving human cells derived from iPSCs, because their derivation does not involve the use of embryonic tissues.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0" w:name="page21"/>
    <w:bookmarkEnd w:id="2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use both hESCs and iPSCs to produce human cells for our customized in vitro assays for drug discovery and drug rescue purposes. However, we anticipate that our future exploratory research and development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2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15"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1" w:name="page22"/>
    <w:bookmarkEnd w:id="2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social and ethical concerns surrounding the use of iPSCs, biological materials and genetic information could impair our operations.</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1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The human cells we produce from HPSCs and our customized bioassay systems using such cells, including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Company-Related Risks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prospectus,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potential applications of our stem cell technology, including our production and assessment of potential drug recuse NCEs or disrupt our administrative functions.</w:t>
      </w:r>
    </w:p>
    <w:p>
      <w:pPr>
        <w:spacing w:after="0" w:line="10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41" w:lineRule="exact"/>
        <w:rPr>
          <w:sz w:val="20"/>
          <w:szCs w:val="20"/>
          <w:color w:val="auto"/>
        </w:rPr>
      </w:pPr>
    </w:p>
    <w:p>
      <w:pPr>
        <w:jc w:val="both"/>
        <w:ind w:firstLine="432"/>
        <w:spacing w:after="0" w:line="380" w:lineRule="auto"/>
        <w:rPr>
          <w:sz w:val="20"/>
          <w:szCs w:val="20"/>
          <w:color w:val="auto"/>
        </w:rPr>
      </w:pPr>
      <w:r>
        <w:rPr>
          <w:rFonts w:ascii="Arial" w:cs="Arial" w:eastAsia="Arial" w:hAnsi="Arial"/>
          <w:sz w:val="10"/>
          <w:szCs w:val="10"/>
          <w:color w:val="auto"/>
        </w:rPr>
        <w:t>In addition, we rely on a diverse range of consultants and advisors, including scientific and clinical development advisors, to assist us in designing our research and development strategies,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in managing our growth and expanding our operations successfully.</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As we seek to advance development of AV-101 for MDD and other CNS-related conditions, as well as cell production, bioassay development, drug discovery, drug rescue and development unrelated to AV-101, and stem cell technology-related regenerative medicine programs,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2" w:name="page23"/>
    <w:bookmarkEnd w:id="2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product liability lawsuits are brought against us, we may incur substantial liabilities and may be required to limit commercialization of our product candidates.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If we develop AV-101, drug rescue NCEs, other product candidates, or regenerative medicine product candidates, either on our own or in collaboration with others, we will face an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29" w:lineRule="exact"/>
        <w:rPr>
          <w:sz w:val="20"/>
          <w:szCs w:val="20"/>
          <w:color w:val="auto"/>
        </w:rPr>
      </w:pPr>
    </w:p>
    <w:p>
      <w:pPr>
        <w:ind w:left="900" w:hanging="324"/>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decreased demand for products that we may develop;</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 and</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 decline in our stock price.</w:t>
      </w:r>
    </w:p>
    <w:p>
      <w:pPr>
        <w:spacing w:after="0" w:line="15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 we continue to grow, we will need to hire additional qualified accounting and financial personnel with appropriate public company experience.</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 we continue to grow our organization and seek to obtain listing of our common stock on a national securities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Unfavorable global economic conditions could adversely affect our business, financial condition or results of operations.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3" w:name="page24"/>
    <w:bookmarkEnd w:id="2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9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acquire businesses or products, or form strategic alliances, in the future, and we may not realize the benefits of such acquisitions.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Need for Capital</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3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have incurred significant net losses in each fiscal year since our inception in 1998, including net losses of $13.9 million and $3.0 million during the fiscal years ending March 31, 2015 and 2014, respectively. As of June 30, 2015, we had an accumulated deficit of $114.0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will incur significant sales, marketing and outsourced-manufacturing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4" w:name="page25"/>
    <w:bookmarkEnd w:id="2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ability to become profitable depends upon our ability to generate revenues. To date, although we have generated approximately $16.4 million in revenues, we have not commercialized any products or generated any revenues from product sales, and we do not know when, or if, we will generate any revenue from product sales. We do not expect to generate significant revenue unless and until we obtain marketing approval of, and begin to sell,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143" w:lineRule="exact"/>
        <w:rPr>
          <w:sz w:val="20"/>
          <w:szCs w:val="20"/>
          <w:color w:val="auto"/>
        </w:rPr>
      </w:pPr>
    </w:p>
    <w:p>
      <w:pPr>
        <w:ind w:left="920" w:hanging="340"/>
        <w:spacing w:after="0"/>
        <w:tabs>
          <w:tab w:leader="none" w:pos="9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initiate and successfully complete clinical trials that meet their clinical endpoints;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initiate and successfully complete all safety studies required to obtain U.S. and foreign marketing approval for our product candidates;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commercialize our product candidates, if approved, by developing a sales force or entering into collaborations with third parties; and</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achieve market acceptance of our product candidates in the medical community and with third-party payors.</w:t>
      </w:r>
    </w:p>
    <w:p>
      <w:pPr>
        <w:spacing w:after="0" w:line="168" w:lineRule="exact"/>
        <w:rPr>
          <w:rFonts w:ascii="Arial" w:cs="Arial" w:eastAsia="Arial" w:hAnsi="Arial"/>
          <w:sz w:val="12"/>
          <w:szCs w:val="12"/>
          <w:color w:val="auto"/>
        </w:rPr>
      </w:pPr>
    </w:p>
    <w:p>
      <w:pPr>
        <w:jc w:val="both"/>
        <w:ind w:left="920" w:hanging="340"/>
        <w:spacing w:after="0" w:line="259" w:lineRule="auto"/>
        <w:tabs>
          <w:tab w:leader="none" w:pos="9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Absent our entering into a strategic development and commercialization collaboration or partnership agreement,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a commercially successful drug. We may not achieve profitability soon after generating product sales, if ever. If we are unable to generate product revenue, we will not become profitable and may be unable to continue operations without continued funding.</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independent auditors have expressed substantial doubt about our ability to continue as a going concern.</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Our Consolidated Financial Statements for the years ended March 31, 2015 and 2014 included in this prospectus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132" w:lineRule="exact"/>
        <w:rPr>
          <w:sz w:val="20"/>
          <w:szCs w:val="20"/>
          <w:color w:val="auto"/>
        </w:rPr>
      </w:pPr>
    </w:p>
    <w:p>
      <w:pPr>
        <w:jc w:val="both"/>
        <w:ind w:firstLine="38"/>
        <w:spacing w:after="0" w:line="276" w:lineRule="auto"/>
        <w:rPr>
          <w:sz w:val="20"/>
          <w:szCs w:val="20"/>
          <w:color w:val="auto"/>
        </w:rPr>
      </w:pPr>
      <w:r>
        <w:rPr>
          <w:rFonts w:ascii="Arial" w:cs="Arial" w:eastAsia="Arial" w:hAnsi="Arial"/>
          <w:sz w:val="12"/>
          <w:szCs w:val="12"/>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Since our inception, most of our resources have been dedicated to research and development of AV-101 and the drug rescue capabilities of our human pluripotent stem cell technology platform. In particular, we have expended substantial resources advancing AV-101 through preclinical development and Phase 1 clinical safety studies, and developing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drug rescue applications, and we will continue to expend substantial resources for the foreseeable future developing and commercializing AV-101, validating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and developing drug rescue NCEs.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44"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At June 30, 2015, our existing cash and cash equivalents were not sufficient to fund our current operations for the next 12 months. Although, in February 2015, we entered into a Cooperative Research and Development Agreement (“</w:t>
      </w:r>
      <w:r>
        <w:rPr>
          <w:rFonts w:ascii="Arial" w:cs="Arial" w:eastAsia="Arial" w:hAnsi="Arial"/>
          <w:sz w:val="11"/>
          <w:szCs w:val="11"/>
          <w:i w:val="1"/>
          <w:iCs w:val="1"/>
          <w:color w:val="auto"/>
        </w:rPr>
        <w:t>CRADA</w:t>
      </w:r>
      <w:r>
        <w:rPr>
          <w:rFonts w:ascii="Arial" w:cs="Arial" w:eastAsia="Arial" w:hAnsi="Arial"/>
          <w:sz w:val="11"/>
          <w:szCs w:val="11"/>
          <w:color w:val="auto"/>
        </w:rPr>
        <w:t>”) with the U.S. National Institutes of Health (“</w:t>
      </w:r>
      <w:r>
        <w:rPr>
          <w:rFonts w:ascii="Arial" w:cs="Arial" w:eastAsia="Arial" w:hAnsi="Arial"/>
          <w:sz w:val="11"/>
          <w:szCs w:val="11"/>
          <w:i w:val="1"/>
          <w:iCs w:val="1"/>
          <w:color w:val="auto"/>
        </w:rPr>
        <w:t>NIH</w:t>
      </w:r>
      <w:r>
        <w:rPr>
          <w:rFonts w:ascii="Arial" w:cs="Arial" w:eastAsia="Arial" w:hAnsi="Arial"/>
          <w:sz w:val="11"/>
          <w:szCs w:val="11"/>
          <w:color w:val="auto"/>
        </w:rPr>
        <w:t>”), under which CRADA the NIH will fully fund and conduct the initial Phase 2 clinical efficacy and safety of AV-101 in Major Depressive Disorder at no cost to us, we have no current source of revenue to sustain our present activities, and we do not expect to generate revenue until, and unless, we (i) out-license or sell AV-101, a drug rescue NCE, another drug candidate unrelated to AV-101 to third-parties, (ii) enter into license arrangements involving our stem cell technology, including customized drug discovery and predictive toxicology assays and services and/or regenerative medicine opportunities with a third party, or (iii)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prior to the end of 2015.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5" w:name="page26"/>
    <w:bookmarkEnd w:id="2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future capital requirements depend on many factors, including:</w:t>
      </w:r>
    </w:p>
    <w:p>
      <w:pPr>
        <w:spacing w:after="0" w:line="168" w:lineRule="exact"/>
        <w:rPr>
          <w:sz w:val="20"/>
          <w:szCs w:val="20"/>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number and characteristics of the product candidates we pursue, including AV-101 or drug rescue NCEs;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product candidates, and conducting preclinical and clinical studies;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timing of, and the costs involved in, obtaining regulatory approvals for our product candidates;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 of commercialization activities if any of our product candidates are approved for sale, including marketing, sales and distribution costs;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 of manufacturing our product candidates and any products we successfully commercialize;</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establish and maintain strategic partnerships, licensing or other arrangements and the financial terms of such agreements;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market acceptance of our products;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obtain government funding for our programs;</w:t>
      </w:r>
    </w:p>
    <w:p>
      <w:pPr>
        <w:spacing w:after="0" w:line="168" w:lineRule="exact"/>
        <w:rPr>
          <w:rFonts w:ascii="Arial" w:cs="Arial" w:eastAsia="Arial" w:hAnsi="Arial"/>
          <w:sz w:val="12"/>
          <w:szCs w:val="12"/>
          <w:color w:val="auto"/>
        </w:rPr>
      </w:pPr>
    </w:p>
    <w:p>
      <w:pPr>
        <w:ind w:left="900" w:right="20" w:hanging="324"/>
        <w:spacing w:after="0" w:line="276" w:lineRule="auto"/>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32" w:lineRule="exact"/>
        <w:rPr>
          <w:rFonts w:ascii="Arial" w:cs="Arial" w:eastAsia="Arial" w:hAnsi="Arial"/>
          <w:sz w:val="12"/>
          <w:szCs w:val="12"/>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timing, receipt and amount of potential future licensee fees, milestone payments, and sales of, or royalties on, our future products, if any; and</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although we currently have no commitments or agreements relating to any of these types of transactions.</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also dilute all of our stockholders. The incurrence of indebtedness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49" w:lineRule="exact"/>
        <w:rPr>
          <w:sz w:val="20"/>
          <w:szCs w:val="20"/>
          <w:color w:val="auto"/>
        </w:rPr>
      </w:pPr>
    </w:p>
    <w:p>
      <w:pPr>
        <w:jc w:val="both"/>
        <w:ind w:right="20" w:firstLine="432"/>
        <w:spacing w:after="0" w:line="380" w:lineRule="auto"/>
        <w:rPr>
          <w:sz w:val="20"/>
          <w:szCs w:val="20"/>
          <w:color w:val="auto"/>
        </w:rPr>
      </w:pPr>
      <w:r>
        <w:rPr>
          <w:rFonts w:ascii="Arial" w:cs="Arial" w:eastAsia="Arial" w:hAnsi="Arial"/>
          <w:sz w:val="10"/>
          <w:szCs w:val="10"/>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Raising additional capital will cause dilution to our existing stockholders, and may restrict our operations or require us to relinquish rights.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intend to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6" w:name="page27"/>
    <w:bookmarkEnd w:id="2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of our programs have been partially supported by government grants, which may not be available to us in the future.</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net operating losses to offset future taxable income is subject to certain limitations.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As of March 31, 2015, we had federal and state net operating loss carryforwards of $58.7 million and $53.1 million, respectively, which begin to expire in fiscal 2016. Under Section 382 of the Internal Revenue Code of 1986, as amended, or the Code,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 Rights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3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success will depend significantly on our ability to obtain and maintain patent and other proprietary protection for commercially important technology, inventions and know-how related to our business, defend and enforce our patents, should they issue,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our product candidates. Our owned and licensed patents and patent applications relate to AV-101 and, in general, human pluripotent stem cell technology.</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 for certain inventories.</w:t>
      </w:r>
    </w:p>
    <w:p>
      <w:pPr>
        <w:spacing w:after="0" w:line="12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7" w:name="page28"/>
    <w:bookmarkEnd w:id="2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4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05"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degree of future protection for our proprietary rights is uncertain, and we cannot ensure that:</w:t>
      </w:r>
    </w:p>
    <w:p>
      <w:pPr>
        <w:spacing w:after="0" w:line="168" w:lineRule="exact"/>
        <w:rPr>
          <w:sz w:val="20"/>
          <w:szCs w:val="20"/>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any of our AV-101 or other pending patent applications, if issued, will include claims having a scope sufficient to protect AV-101 or any other products or product candidates;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any of our pending patent applications will issue as patents at all;</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will be able to successfully commercialize our product candidates, if approved, before our relevant patents expire;</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were the first to make the inventions covered by each of our patents and pending patent applications;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were the first to file patent applications for these inventions;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others will not develop similar or alternative technologies that do not infringe our patents;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others will not use pre-existing technology to effectively compete against us;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any of our patents, if issued, will be found to ultimately be valid and enforceable;</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any patents issued to us will provide a basis for an exclusive market for our commercially viable products, will provide us with any competitive advantages or will not be challenged by third parties;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will develop additional proprietary technologies or product candidates that are separately patentable; or</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that our commercial activities or products will not infringe upon the patents or proprietary rights of others.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9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8" w:name="page29"/>
    <w:bookmarkEnd w:id="2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3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product candidates.</w:t>
      </w:r>
    </w:p>
    <w:p>
      <w:pPr>
        <w:spacing w:after="0" w:line="14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23" w:lineRule="exact"/>
        <w:rPr>
          <w:sz w:val="20"/>
          <w:szCs w:val="20"/>
          <w:color w:val="auto"/>
        </w:rPr>
      </w:pPr>
    </w:p>
    <w:p>
      <w:pPr>
        <w:ind w:left="920" w:hanging="340"/>
        <w:spacing w:after="0"/>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cease developing, selling or otherwise commercializing our product candidates;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pay substantial damages for past use of the asserted intellectual property;</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obtain a license from the holder of the asserted intellectual property, which license may not be available on reasonable terms, if at all; and</w:t>
      </w:r>
    </w:p>
    <w:p>
      <w:pPr>
        <w:spacing w:after="0" w:line="168"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Any of these risks coming to fruition could have a material adverse effect on our business, results of operations, financial condition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claims challenging the inventorship or ownership of our patents and other intellectual property.</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0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9" w:name="page30"/>
    <w:bookmarkEnd w:id="2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involved in lawsuits to protect or enforce our patents or the patents of our licensors, which could be expensive, time-consuming and unsuccessful.</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 patents covering our product candidates could be found invalid or unenforceable if challenged in court.</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9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4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0" w:name="page31"/>
    <w:bookmarkEnd w:id="3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“Business—Licenses” for a description of our license agreements, which includes a description of the termination provisions of these agreements.</w:t>
      </w:r>
    </w:p>
    <w:p>
      <w:pPr>
        <w:spacing w:after="0" w:line="1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33" w:lineRule="exact"/>
        <w:rPr>
          <w:sz w:val="20"/>
          <w:szCs w:val="20"/>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scope of rights granted under the license agreement and other interpretation-related issues;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whether and the extent to which our technology and processes infringe on intellectual property of the licensor that is not subject to the licensing agreement;</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right to sublicense patent and other rights to third parties under collaborative development relationships;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9" w:lineRule="exact"/>
        <w:rPr>
          <w:rFonts w:ascii="Arial" w:cs="Arial" w:eastAsia="Arial" w:hAnsi="Arial"/>
          <w:sz w:val="11"/>
          <w:szCs w:val="11"/>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ownership of inventions and know-how resulting from the joint creation or use of intellectual property by our licensors and us and our partners.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1" w:name="page32"/>
    <w:bookmarkEnd w:id="3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4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If we do not take adequate steps to commercialize certain intellectual property rights, or certain exigent circumstances relating to public health and safety prescribed under U.S. law become applicable, the U.S. government may acquire certain rights with respect to intellectual property we have developed under federally funded research and development grants and contracts, including inventions related to AV-101, and, in those certain circumstances, which are prescribed under federal law, we could ultimately share or lose certain intellectual property rights.</w:t>
      </w:r>
    </w:p>
    <w:p>
      <w:pPr>
        <w:spacing w:after="0" w:line="123"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Some of our intellectual property rights have been or may be developed in the course of research funded by the U.S. government, including patent applications relating to AV-101. As a result, under certain circumstances prescribed under federal law pursuant to the Bayh-Dole Act of 1980, the U.S. government may acquire certain rights to intellectual property embodied in our current or future products. Government rights in certain inventions developed under a government-funded program include a non-exclusive, non-transferable, irrevocable worldwide license to use inventions for any governmental purpose. In addition, the U.S. government has the right to require us to grant exclusive licenses to any of these inventions to a third party if they determine that: (i) adequate steps have not been taken to commercialize the invention; (ii) government action is necessary to meet public health or safety needs; or (iii) government action is necessary to meet requirements for public use under federal regulations. The U.S. government also has the right to take title to these inventions if we fail to disclose the invention to the government and fail to file an application to register the intellectual property within specified time limits. In addition, the U.S. government may acquire title in any country in which a patent application is not filed within specified time limits. If any of our intellectual property becomes subject to any of the rights or remedies available to the U.S. government or third parties pursuant to the Bayh-Dole Act of 1980, this could impair the value of our intellectual property and could adversely affect our business.</w:t>
      </w:r>
    </w:p>
    <w:p>
      <w:pPr>
        <w:spacing w:after="0" w:line="10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3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2" w:name="page33"/>
    <w:bookmarkEnd w:id="3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1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However, on March 4, 2014, the U.S. 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w:t>
      </w:r>
    </w:p>
    <w:p>
      <w:pPr>
        <w:spacing w:after="0" w:line="14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 PTO, the laws and regulations governing patents could change in unpredictable ways that would weaken our ability to obtain new patents or to enforce any patents that may issue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damages resulting from claims that we or our employees have wrongfully used or disclosed alleged trade secrets of their former employers.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3" w:name="page34"/>
    <w:bookmarkEnd w:id="3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Numerous factors may limit any potential competitive advantage provided by our intellectual property rights.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41" w:lineRule="exact"/>
        <w:rPr>
          <w:sz w:val="20"/>
          <w:szCs w:val="20"/>
          <w:color w:val="auto"/>
        </w:rPr>
      </w:pPr>
    </w:p>
    <w:p>
      <w:pPr>
        <w:ind w:left="920" w:hanging="340"/>
        <w:spacing w:after="0" w:line="276" w:lineRule="auto"/>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14"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might not have been the first to make the inventions covered by a pending patent application that we own;</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might not have been the first to file patent applications covering an invention;</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without infringing our intellectual property rights;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pending patent applications that we own or license may not lead to issued patents;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patents, if issued, that we own or license may not provide us with any competitive advantages, or may be held invalid or unenforceable, as a result of legal challenges by our competitors;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third parties may compete with us in jurisdictions where we do not pursue and obtain patent protection;</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not be able to obtain and/or maintain necessary or useful licenses on reasonable terms or at all;</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Should any of these events occur, they could significantly harm our business and results of operations.</w:t>
      </w:r>
    </w:p>
    <w:p>
      <w:pPr>
        <w:spacing w:after="0" w:line="150" w:lineRule="exact"/>
        <w:rPr>
          <w:sz w:val="20"/>
          <w:szCs w:val="20"/>
          <w:color w:val="auto"/>
        </w:rPr>
      </w:pPr>
    </w:p>
    <w:p>
      <w:pPr>
        <w:jc w:val="both"/>
        <w:ind w:right="20"/>
        <w:spacing w:after="0" w:line="380" w:lineRule="auto"/>
        <w:rPr>
          <w:sz w:val="20"/>
          <w:szCs w:val="20"/>
          <w:color w:val="auto"/>
        </w:rPr>
      </w:pPr>
      <w:r>
        <w:rPr>
          <w:rFonts w:ascii="Arial" w:cs="Arial" w:eastAsia="Arial" w:hAnsi="Arial"/>
          <w:sz w:val="10"/>
          <w:szCs w:val="10"/>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Since we became a publicly-traded company in May 2011, there has been a limited public market for shares of our common stock on the OTCQB Marketplace (“</w:t>
      </w:r>
      <w:r>
        <w:rPr>
          <w:rFonts w:ascii="Arial" w:cs="Arial" w:eastAsia="Arial" w:hAnsi="Arial"/>
          <w:sz w:val="12"/>
          <w:szCs w:val="12"/>
          <w:i w:val="1"/>
          <w:iCs w:val="1"/>
          <w:color w:val="auto"/>
        </w:rPr>
        <w:t>OTCQB</w:t>
      </w:r>
      <w:r>
        <w:rPr>
          <w:rFonts w:ascii="Arial" w:cs="Arial" w:eastAsia="Arial" w:hAnsi="Arial"/>
          <w:sz w:val="12"/>
          <w:szCs w:val="12"/>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 Markets.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4" w:name="page35"/>
    <w:bookmarkEnd w:id="3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cannot predict the extent to which investor interest in our company will lead to the development of a more active trading market on the OTC Markets,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volatility may affect our stock price and the value of your investment.</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15" w:lineRule="exact"/>
        <w:rPr>
          <w:sz w:val="20"/>
          <w:szCs w:val="20"/>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plans for, progress of or results from non-clinical studies and clinical trials of our product candidates;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failure of the FDA to approve our product candidates;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announcements of new products, technologies, commercial relationships, acquisitions or other events by us or our competitors;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success or failure of other CNS therapies;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regulatory or legal developments in the United States and other countries;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failure of our product candidates, if approved, to achieve commercial success;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fluctuations in stock market prices and trading volumes of similar companies;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general market conditions and overall fluctuations in U.S. equity markets;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variations in our quarterly operating results;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changes in our financial guidance or securities analysts’ estimates of our financial performance;</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changes in accounting principles;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ability to raise additional capital and the terms on which we can raise it;</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sales of large blocks of our common stock, including sales by our executive officers, directors and significant stockholders;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discussion of us or our stock price by the press and by online investor communities;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other risks and uncertainties described in these risk factors.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sales of our common stock may cause our stock price to decline.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stock market in general, and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5" w:name="page36"/>
    <w:bookmarkEnd w:id="3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limited public market for shares of our common stock on the OTC Markets. Future sales of a substantial number of shares of our common stock in the public market, including shares issued upon the exchange of our Series A Preferred Stock, and Series B 10% Convertable Preferred Stock under this prospectus, and exercise of outstanding options and warrants for common stock, including shares of common stock under this prospectus which are issuable upon exercise of warrants, in the public market, or the perception that these sales might, occur, could significantly reduce the market price for our common stock and impair our ability to raise adequate capital through the sale of equity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Certain of our current institutional stockholders and their respective affiliates own a substantial portion of our outstanding capital stock, including our common stock, Series A Preferred Stock and Series B 10% Convertible Preferred Stock, which preferred stock is convertible into a substantial number of shares of common stock. Accordingly, these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may be additional issuances of shares of preferred stock in the future.</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Our Articles of Incorporation permit us to issue up to 10.0 million shares of preferred stock. Our Board of Directors has authorized the issuance of both 500,000 shares of Series A Preferred, all of which shares are currently issued and outstanding, and 4.0 million shares of Series B 10% Convertible Preferred Stock, of which approximately 3.5 million shares are issued and outstanding as of the date of this prospectus.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6" w:name="page37"/>
    <w:bookmarkEnd w:id="3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72" w:lineRule="exact"/>
        <w:rPr>
          <w:sz w:val="20"/>
          <w:szCs w:val="20"/>
          <w:color w:val="auto"/>
        </w:rPr>
      </w:pPr>
    </w:p>
    <w:p>
      <w:pPr>
        <w:jc w:val="both"/>
        <w:ind w:firstLine="576"/>
        <w:spacing w:after="0" w:line="298" w:lineRule="auto"/>
        <w:rPr>
          <w:sz w:val="20"/>
          <w:szCs w:val="20"/>
          <w:color w:val="auto"/>
        </w:rPr>
      </w:pPr>
      <w:r>
        <w:rPr>
          <w:rFonts w:ascii="Arial" w:cs="Arial" w:eastAsia="Arial" w:hAnsi="Arial"/>
          <w:sz w:val="11"/>
          <w:szCs w:val="11"/>
          <w:color w:val="auto"/>
        </w:rPr>
        <w:t>We will not receive any of the proceeds of the shares of common stock which may be offered and resold by the Selling Stockholders from time-to-time under this prospectus. However, we may receive proceeds upon exercise of Warrants (discussed below). The shares of common stock that may be resold under this prospectus are issuable upon the conversion of certain securities issued by us in the Private Placements, or upon exercise of Warrants. The funds that may be received by us upon exercise of Warrants, estimated to be up to approximately $7.2 million, if all Warrants are exercised, will be used for general working capital purposes.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identify forward-looking statements. Forward-looking statements include, but are not limited to, statements about:</w:t>
      </w:r>
    </w:p>
    <w:p>
      <w:pPr>
        <w:spacing w:after="0" w:line="143" w:lineRule="exact"/>
        <w:rPr>
          <w:sz w:val="20"/>
          <w:szCs w:val="20"/>
          <w:color w:val="auto"/>
        </w:rPr>
      </w:pPr>
    </w:p>
    <w:p>
      <w:pPr>
        <w:ind w:left="960" w:hanging="357"/>
        <w:spacing w:after="0"/>
        <w:tabs>
          <w:tab w:leader="none" w:pos="9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ability to implement our business strategy;</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anticipated trends and challenges in our business and the markets in which we operate;</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expected future financial performance;</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expectations regarding our operating expenses;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ability to anticipate market needs or develop new or enhanced products to meet those needs;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expectations regarding market acceptance of our products;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ability to compete in our industry and innovation by our competitors;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ability to protect our confidential information and intellectual property rights;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ability to obtain additional financing; and</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ability to manage growth.</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All forward-looking statements involve risks, assumptions and uncertainties. The occurrence of the events described, and the achievement of the expected results, depend on many events, some or all of which are not predictable or within our control. Actual results may differ materially from expected results. See the section titled “</w:t>
      </w:r>
      <w:r>
        <w:rPr>
          <w:rFonts w:ascii="Arial" w:cs="Arial" w:eastAsia="Arial" w:hAnsi="Arial"/>
          <w:sz w:val="11"/>
          <w:szCs w:val="11"/>
          <w:i w:val="1"/>
          <w:iCs w:val="1"/>
          <w:color w:val="auto"/>
        </w:rPr>
        <w:t>Risk Factors</w:t>
      </w:r>
      <w:r>
        <w:rPr>
          <w:rFonts w:ascii="Arial" w:cs="Arial" w:eastAsia="Arial" w:hAnsi="Arial"/>
          <w:sz w:val="11"/>
          <w:szCs w:val="11"/>
          <w:color w:val="auto"/>
        </w:rPr>
        <w:t>” and elsewhere in this prospectus for a more complete discussion of these risks, assumptions and uncertainties and for other risks and uncertainties. These risks, assumptions and uncertainties are not necessarily all of the important factors that could cause actual results to differ materially from those expressed in any of our forward-looking statements. Other unknown or unpredictable factors also could harm our results. In light of these risks, uncertainties and assumptions, the forward-looking events discussed in this prospectus might not occur.</w:t>
      </w:r>
    </w:p>
    <w:p>
      <w:pPr>
        <w:spacing w:after="0" w:line="10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Readers are cautioned not to place undue reliance on forward-looking statements, as there can be no assurance that the plans, intentions or expectations upon which they are based will occur. By their nature, forward-looking statements involve numerous assumptions, known and unknown risks and uncertainties, both general and specific, that contribute to the possibility that the predictions, forecasts, projections and other things contemplated by the forward-looking statements will not occur. Forward-looking statements in this prospectus are based on management’s beliefs and opinions at the time the statements are made. The forward-looking statements contained in this prospectus are expressly qualified in their entirety by this cautionary statement. The forward-looking statements included in this prospectus are made as of the date of this prospectus and we undertake no obligation to publicly update or revise any forward-looking statements to reflect new information, future events or otherwise, except as required by applicable securities laws.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7" w:name="page38"/>
    <w:bookmarkEnd w:id="3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Overview</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are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2"/>
          <w:szCs w:val="12"/>
          <w:i w:val="1"/>
          <w:iCs w:val="1"/>
          <w:color w:val="auto"/>
        </w:rPr>
        <w:t>CNS</w:t>
      </w:r>
      <w:r>
        <w:rPr>
          <w:rFonts w:ascii="Arial" w:cs="Arial" w:eastAsia="Arial" w:hAnsi="Arial"/>
          <w:sz w:val="12"/>
          <w:szCs w:val="12"/>
          <w:color w:val="auto"/>
        </w:rPr>
        <w:t>”), as well as cancer.</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More than one billion people worldwide suffer from CNS disorders. Recently, the economic burden of these disorders was estimated at $2.0 trillion in the U.S. and European Union alone, a figure that is expected to triple by 2030. The World Health Organization estimates that 350 million people worldwide are affected by depression. According to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major depression is one of the most common mental disorders in the U.S.. In 2012, the NIH estimated 16 million adults aged 18 or older in the U.S. had at least one major depressive episode. This represented 6.9 percent of all U.S. adults.</w:t>
      </w:r>
    </w:p>
    <w:p>
      <w:pPr>
        <w:spacing w:after="0" w:line="1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lead product candidate, AV-101, is an orally available small molecule prodrug in Phase 2 clinical development for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 AV-101’s mechanism of action (“</w:t>
      </w:r>
      <w:r>
        <w:rPr>
          <w:rFonts w:ascii="Arial" w:cs="Arial" w:eastAsia="Arial" w:hAnsi="Arial"/>
          <w:sz w:val="12"/>
          <w:szCs w:val="12"/>
          <w:i w:val="1"/>
          <w:iCs w:val="1"/>
          <w:color w:val="auto"/>
        </w:rPr>
        <w:t>MOA</w:t>
      </w:r>
      <w:r>
        <w:rPr>
          <w:rFonts w:ascii="Arial" w:cs="Arial" w:eastAsia="Arial" w:hAnsi="Arial"/>
          <w:sz w:val="12"/>
          <w:szCs w:val="12"/>
          <w:color w:val="auto"/>
        </w:rPr>
        <w:t>”), as an N-methyl-D-aspartate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 from all antidepressants currently approved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 In four preclinical studies utilizing well-validated animal models of depression, AV-101 was shown to induce fast-acting, dose-dependent, persistent and statistically significant antidepressant-like responses, following a single treatment, which was equivalent to responses seen with a control single sub-anesthetic dose of ketamine (sometimes used by clinicians off-label to treat suicidal behavior). In the same studies, fluoxetine (Prozac)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U.S.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NIH. Under the CRADA, we will collaborate with the NIMH on the initial Phase 2 clinical study of AV-101 in subjects with treatment-resistant MDD. Pursuant to the CRADA, the study will be conducted at the NIMH and be fully funded by the NIMH. It is contemplated that this clinical study will begin in Fall 2015 under the direction of Dr. Carlos Zarate, Jr., the NIMH’s Chief of Experimental Therapeutics &amp; Pathophysiology Branch and of the Section on Neurobiology and Treatment of Mood and Anxiety Disorders.</w:t>
      </w:r>
    </w:p>
    <w:p>
      <w:pPr>
        <w:spacing w:after="0" w:line="1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addition to developing AV-101 for MDD and other CNS indications, we apply our stem cell technology for drug rescue programs intended to identify and develop proprietary new chemical entities (“</w:t>
      </w:r>
      <w:r>
        <w:rPr>
          <w:rFonts w:ascii="Arial" w:cs="Arial" w:eastAsia="Arial" w:hAnsi="Arial"/>
          <w:sz w:val="12"/>
          <w:szCs w:val="12"/>
          <w:i w:val="1"/>
          <w:iCs w:val="1"/>
          <w:color w:val="auto"/>
        </w:rPr>
        <w:t>NCEs</w:t>
      </w:r>
      <w:r>
        <w:rPr>
          <w:rFonts w:ascii="Arial" w:cs="Arial" w:eastAsia="Arial" w:hAnsi="Arial"/>
          <w:sz w:val="12"/>
          <w:szCs w:val="12"/>
          <w:color w:val="auto"/>
        </w:rPr>
        <w:t xml:space="preserve">”) for our internal drug candidate pipeline. Drug rescue involves (1) using our customized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to predict potential heart and liver toxicity of NCEs, (2) leveraging prior investments by pharmaceutical companies and others related to screening large-scale compound libraries, optimizing and testing for efficacy NCEs that were terminated before FDA approval due to heart or liver toxicity and are now available in the public domain, and (3) applying modern medicinal chemistry to produce safer NCEs for our internal development pipeline.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bioassay system uses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”)-derived cardiomyocytes, or human heart cells.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more comprehensive and clinically predictive than the hERG assay, which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We use our hPSC-derived hepatocytes, or human liver cells, in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bioassay system to predict potential liver toxicity of NCEs, including potential drug metabolism issues and adverse drug-drug interactions.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NCEs we produce.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8" w:name="page39"/>
    <w:bookmarkEnd w:id="3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Strategy</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strategy is to develop, and commercialize innovative small molecule drugs that address unmet medical needs related to CNS disorders and cancer. We have assembled a management team and a team of scientific, clinical, and regulatory advisors, including recognized experts in the fields of depression and other CNS disorders, with significant industry experience to lead the development and commercialization of our product opportunities. Key elements of our strategy are to:</w:t>
      </w:r>
    </w:p>
    <w:p>
      <w:pPr>
        <w:spacing w:after="0" w:line="137" w:lineRule="exact"/>
        <w:rPr>
          <w:sz w:val="20"/>
          <w:szCs w:val="20"/>
          <w:color w:val="auto"/>
        </w:rPr>
      </w:pPr>
    </w:p>
    <w:p>
      <w:pPr>
        <w:jc w:val="both"/>
        <w:ind w:left="900" w:hanging="324"/>
        <w:spacing w:after="0" w:line="258" w:lineRule="auto"/>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b w:val="1"/>
          <w:bCs w:val="1"/>
          <w:color w:val="auto"/>
        </w:rPr>
        <w:t xml:space="preserve">Develop and commercialize our lead product candidate, AV-101, for depression, including MDD. </w:t>
      </w:r>
      <w:r>
        <w:rPr>
          <w:rFonts w:ascii="Arial" w:cs="Arial" w:eastAsia="Arial" w:hAnsi="Arial"/>
          <w:sz w:val="12"/>
          <w:szCs w:val="12"/>
          <w:color w:val="auto"/>
        </w:rPr>
        <w:t>We are pursuing MDD as our lead indication for AV-101. We are preparing to launch our initial MDD Phase 2</w:t>
      </w:r>
      <w:r>
        <w:rPr>
          <w:rFonts w:ascii="Arial" w:cs="Arial" w:eastAsia="Arial" w:hAnsi="Arial"/>
          <w:sz w:val="12"/>
          <w:szCs w:val="12"/>
          <w:b w:val="1"/>
          <w:bCs w:val="1"/>
          <w:color w:val="auto"/>
        </w:rPr>
        <w:t xml:space="preserve"> </w:t>
      </w:r>
      <w:r>
        <w:rPr>
          <w:rFonts w:ascii="Arial" w:cs="Arial" w:eastAsia="Arial" w:hAnsi="Arial"/>
          <w:sz w:val="12"/>
          <w:szCs w:val="12"/>
          <w:color w:val="auto"/>
        </w:rPr>
        <w:t>clinical study in collaboration with the NIH in the second half of 2015. We intend to develop AV-101 internally, through Phase 3 clinical studies and submission of our NDA. If approved by the FDA, we plan to commercialize AV-101 for this indication in the U.S. either by (A) establishing or contracting for a specialty U.S. sales force focused primarily on psychiatrists and long-term care physicians who are high prescribers of currently-approved antidepressants or (B) collaborating with a pharmaceutical company with an extensive presence in U.S. CNS markets. Outside the U.S., we may choose to commercialize AV-101 in selected markets by establishing one or more strategic alliances.</w:t>
      </w:r>
    </w:p>
    <w:p>
      <w:pPr>
        <w:spacing w:after="0" w:line="122" w:lineRule="exact"/>
        <w:rPr>
          <w:rFonts w:ascii="Arial" w:cs="Arial" w:eastAsia="Arial" w:hAnsi="Arial"/>
          <w:sz w:val="12"/>
          <w:szCs w:val="12"/>
          <w:color w:val="auto"/>
        </w:rPr>
      </w:pPr>
    </w:p>
    <w:p>
      <w:pPr>
        <w:jc w:val="both"/>
        <w:ind w:left="900" w:hanging="324"/>
        <w:spacing w:after="0" w:line="261" w:lineRule="auto"/>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b w:val="1"/>
          <w:bCs w:val="1"/>
          <w:color w:val="auto"/>
        </w:rPr>
        <w:t xml:space="preserve">Leverage the commercial potential AV-101 by expanding to additional CNS-related disorders. </w:t>
      </w:r>
      <w:r>
        <w:rPr>
          <w:rFonts w:ascii="Arial" w:cs="Arial" w:eastAsia="Arial" w:hAnsi="Arial"/>
          <w:sz w:val="12"/>
          <w:szCs w:val="12"/>
          <w:color w:val="auto"/>
        </w:rPr>
        <w:t>We intend to pursue the development and commercialization of AV-101 in MDD and additional CNS-related</w:t>
      </w:r>
      <w:r>
        <w:rPr>
          <w:rFonts w:ascii="Arial" w:cs="Arial" w:eastAsia="Arial" w:hAnsi="Arial"/>
          <w:sz w:val="12"/>
          <w:szCs w:val="12"/>
          <w:b w:val="1"/>
          <w:bCs w:val="1"/>
          <w:color w:val="auto"/>
        </w:rPr>
        <w:t xml:space="preserve"> </w:t>
      </w:r>
      <w:r>
        <w:rPr>
          <w:rFonts w:ascii="Arial" w:cs="Arial" w:eastAsia="Arial" w:hAnsi="Arial"/>
          <w:sz w:val="12"/>
          <w:szCs w:val="12"/>
          <w:color w:val="auto"/>
        </w:rPr>
        <w:t>indications that are underserved by currently available medicines and represent large unmet medical needs. Based on AV-101 preclinical studies, and by leveraging our AV-101 IND and successful Phase 1 clinical studies, we now have the opportunity to explore Phase 2 development of AV-101 as a potential treatment for chronic neuropathic pain, epilepsy and neurodegenerative diseases such as Parkinson’s disease and Huntington’s disease.</w:t>
      </w:r>
    </w:p>
    <w:p>
      <w:pPr>
        <w:spacing w:after="0" w:line="120" w:lineRule="exact"/>
        <w:rPr>
          <w:rFonts w:ascii="Arial" w:cs="Arial" w:eastAsia="Arial" w:hAnsi="Arial"/>
          <w:sz w:val="12"/>
          <w:szCs w:val="12"/>
          <w:color w:val="auto"/>
        </w:rPr>
      </w:pPr>
    </w:p>
    <w:p>
      <w:pPr>
        <w:jc w:val="both"/>
        <w:ind w:left="900" w:right="20" w:hanging="324"/>
        <w:spacing w:after="0" w:line="292" w:lineRule="auto"/>
        <w:tabs>
          <w:tab w:leader="none" w:pos="900" w:val="left"/>
        </w:tabs>
        <w:numPr>
          <w:ilvl w:val="0"/>
          <w:numId w:val="24"/>
        </w:numPr>
        <w:rPr>
          <w:rFonts w:ascii="Arial" w:cs="Arial" w:eastAsia="Arial" w:hAnsi="Arial"/>
          <w:sz w:val="11"/>
          <w:szCs w:val="11"/>
          <w:color w:val="auto"/>
        </w:rPr>
      </w:pPr>
      <w:r>
        <w:rPr>
          <w:rFonts w:ascii="Arial" w:cs="Arial" w:eastAsia="Arial" w:hAnsi="Arial"/>
          <w:sz w:val="11"/>
          <w:szCs w:val="11"/>
          <w:b w:val="1"/>
          <w:bCs w:val="1"/>
          <w:color w:val="auto"/>
        </w:rPr>
        <w:t xml:space="preserve">Grow our internal development pipeline by pursuing drug rescue opportunities using our stem cell technology. </w:t>
      </w:r>
      <w:r>
        <w:rPr>
          <w:rFonts w:ascii="Arial" w:cs="Arial" w:eastAsia="Arial" w:hAnsi="Arial"/>
          <w:sz w:val="11"/>
          <w:szCs w:val="11"/>
          <w:color w:val="auto"/>
        </w:rPr>
        <w:t>We are using our stem cell technology to screen and develop proprietary new chemical entities</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NCEs</w:t>
      </w:r>
      <w:r>
        <w:rPr>
          <w:rFonts w:ascii="Arial" w:cs="Arial" w:eastAsia="Arial" w:hAnsi="Arial"/>
          <w:sz w:val="11"/>
          <w:szCs w:val="11"/>
          <w:color w:val="auto"/>
        </w:rPr>
        <w:t xml:space="preserve">”) through drug rescue programs intended to produce proprietary NCEs for our internal drug development pipeline. We will focus on NCEs with established therapeutic and commercial potential. Our ability to build on that valuable head start with our biological and electrophysiological insights regarding cardiac and liver safety effects of NCEs obtained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eventually,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we believe will help us produce and then optimize patentable drug rescue NCEs for our internal pipeline without incurring many of the substantial costs and risks typically inherent in new drug discovery and nonclinical drug development.</w:t>
      </w:r>
    </w:p>
    <w:p>
      <w:pPr>
        <w:spacing w:after="0" w:line="105" w:lineRule="exact"/>
        <w:rPr>
          <w:rFonts w:ascii="Arial" w:cs="Arial" w:eastAsia="Arial" w:hAnsi="Arial"/>
          <w:sz w:val="11"/>
          <w:szCs w:val="11"/>
          <w:color w:val="auto"/>
        </w:rPr>
      </w:pPr>
    </w:p>
    <w:p>
      <w:pPr>
        <w:jc w:val="both"/>
        <w:ind w:left="900" w:hanging="324"/>
        <w:spacing w:after="0" w:line="267" w:lineRule="auto"/>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b w:val="1"/>
          <w:bCs w:val="1"/>
          <w:color w:val="auto"/>
        </w:rPr>
        <w:t xml:space="preserve">Pursue other product candidates, including product candidates for treatment of CNS-related disorders. </w:t>
      </w:r>
      <w:r>
        <w:rPr>
          <w:rFonts w:ascii="Arial" w:cs="Arial" w:eastAsia="Arial" w:hAnsi="Arial"/>
          <w:sz w:val="12"/>
          <w:szCs w:val="12"/>
          <w:color w:val="auto"/>
        </w:rPr>
        <w:t>While our resources are currently focused on developing AV-101 and producing drug rescue NCEs, we may</w:t>
      </w:r>
      <w:r>
        <w:rPr>
          <w:rFonts w:ascii="Arial" w:cs="Arial" w:eastAsia="Arial" w:hAnsi="Arial"/>
          <w:sz w:val="12"/>
          <w:szCs w:val="12"/>
          <w:b w:val="1"/>
          <w:bCs w:val="1"/>
          <w:color w:val="auto"/>
        </w:rPr>
        <w:t xml:space="preserve"> </w:t>
      </w:r>
      <w:r>
        <w:rPr>
          <w:rFonts w:ascii="Arial" w:cs="Arial" w:eastAsia="Arial" w:hAnsi="Arial"/>
          <w:sz w:val="12"/>
          <w:szCs w:val="12"/>
          <w:color w:val="auto"/>
        </w:rPr>
        <w:t>pursue additional product candidates in the future. These may be directed at CNS-related disorders and may be developed independently or in partnerships. We believe that a diversified portfolio will mitigate risks inherent in drug development and increase the likelihood of our success.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Product Opportunities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 (L-4-cholorkyurenine or 4-Cl-KYN)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 and Mechanism of Action</w:t>
      </w:r>
    </w:p>
    <w:p>
      <w:pPr>
        <w:spacing w:after="0" w:line="154"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AV-101 is an orally available, clinical-stage prodrug candidate that readily gains access to the CNS after systemic administration and is rapidly converted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to its active metabolite 7-chlorokynurenic acid (“</w:t>
      </w:r>
      <w:r>
        <w:rPr>
          <w:rFonts w:ascii="Arial" w:cs="Arial" w:eastAsia="Arial" w:hAnsi="Arial"/>
          <w:sz w:val="12"/>
          <w:szCs w:val="12"/>
          <w:i w:val="1"/>
          <w:iCs w:val="1"/>
          <w:color w:val="auto"/>
        </w:rPr>
        <w:t>7-Cl-KYNA</w:t>
      </w:r>
      <w:r>
        <w:rPr>
          <w:rFonts w:ascii="Arial" w:cs="Arial" w:eastAsia="Arial" w:hAnsi="Arial"/>
          <w:sz w:val="12"/>
          <w:szCs w:val="12"/>
          <w:color w:val="auto"/>
        </w:rPr>
        <w:t>”), a well-characterized, potent and highly selective antagonist of then N-methyl-D-aspartate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at the glycine-binding co-agonist (“</w:t>
      </w:r>
      <w:r>
        <w:rPr>
          <w:rFonts w:ascii="Arial" w:cs="Arial" w:eastAsia="Arial" w:hAnsi="Arial"/>
          <w:sz w:val="12"/>
          <w:szCs w:val="12"/>
          <w:i w:val="1"/>
          <w:iCs w:val="1"/>
          <w:color w:val="auto"/>
        </w:rPr>
        <w:t>GlyB</w:t>
      </w:r>
      <w:r>
        <w:rPr>
          <w:rFonts w:ascii="Arial" w:cs="Arial" w:eastAsia="Arial" w:hAnsi="Arial"/>
          <w:sz w:val="12"/>
          <w:szCs w:val="12"/>
          <w:color w:val="auto"/>
        </w:rPr>
        <w:t>”) site.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9" w:name="page40"/>
    <w:bookmarkEnd w:id="3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2585085" cy="14871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85085"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Current evidence suggests that AV-101’s antagonism of NMDAR signaling may provide fast-acting antidepressant effects in the treatment of Major Depressive Disorder (“</w:t>
      </w:r>
      <w:r>
        <w:rPr>
          <w:rFonts w:ascii="Arial" w:cs="Arial" w:eastAsia="Arial" w:hAnsi="Arial"/>
          <w:sz w:val="11"/>
          <w:szCs w:val="11"/>
          <w:i w:val="1"/>
          <w:iCs w:val="1"/>
          <w:color w:val="auto"/>
        </w:rPr>
        <w:t>MDD</w:t>
      </w:r>
      <w:r>
        <w:rPr>
          <w:rFonts w:ascii="Arial" w:cs="Arial" w:eastAsia="Arial" w:hAnsi="Arial"/>
          <w:sz w:val="11"/>
          <w:szCs w:val="11"/>
          <w:color w:val="auto"/>
        </w:rPr>
        <w:t>”). In addition, as confirmed in our AV-101 Phase 1 clinical studies, targeting the GlyB site of the NMDAR does not have the adverse effects typically associated with classic NMDAR antagonists, such as ketamine, and other NMDA channel blockers.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believe Phase 2 clinical development of AV-101 for MDD and multiple CNS-related indications is supported by strong scientific rationale, significant IND-enabling nonclinical data, and two successful Phase 1 clinical safety studies. To date,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has awarded us $8.8 million of grant funding for our pre-Phase 2 development of AV-101. We are currently preparing to launch our initial Phase 2 clinical trial of AV-101 in MDD. This Phase 2 study will be fully funded by the NIH.</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Major Depressive Disorder</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Depression is a serious medical illness and a global public health concern. The World Health Organization estimates that depression is the leading cause of disability worldwide, and is a major contributor to the global burden of disease, affecting 350 million people globally. According to the U.S. Centers for Disease Control and Prevention, approximately one in every 10 Americans aged 12 and over takes antidepressant medication.</w:t>
      </w:r>
    </w:p>
    <w:p>
      <w:pPr>
        <w:spacing w:after="0" w:line="9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of individuals with MDD.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Current Antidepressants</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For many people, depression cannot be controlled for any length of time without treatment. Current medications available in the multi-billion dollar global antidepressant market, including commonly-prescribed selective serotonin reuptake inhibitors (“</w:t>
      </w:r>
      <w:r>
        <w:rPr>
          <w:rFonts w:ascii="Arial" w:cs="Arial" w:eastAsia="Arial" w:hAnsi="Arial"/>
          <w:sz w:val="11"/>
          <w:szCs w:val="11"/>
          <w:i w:val="1"/>
          <w:iCs w:val="1"/>
          <w:color w:val="auto"/>
        </w:rPr>
        <w:t>SSRIs</w:t>
      </w:r>
      <w:r>
        <w:rPr>
          <w:rFonts w:ascii="Arial" w:cs="Arial" w:eastAsia="Arial" w:hAnsi="Arial"/>
          <w:sz w:val="11"/>
          <w:szCs w:val="11"/>
          <w:color w:val="auto"/>
        </w:rPr>
        <w:t>”) and serotonin-norepinephrine reuptake inhibitors (“</w:t>
      </w:r>
      <w:r>
        <w:rPr>
          <w:rFonts w:ascii="Arial" w:cs="Arial" w:eastAsia="Arial" w:hAnsi="Arial"/>
          <w:sz w:val="11"/>
          <w:szCs w:val="11"/>
          <w:i w:val="1"/>
          <w:iCs w:val="1"/>
          <w:color w:val="auto"/>
        </w:rPr>
        <w:t>SNRIs</w:t>
      </w:r>
      <w:r>
        <w:rPr>
          <w:rFonts w:ascii="Arial" w:cs="Arial" w:eastAsia="Arial" w:hAnsi="Arial"/>
          <w:sz w:val="11"/>
          <w:szCs w:val="11"/>
          <w:color w:val="auto"/>
        </w:rPr>
        <w:t>”), have limited effectiveness, and, because of their mechanism of action, must be taken for several weeks or months before patients experience any significant benefit. In addition, most current antidepressant medications have an FDA-required “Black Box” safety warning due to a risk of worsening depression and an increased risk of suicidal thoughts and behaviors during treatment, a property not expected to occur with AV-101. Only about 33% of depression sufferers benefit from their initial treatment with current antidepressants, and the likelihood of achieving remission of depressive symptoms declines with each successive treatment attempt. Even after multiple treatment attempts, about 33% of depression sufferers still fail to find an effective therapy. In addition, this trial and error process and the systemic effects of the various antidepressant medications involved, increases the risks of patient tolerability issues and serious side effects, including suicidal thoughts and behaviors.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Ketamine and NIH Clinical Studies in Major Depressive Disorder</w:t>
      </w:r>
    </w:p>
    <w:p>
      <w:pPr>
        <w:spacing w:after="0" w:line="15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Ketamine hydrochloride (“</w:t>
      </w:r>
      <w:r>
        <w:rPr>
          <w:rFonts w:ascii="Arial" w:cs="Arial" w:eastAsia="Arial" w:hAnsi="Arial"/>
          <w:sz w:val="11"/>
          <w:szCs w:val="11"/>
          <w:i w:val="1"/>
          <w:iCs w:val="1"/>
          <w:color w:val="auto"/>
        </w:rPr>
        <w:t>ketamine”</w:t>
      </w:r>
      <w:r>
        <w:rPr>
          <w:rFonts w:ascii="Arial" w:cs="Arial" w:eastAsia="Arial" w:hAnsi="Arial"/>
          <w:sz w:val="11"/>
          <w:szCs w:val="11"/>
          <w:color w:val="auto"/>
        </w:rPr>
        <w:t>) is an FDA-approved, rapid-acting general anesthetic. The use of ketamine (an NMDA receptor antagonist which acts as an NMDA channel blocker) to treat MDD has been studied in several clinical trials conducted by depression experts at the U.S. National Institute of Mental Health (“</w:t>
      </w:r>
      <w:r>
        <w:rPr>
          <w:rFonts w:ascii="Arial" w:cs="Arial" w:eastAsia="Arial" w:hAnsi="Arial"/>
          <w:sz w:val="11"/>
          <w:szCs w:val="11"/>
          <w:i w:val="1"/>
          <w:iCs w:val="1"/>
          <w:color w:val="auto"/>
        </w:rPr>
        <w:t>NIMH</w:t>
      </w:r>
      <w:r>
        <w:rPr>
          <w:rFonts w:ascii="Arial" w:cs="Arial" w:eastAsia="Arial" w:hAnsi="Arial"/>
          <w:sz w:val="11"/>
          <w:szCs w:val="11"/>
          <w:color w:val="auto"/>
        </w:rPr>
        <w:t>”), part of the NIH, including Dr. Carlos Zarate, Jr., the NIMH’s Chief of Experimental Therapeutics &amp; Pathophysiology Branch and of the Section on Neurobiology and Treatment of Mood and Anxiety Disorders. In randomized, placebo-controlled, double-blind clinical trials reported by Dr. Zarate and others at the NIMH, a single intravenous dose of ketamine (0.5 mg/kg over 40 minutes) produced robust and rapid antidepressant effects in MDD patients who had not responded to currently-approved medications. These results were in contrast to the slow onset of currently FDA-approved antidepressant medications, which usually require many weeks or months of chronic usage to achieve similar antidepressant effects. The potential for widespread therapeutic use of ketamine, and FDA Schedule III drug, is limited by its potential for abuse, dissociative and psychosis-like side effects, and by practical challenges associated with its intravenous administration in a medical center. Notwithstanding these limitations, the discovery of ketamine’s fast-acting antidepressant effects revolutionized thinking about the MDD treatment paradigm. The discovery also increased interest in the development of a new generation of antidepressants with a fast-acting mechanism of action similar to ketamine’s. Our orally available AV-101 is among the new generation of antidepressants with potential to deliver ketamine-like antidepressant effects, without ketamine’s side effects or required intravenous administration.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0" w:name="page41"/>
    <w:bookmarkEnd w:id="4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AV-101 and Major Depressive Disorder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AV-101 is an orally available prodrug candidate that produces, in the brain, 7 Cl KYNA, one of the most potent and selective antagonists of the GlyB site of the NMDAR, resulting in the down-regulation of NMDAR signaling.</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Growing evidence suggests that the glutamatergic system is central to the neurobiology and treatment of MDD and other mood disorders.</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AV-101’s mechanism of action is fundamentally different from currently available antidepressants, placing it among a new generation of glutamatergic antidepressants with potential to treat millions of MDD sufferers worldwide who are poorly served by SSRIs, SNRIs and other current depression therapies. AV-101 is functionally similar to ketamine in that both are NMDAR antagonists. However, AV-101 modulates (down-regulated) NMDAR channel activity and ketamine blocks it. AV-101 accomplishes this NMDAR modulation by selectively binding to the functionally required GlyB site of the NMDAR, thus down-regulating the NMDAR in a dose-dependent manner. We believe targeting the GlyB site of the NMDAR and modulating NMDAR activity rather than blocking it can bypass adverse effects that result when ketamine blocks the NMDA ion channel, without affecting the robust efficacy observed in previous clinical studies conducted by the NIH and others using ketamine to treat MDD. This NMDAR modulation by AV-101 may then result in the “glutamate surge,” and the increase in neuronal connections, that has been associated with the fast-acting antidepressant effects of ketamine.</w:t>
      </w:r>
    </w:p>
    <w:p>
      <w:pPr>
        <w:spacing w:after="0" w:line="1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preclinical studies, AV-101 has demonstrated the antidepressant-like activity of ketamine, including rapid onset and long duration of effect, without ketamine’s serious side effects. In two NIH-funded randomized, double-blind, placebo-controlled Phase 1 safety studies, AV-101 was safe, well-tolerated and not associated with any severe adverse events. There were no signs of sedation, hallucinations or schizophrenia-like side effects often associated with ketamine and traditional NMDAR channel blockers.</w:t>
      </w:r>
    </w:p>
    <w:p>
      <w:pPr>
        <w:spacing w:after="0" w:line="12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Building on over $8.8 million of prior non-dilutive funding from the NIH for preclinical and Phase 1 clinical development of AV-101, in February 2015, we entered a Cooperative Research and Development Agreement (“</w:t>
      </w:r>
      <w:r>
        <w:rPr>
          <w:rFonts w:ascii="Arial" w:cs="Arial" w:eastAsia="Arial" w:hAnsi="Arial"/>
          <w:sz w:val="11"/>
          <w:szCs w:val="11"/>
          <w:i w:val="1"/>
          <w:iCs w:val="1"/>
          <w:color w:val="auto"/>
        </w:rPr>
        <w:t>CRADA</w:t>
      </w:r>
      <w:r>
        <w:rPr>
          <w:rFonts w:ascii="Arial" w:cs="Arial" w:eastAsia="Arial" w:hAnsi="Arial"/>
          <w:sz w:val="11"/>
          <w:szCs w:val="11"/>
          <w:color w:val="auto"/>
        </w:rPr>
        <w:t>”) with the NIMH. Under the CRADA, we will collaborate with Dr. Carlos Zarate and the NIMH on a Phase 2 clinical study of AV-101 in subjects with treatment-resistant MDD. Pursuant to the CRADA, this study will be conducted at the NIMH by Dr. Zarate and fully-funded by the NIH. The primary objective of the NIH-sponsored Phase 2 study will be to evaluate the ability of AV-101 to improve overall depressive symptomatology in subjects with MDD, specifically whether subjects with MDD have a greater and more rapid decrease in depressive symptoms when treated with AV-101 than with placebo. We currently anticipate commencement of the study in the second half of 2015.</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AV-101 Nonclinical Studies in Chronic Neuropathic Pain, Epilepsy, and Parkinson’s and Huntington’s diseases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to well-established nonclinical models of depression, AV-101 nonclinical data in other CNS-related disorders support our hypothesis that it may have therapeutic and commercial potential beyond treatment of depression.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Chronic Neuropathic Pain and Acute Tissue Injury Hyperalgesia</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effect of AV-101 on chronic neuropathic pain due to inflammation and nerve damage was assessed in rats by using the Chung nerve ligation model. AV-101 effects were compared to either saline, MK-801 or gabapentin controls. Similarly to what was observed in the formalin and thermal hyperalgesia test systems, AV-101 had a positive effect on chronic neuropathic pain in the Chung model, with no observed adverse behavioral effects. The efficacy observed for AV-101 in both the acute and chronic neuropathic pain model systems was dose dependent, and the drug response was not associated with any side effects within the range of doses administered.</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antihyperalgesic effect of AV-101 has been evaluated in two standard tissue injury model systems: inflammatory thermal hyperalgesia and the formalin paw test. AV-101 was compared to two positive controls, the classic NMDAR antagonist MK-801 (discontinued in preclinical development by Merck due to neurotoxicity) and the anticonvulsant gabapentin. A significant drug response was defined as a response that was greater than or equal to 2 standard deviations (“</w:t>
      </w:r>
      <w:r>
        <w:rPr>
          <w:rFonts w:ascii="Arial" w:cs="Arial" w:eastAsia="Arial" w:hAnsi="Arial"/>
          <w:sz w:val="12"/>
          <w:szCs w:val="12"/>
          <w:i w:val="1"/>
          <w:iCs w:val="1"/>
          <w:color w:val="auto"/>
        </w:rPr>
        <w:t>SD</w:t>
      </w:r>
      <w:r>
        <w:rPr>
          <w:rFonts w:ascii="Arial" w:cs="Arial" w:eastAsia="Arial" w:hAnsi="Arial"/>
          <w:sz w:val="12"/>
          <w:szCs w:val="12"/>
          <w:color w:val="auto"/>
        </w:rPr>
        <w:t>”) from the response produced by vehicle. Animal behavior and motor function were observed and evaluated throughout the study.</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the formalin hyperalgesia model, MK-801 caused significant spontaneous locomotor activity that prevented assessment of its analgesic activity. However, AV-101 displayed dose-dependent antihyperpathic effects in the absence of behavioral deficits for both Phase 1 (acute nociceptive pain) and Phase 2 (chronic and neuropathic pain) of hyperalgesia. In contrast, gabapentin did not have a significant anti-hyperalgesia response at any dose during Phase 1, but showed a significant positive response during Phase 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1" w:name="page42"/>
    <w:bookmarkEnd w:id="4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the carrageenan inflammatory thermal hyperalgesia model, neither MK-801, gabapentin, nor AV-101 had an effect on acute thermal nociception, but produced a dose dependent block of the carrageenan-induced hyperalgesia that were greater than 2 SD of the vehicle: There were no behavioral changes observed at any AV-101 dose, but signs of behavioral and motor dysfunction were observed for gabapentin and MK-801 treated animals. The profile of analgesic activity observed for AV-101 in the formalin and inflammatory thermal hyperalgesia model systems supports the conclusion that AV-101 demonstrates anti-hyperalgesia activity in validated models of facilitated pain processing produced by peripheral tissue inflammation.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Epilepsy</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AV-101 has been shown to protect against seizures and neuronal damage in animal models of epilepsy, providing preclinical support for its potential as a novel treatment of epilepsy. Epilepsy is one of the most prevalent neurological disorders, affecting almost 1% of the worldwide population. Approximately 2.5 million Americans have epilepsy. Nearly half of the people suffering from epilepsy are not effectively treated with currently available medications. In addition, the anticonvulsants used today can cause significant side effects, which frequently interfere with compliance.</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classic NMDAR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NMDAR function and are therefore anticonvulsant and neuroprotective. Importantly, GlyB site antagonists have fewer and less severe side effects than classic NMDAR antagonists and other antiepileptic agents, making them a safer potential alternative to, and one expected to be associated with greater patient compliance than, available anticonvulsant medications.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AV-101 has two additional therapeutically important properties as a drug candidate for treatment of epilepsy:</w:t>
      </w:r>
    </w:p>
    <w:p>
      <w:pPr>
        <w:spacing w:after="0" w:line="168" w:lineRule="exact"/>
        <w:rPr>
          <w:sz w:val="20"/>
          <w:szCs w:val="20"/>
          <w:color w:val="auto"/>
        </w:rPr>
      </w:pPr>
    </w:p>
    <w:p>
      <w:pPr>
        <w:jc w:val="both"/>
        <w:ind w:left="900" w:hanging="178"/>
        <w:spacing w:after="0" w:line="263" w:lineRule="auto"/>
        <w:tabs>
          <w:tab w:leader="none" w:pos="9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40" w:lineRule="exact"/>
        <w:rPr>
          <w:rFonts w:ascii="Arial" w:cs="Arial" w:eastAsia="Arial" w:hAnsi="Arial"/>
          <w:sz w:val="12"/>
          <w:szCs w:val="12"/>
          <w:color w:val="auto"/>
        </w:rPr>
      </w:pPr>
    </w:p>
    <w:p>
      <w:pPr>
        <w:ind w:left="900" w:hanging="178"/>
        <w:spacing w:after="0"/>
        <w:tabs>
          <w:tab w:leader="none" w:pos="9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An active metabolite of AV-101, 4-Cl-3-hydroxyanthranilic acid, inhibits the synthesis of quinolinic acid, an endogenous NMDAR agonist that causes convulsions and excitotoxic neuronal damage.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Parkinson’s Disease</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AV-101 has been shown to activate ventral tegmental area (“</w:t>
      </w:r>
      <w:r>
        <w:rPr>
          <w:rFonts w:ascii="Arial" w:cs="Arial" w:eastAsia="Arial" w:hAnsi="Arial"/>
          <w:sz w:val="12"/>
          <w:szCs w:val="12"/>
          <w:i w:val="1"/>
          <w:iCs w:val="1"/>
          <w:color w:val="auto"/>
        </w:rPr>
        <w:t>VTA</w:t>
      </w:r>
      <w:r>
        <w:rPr>
          <w:rFonts w:ascii="Arial" w:cs="Arial" w:eastAsia="Arial" w:hAnsi="Arial"/>
          <w:sz w:val="12"/>
          <w:szCs w:val="12"/>
          <w:color w:val="auto"/>
        </w:rPr>
        <w:t>”) dopaminergic (“</w:t>
      </w:r>
      <w:r>
        <w:rPr>
          <w:rFonts w:ascii="Arial" w:cs="Arial" w:eastAsia="Arial" w:hAnsi="Arial"/>
          <w:sz w:val="12"/>
          <w:szCs w:val="12"/>
          <w:i w:val="1"/>
          <w:iCs w:val="1"/>
          <w:color w:val="auto"/>
        </w:rPr>
        <w:t>DA</w:t>
      </w:r>
      <w:r>
        <w:rPr>
          <w:rFonts w:ascii="Arial" w:cs="Arial" w:eastAsia="Arial" w:hAnsi="Arial"/>
          <w:sz w:val="12"/>
          <w:szCs w:val="12"/>
          <w:color w:val="auto"/>
        </w:rPr>
        <w:t>”) neurons. Kynurenic acid (“</w:t>
      </w:r>
      <w:r>
        <w:rPr>
          <w:rFonts w:ascii="Arial" w:cs="Arial" w:eastAsia="Arial" w:hAnsi="Arial"/>
          <w:sz w:val="12"/>
          <w:szCs w:val="12"/>
          <w:i w:val="1"/>
          <w:iCs w:val="1"/>
          <w:color w:val="auto"/>
        </w:rPr>
        <w:t>KYNA</w:t>
      </w:r>
      <w:r>
        <w:rPr>
          <w:rFonts w:ascii="Arial" w:cs="Arial" w:eastAsia="Arial" w:hAnsi="Arial"/>
          <w:sz w:val="12"/>
          <w:szCs w:val="12"/>
          <w:color w:val="auto"/>
        </w:rPr>
        <w:t>”) is an endogenous NMDA receptor antagonist, as well as a blocker of the 7-nicotinic acid receptor. Mounting evidence suggests that this compound participates in the pathophysiology of schizophrenia. Preclinical studies have shown that elevated levels of endogenous KYNA are associated with increased firing of midbrain DA neurons. AV-101 is converted to the selective NMDAR GlyB antagonist 7-Cl-KYNA, which is 20 times more potent and selective than KYNA in binding the GlyB site. Utilizing extra cellular single unit cell recording techniques, we have shown that AV-101, which is converted to the selective NMDAR GlyB antagonist 7-Cl-KYNA, significantly increases the firing rate and percent burst firing activity of VTA DA neurons. These results have potential therapeutic implications for Parkinson’s disease.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2" w:name="page43"/>
    <w:bookmarkEnd w:id="4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Huntington’s Disease</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Working together with metabotropic glutamate receptors, the NMDAR ensures the establishment of long-term potentiation (“</w:t>
      </w:r>
      <w:r>
        <w:rPr>
          <w:rFonts w:ascii="Arial" w:cs="Arial" w:eastAsia="Arial" w:hAnsi="Arial"/>
          <w:sz w:val="12"/>
          <w:szCs w:val="12"/>
          <w:i w:val="1"/>
          <w:iCs w:val="1"/>
          <w:color w:val="auto"/>
        </w:rPr>
        <w:t>LTP</w:t>
      </w:r>
      <w:r>
        <w:rPr>
          <w:rFonts w:ascii="Arial" w:cs="Arial" w:eastAsia="Arial" w:hAnsi="Arial"/>
          <w:sz w:val="12"/>
          <w:szCs w:val="12"/>
          <w:color w:val="auto"/>
        </w:rPr>
        <w:t>”), a process believed to be responsible for the acquisition of information. These functions are mediated by calcium entry through the NMDAR-associated channel, which in turn influences a wide variety of cellular components, like cytoskeletal proteins or second- messenger synthases. However, over activation at the NMDAR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Huntington’s disease (“</w:t>
      </w:r>
      <w:r>
        <w:rPr>
          <w:rFonts w:ascii="Arial" w:cs="Arial" w:eastAsia="Arial" w:hAnsi="Arial"/>
          <w:sz w:val="12"/>
          <w:szCs w:val="12"/>
          <w:i w:val="1"/>
          <w:iCs w:val="1"/>
          <w:color w:val="auto"/>
        </w:rPr>
        <w:t>HD</w:t>
      </w:r>
      <w:r>
        <w:rPr>
          <w:rFonts w:ascii="Arial" w:cs="Arial" w:eastAsia="Arial" w:hAnsi="Arial"/>
          <w:sz w:val="12"/>
          <w:szCs w:val="12"/>
          <w:color w:val="auto"/>
        </w:rPr>
        <w:t>”), a chronic neurodegenerative disorder,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14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The tissue levels of two neurotoxic metabolites of the kynurenine pathway of tryptophan degradation, quinolinic acid (“</w:t>
      </w:r>
      <w:r>
        <w:rPr>
          <w:rFonts w:ascii="Arial" w:cs="Arial" w:eastAsia="Arial" w:hAnsi="Arial"/>
          <w:sz w:val="12"/>
          <w:szCs w:val="12"/>
          <w:i w:val="1"/>
          <w:iCs w:val="1"/>
          <w:color w:val="auto"/>
        </w:rPr>
        <w:t>QUIN</w:t>
      </w:r>
      <w:r>
        <w:rPr>
          <w:rFonts w:ascii="Arial" w:cs="Arial" w:eastAsia="Arial" w:hAnsi="Arial"/>
          <w:sz w:val="12"/>
          <w:szCs w:val="12"/>
          <w:color w:val="auto"/>
        </w:rPr>
        <w:t>”) and 3-hydroxykynurenine (“</w:t>
      </w:r>
      <w:r>
        <w:rPr>
          <w:rFonts w:ascii="Arial" w:cs="Arial" w:eastAsia="Arial" w:hAnsi="Arial"/>
          <w:sz w:val="12"/>
          <w:szCs w:val="12"/>
          <w:i w:val="1"/>
          <w:iCs w:val="1"/>
          <w:color w:val="auto"/>
        </w:rPr>
        <w:t>3-HK”</w:t>
      </w:r>
      <w:r>
        <w:rPr>
          <w:rFonts w:ascii="Arial" w:cs="Arial" w:eastAsia="Arial" w:hAnsi="Arial"/>
          <w:sz w:val="12"/>
          <w:szCs w:val="12"/>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OUIN and to potentially produce significant local concentrations of 7-Cl-KYNA on chronic administration, presents an exciting opportunity for Phase 2 clinical investigation of AV-101 as a potential chronic treatment of HD.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Additional AV-101 Nonclinical Information</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 comprehensive nonclinical pharmacology, pharmacokinetic (“</w:t>
      </w:r>
      <w:r>
        <w:rPr>
          <w:rFonts w:ascii="Arial" w:cs="Arial" w:eastAsia="Arial" w:hAnsi="Arial"/>
          <w:sz w:val="11"/>
          <w:szCs w:val="11"/>
          <w:i w:val="1"/>
          <w:iCs w:val="1"/>
          <w:color w:val="auto"/>
        </w:rPr>
        <w:t>PK</w:t>
      </w:r>
      <w:r>
        <w:rPr>
          <w:rFonts w:ascii="Arial" w:cs="Arial" w:eastAsia="Arial" w:hAnsi="Arial"/>
          <w:sz w:val="11"/>
          <w:szCs w:val="11"/>
          <w:color w:val="auto"/>
        </w:rPr>
        <w:t>”)/toxicokinetic (“</w:t>
      </w:r>
      <w:r>
        <w:rPr>
          <w:rFonts w:ascii="Arial" w:cs="Arial" w:eastAsia="Arial" w:hAnsi="Arial"/>
          <w:sz w:val="11"/>
          <w:szCs w:val="11"/>
          <w:i w:val="1"/>
          <w:iCs w:val="1"/>
          <w:color w:val="auto"/>
        </w:rPr>
        <w:t>TK</w:t>
      </w:r>
      <w:r>
        <w:rPr>
          <w:rFonts w:ascii="Arial" w:cs="Arial" w:eastAsia="Arial" w:hAnsi="Arial"/>
          <w:sz w:val="11"/>
          <w:szCs w:val="11"/>
          <w:color w:val="auto"/>
        </w:rPr>
        <w:t xml:space="preserve">”), and toxicology program has been conducted to support the clinical use of AV-101 in multiple CNS-related indications. The primary pharmacological activity of AV-101 has been investigated in a series of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and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studies. Pharmacology (absorption, distribution, metabolism, and excretion), PK/TK, and toxicology studies have been conducted with AV-101 in rats, dogs, and monkeys. The excellent safety profile of AV-101 was confirmed by pilot tolerability, single-dose range-finding, and repeated-dose toxicology studies in rats, dogs and monkeys. The genotoxic potential of AV-101 and its active metabolite, 7-Cl-KYNA, was assessed in multiple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genotoxicity studies (bacterial mutation, chromosomal aberration, mouse lymphoma TK+/-, and micronucleus tests).</w:t>
      </w:r>
    </w:p>
    <w:p>
      <w:pPr>
        <w:spacing w:after="0" w:line="10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behavioral effects of AV-101 assessed in a Good Laboratory Practice (“</w:t>
      </w:r>
      <w:r>
        <w:rPr>
          <w:rFonts w:ascii="Arial" w:cs="Arial" w:eastAsia="Arial" w:hAnsi="Arial"/>
          <w:sz w:val="11"/>
          <w:szCs w:val="11"/>
          <w:i w:val="1"/>
          <w:iCs w:val="1"/>
          <w:color w:val="auto"/>
        </w:rPr>
        <w:t>GLP</w:t>
      </w:r>
      <w:r>
        <w:rPr>
          <w:rFonts w:ascii="Arial" w:cs="Arial" w:eastAsia="Arial" w:hAnsi="Arial"/>
          <w:sz w:val="11"/>
          <w:szCs w:val="11"/>
          <w:color w:val="auto"/>
        </w:rPr>
        <w:t>”) Irwin test in rats show it to have no adverse effect on the CNS following single oral administration at doses up to 2,000 mg/kg. Although AV-101 inhibited the human ether à-go-go–related gene (“</w:t>
      </w:r>
      <w:r>
        <w:rPr>
          <w:rFonts w:ascii="Arial" w:cs="Arial" w:eastAsia="Arial" w:hAnsi="Arial"/>
          <w:sz w:val="11"/>
          <w:szCs w:val="11"/>
          <w:i w:val="1"/>
          <w:iCs w:val="1"/>
          <w:color w:val="auto"/>
        </w:rPr>
        <w:t>hERG</w:t>
      </w:r>
      <w:r>
        <w:rPr>
          <w:rFonts w:ascii="Arial" w:cs="Arial" w:eastAsia="Arial" w:hAnsi="Arial"/>
          <w:sz w:val="11"/>
          <w:szCs w:val="11"/>
          <w:color w:val="auto"/>
        </w:rPr>
        <w:t>”) current in a dose-dependent manner (median concentration that causes 50% inhibition for the inhibitory effect [IC50] of 70.5 μM), its active metabolite, 7-Cl-KYNA, showed no inhibitory effect on the hERG channel current. Electrocardiograms (“</w:t>
      </w:r>
      <w:r>
        <w:rPr>
          <w:rFonts w:ascii="Arial" w:cs="Arial" w:eastAsia="Arial" w:hAnsi="Arial"/>
          <w:sz w:val="11"/>
          <w:szCs w:val="11"/>
          <w:i w:val="1"/>
          <w:iCs w:val="1"/>
          <w:color w:val="auto"/>
        </w:rPr>
        <w:t>ECGs</w:t>
      </w:r>
      <w:r>
        <w:rPr>
          <w:rFonts w:ascii="Arial" w:cs="Arial" w:eastAsia="Arial" w:hAnsi="Arial"/>
          <w:sz w:val="11"/>
          <w:szCs w:val="11"/>
          <w:color w:val="auto"/>
        </w:rPr>
        <w:t xml:space="preserve">”) recorded during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dog toxicology studies showed no AV-101–related adverse cardiovascular effects. Furthermore, in a pivotal GLP dog 14-day toxicology study, no treatment-related effects on ECGs, including QT interval and QTc, at dose levels up to 120 mg/kg/d. No evidence of any treatment-related adverse effects on the respiratory system has been noted with AV-101.</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Oral administration of AV-101 to Sprague-Dawley rats and mice was shown to result in rapid absorption of AV-101 (rats: time to maximum plasma concentration [Tmax], approximately 0.25 to 0.5 hours), adequate bioavailability</w:t>
      </w:r>
    </w:p>
    <w:p>
      <w:pPr>
        <w:spacing w:after="0" w:line="2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(rats: approximately 39% to 94%), and plasma elimination half-life (rats: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approximately 1 to 3 hours). Furthermore, in rats 7-Cl-KYNA was detected in the plasma and reached the maximum plasma concentration (“</w:t>
      </w:r>
      <w:r>
        <w:rPr>
          <w:rFonts w:ascii="Arial" w:cs="Arial" w:eastAsia="Arial" w:hAnsi="Arial"/>
          <w:sz w:val="12"/>
          <w:szCs w:val="12"/>
          <w:i w:val="1"/>
          <w:iCs w:val="1"/>
          <w:color w:val="auto"/>
        </w:rPr>
        <w:t>Cmax</w:t>
      </w:r>
      <w:r>
        <w:rPr>
          <w:rFonts w:ascii="Arial" w:cs="Arial" w:eastAsia="Arial" w:hAnsi="Arial"/>
          <w:sz w:val="12"/>
          <w:szCs w:val="12"/>
          <w:color w:val="auto"/>
        </w:rPr>
        <w:t>”) approximately 0.25 to 0.5 hours after oral administration, suggesting a rapid conversion of AV-101 to 7-Cl-KYNA. Pharmacokinetic analyses were conducted in many of the toxicology studies in rats, dogs, and monkeys. These analyses showed that the AV-101-related clinical signs observed in dogs (versus monkeys) were associated with a similar, and at some does a significantly higher, exposure. Furthermore, although AUC and Cmax values increased non-proportionately with dose level in dogs, AUC values only marginally increased with dose in monkeys, with little change in Cmax values.</w:t>
      </w:r>
    </w:p>
    <w:p>
      <w:pPr>
        <w:spacing w:after="0" w:line="13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Low levels of potential metabolites of AV-101 were detected following in vitro incubations with hepatocytes from the mouse, rat, dog, monkey, and humans, indicating little concern with liver metabolism issues. No appreciable conversion of AV-101 to D-4-Cl-KYN during these hepatocyte incubations was noted. Results from cytochrome P-450 (“</w:t>
      </w:r>
      <w:r>
        <w:rPr>
          <w:rFonts w:ascii="Arial" w:cs="Arial" w:eastAsia="Arial" w:hAnsi="Arial"/>
          <w:sz w:val="12"/>
          <w:szCs w:val="12"/>
          <w:i w:val="1"/>
          <w:iCs w:val="1"/>
          <w:color w:val="auto"/>
        </w:rPr>
        <w:t>CYP</w:t>
      </w:r>
      <w:r>
        <w:rPr>
          <w:rFonts w:ascii="Arial" w:cs="Arial" w:eastAsia="Arial" w:hAnsi="Arial"/>
          <w:sz w:val="12"/>
          <w:szCs w:val="12"/>
          <w:color w:val="auto"/>
        </w:rPr>
        <w:t>”) inhibition and induction studies showed that AV-101 was not a potent inhibitor or inducer of the human CYP isoforms evaluated.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3" w:name="page44"/>
    <w:bookmarkEnd w:id="4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Single-dose studies in rats and monkeys did not show clear evidence of toxicity at maximal doses of 2,000 mg/kg. In dogs, consistent with the expected drug mechanism of action, oral administration of AV-101 resulted in CNS-related clinical signs, including decreased activity, abnormal gait/stance, ataxia, and prostration at the maximum tolerated dose.</w:t>
      </w:r>
    </w:p>
    <w:p>
      <w:pPr>
        <w:spacing w:after="0" w:line="11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 repeated-dose (14-day) ocular toxicity study in Sprague-Dawley rats (unpigmented) and brown Norway rats (pigmented) at dose levels up to 2,000 mg/kg/d did not reveal any signs of retinal degeneration at any dose level or rat strain. A subsequent pivotal GLP 14-day repeated-dose toxicity study in Sprague-Dawley rats showed no treatment-related ocular findings after daily dosing of AV-101 for 14 consecutive days at dose levels up to 2,000 mg/kg/d.</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 GLP 14-day repeated-dose CNS toxicity study conducted in dogs, at dose levels up to 100 mg/kg/d showed no treatment-related lesions in the brain of any animal. The pivotal GLP 14-day repeated-dose toxicity study in Beagle dogs, also showed no treatment-related CNS findings after daily dosing of AV-101 for 14 consecutive days at dose levels up to 120 mg/kg/d.</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genotoxic potential of AV-101 and 7-Cl-KYNA was assessed in multiple in vitro genotoxicity studies (bacterial reverse mutation, chromosomal aberration, mouse lymphoma TK+/-, and micronucleus tests), and the overall results confirmed that both AV-101 and 7-Cl-KYNA are not mutagenic.</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rat Olney lesion study was conducted to assess the potential CNS toxicity. No lesions were observed in the brain after a single oral dose of AV-101 at doses up to 2,000 mg/kg.</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Nonclinical Pharmacology Studies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Primary Pharmacodynamics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Much of the nonclinical pharmacology information of AV-101 is derived from many published research results on L-4-Cl-KYN or 7-Cl-KYNA. Primary pharmacodynamic studies conducted in rodent models for neuropathic pain demonstrated AV-101’s antihyperalgesic activity in models of facilitated pain processing, its analgesic properties, its ability to provide neuroprotection from excitotoxic death, its ability to reduce seizures, and its activity in multiple preclinical models of depression.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Nonclinical Absorption, Distribution, Metabolism and Excretion Studies</w:t>
      </w:r>
    </w:p>
    <w:p>
      <w:pPr>
        <w:spacing w:after="0" w:line="101"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2"/>
          <w:szCs w:val="12"/>
          <w:color w:val="auto"/>
        </w:rPr>
        <w:t>In rats, area under the concentration-time curve from time of dosing extrapolated to infinity (AUC</w:t>
      </w:r>
      <w:r>
        <w:rPr>
          <w:rFonts w:ascii="Arial" w:cs="Arial" w:eastAsia="Arial" w:hAnsi="Arial"/>
          <w:sz w:val="16"/>
          <w:szCs w:val="16"/>
          <w:color w:val="auto"/>
          <w:vertAlign w:val="subscript"/>
        </w:rPr>
        <w:t>0-∞</w:t>
      </w:r>
      <w:r>
        <w:rPr>
          <w:rFonts w:ascii="Arial" w:cs="Arial" w:eastAsia="Arial" w:hAnsi="Arial"/>
          <w:sz w:val="12"/>
          <w:szCs w:val="12"/>
          <w:color w:val="auto"/>
        </w:rPr>
        <w:t>) values were proportional to dose for AV-101, but Cmax was less than proportional to dose, suggesting a saturation of absorption rate. 7-Cl-KYNA Cmax was less than proportional to dose, and generally females tended to have a higher exposure to AV-101 than males, but no sex difference was noted for 7-Cl-KYNA exposure. In the repeated-dose studies, D-4-Cl-KYN, L-4-Cl-KYN, and 7-Cl-KYNA mean area under the concentration-time curves from time of dosing to the last sampling time (AUC</w:t>
      </w:r>
      <w:r>
        <w:rPr>
          <w:rFonts w:ascii="Arial" w:cs="Arial" w:eastAsia="Arial" w:hAnsi="Arial"/>
          <w:sz w:val="16"/>
          <w:szCs w:val="16"/>
          <w:color w:val="auto"/>
          <w:vertAlign w:val="subscript"/>
        </w:rPr>
        <w:t>0-t</w:t>
      </w:r>
      <w:r>
        <w:rPr>
          <w:rFonts w:ascii="Arial" w:cs="Arial" w:eastAsia="Arial" w:hAnsi="Arial"/>
          <w:sz w:val="12"/>
          <w:szCs w:val="12"/>
          <w:color w:val="auto"/>
        </w:rPr>
        <w:t>)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were higher on Day 14 than on Day 1 in both sexes of most treatment groups, indicating that exposure increased following daily repeated dosing of AV-101. Sex differences were noted for D-4-Cl-KYN and L-4-Cl-KYN, with mean AUC</w:t>
      </w:r>
      <w:r>
        <w:rPr>
          <w:rFonts w:ascii="Arial" w:cs="Arial" w:eastAsia="Arial" w:hAnsi="Arial"/>
          <w:sz w:val="16"/>
          <w:szCs w:val="16"/>
          <w:color w:val="auto"/>
          <w:vertAlign w:val="subscript"/>
        </w:rPr>
        <w:t>0-t</w:t>
      </w:r>
      <w:r>
        <w:rPr>
          <w:rFonts w:ascii="Arial" w:cs="Arial" w:eastAsia="Arial" w:hAnsi="Arial"/>
          <w:sz w:val="12"/>
          <w:szCs w:val="12"/>
          <w:color w:val="auto"/>
        </w:rPr>
        <w:t xml:space="preserve">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estimates higher in females relative to males for most treatment groups. Conversely, mean AUC</w:t>
      </w:r>
      <w:r>
        <w:rPr>
          <w:rFonts w:ascii="Arial" w:cs="Arial" w:eastAsia="Arial" w:hAnsi="Arial"/>
          <w:sz w:val="16"/>
          <w:szCs w:val="16"/>
          <w:color w:val="auto"/>
          <w:vertAlign w:val="subscript"/>
        </w:rPr>
        <w:t>0-t</w:t>
      </w:r>
      <w:r>
        <w:rPr>
          <w:rFonts w:ascii="Arial" w:cs="Arial" w:eastAsia="Arial" w:hAnsi="Arial"/>
          <w:sz w:val="12"/>
          <w:szCs w:val="12"/>
          <w:color w:val="auto"/>
        </w:rPr>
        <w:t xml:space="preserve">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of 7-Cl-KYNA were generally higher in males relative to females.</w:t>
      </w:r>
    </w:p>
    <w:p>
      <w:pPr>
        <w:spacing w:after="0" w:line="83"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2"/>
          <w:szCs w:val="12"/>
          <w:color w:val="auto"/>
        </w:rPr>
        <w:t>In dogs,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were slightly less than proportional to dose up to 100 mg/kg AV-101 and Cmax values were less than proportional to dose, suggesting a saturation of absorption. No consistent sex differences were noted for Cmax or AUC values.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and Cmax values for 7-Cl-KYNA were less than proportional to dose. In the repeated-dose study, D-4-Cl-KYN, L-4-Cl-KYN, and 7-Cl-KYNA showed a proportional increase in Cmax with the administered dose level of AV-101 in both sexes. There was no evidence of plasma accumulation for any of the analytes. Sex differences were noted for D-4-Cl-KYN, with slightly higher mean AUC</w:t>
      </w:r>
      <w:r>
        <w:rPr>
          <w:rFonts w:ascii="Arial" w:cs="Arial" w:eastAsia="Arial" w:hAnsi="Arial"/>
          <w:sz w:val="16"/>
          <w:szCs w:val="16"/>
          <w:color w:val="auto"/>
          <w:vertAlign w:val="subscript"/>
        </w:rPr>
        <w:t>0-t</w:t>
      </w:r>
      <w:r>
        <w:rPr>
          <w:rFonts w:ascii="Arial" w:cs="Arial" w:eastAsia="Arial" w:hAnsi="Arial"/>
          <w:sz w:val="12"/>
          <w:szCs w:val="12"/>
          <w:color w:val="auto"/>
        </w:rPr>
        <w:t xml:space="preserve">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estimates in females relative to males on Day 1 and Day 14, in all treatment groups. For 7-Cl-KYNA, mean Cmax was elevated in females relative to males at all dose levels on Days 1 and Day 14, and mean AUC</w:t>
      </w:r>
      <w:r>
        <w:rPr>
          <w:rFonts w:ascii="Arial" w:cs="Arial" w:eastAsia="Arial" w:hAnsi="Arial"/>
          <w:sz w:val="16"/>
          <w:szCs w:val="16"/>
          <w:color w:val="auto"/>
          <w:vertAlign w:val="subscript"/>
        </w:rPr>
        <w:t>0-t</w:t>
      </w:r>
      <w:r>
        <w:rPr>
          <w:rFonts w:ascii="Arial" w:cs="Arial" w:eastAsia="Arial" w:hAnsi="Arial"/>
          <w:sz w:val="12"/>
          <w:szCs w:val="12"/>
          <w:color w:val="auto"/>
        </w:rPr>
        <w:t xml:space="preserve">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estimates were also generally higher in females relative to males at all dose levels. No clear sex differences were noted for L-4-Cl-KYN.</w:t>
      </w:r>
    </w:p>
    <w:p>
      <w:pPr>
        <w:spacing w:after="0" w:line="8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2"/>
          <w:szCs w:val="12"/>
          <w:color w:val="auto"/>
        </w:rPr>
        <w:t>In monkeys,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were relatively proportional to dose, but Cmax values were not proportional to dose (comparable or lower Cmax with increasing doses). The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and Cmax values for 7-Cl-KYNA were less than proportional to dose, and no major sex differences were noted.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Nonclinical Toxicology Studies</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safety profile of AV-101 was determined in single-dose, range-finding, and repeated-dose toxicology studies in rats and dogs, and in a single-dose study in monkeys. A GLP CNS safety pharmacology study in rats that included a microscopic evaluation for Olney lesions was also conducted. Additionally, pivotal GLP 14-day repeated-dose toxicology studies in rats and dogs have been conducted. The genotoxic potentials of AV-101 and 7-Cl-KYNA were assessed in multiple in vitro and in vivo genotoxicity studies, including bacterial reverse mutation, chromosomal aberration, mouse lymphoma TK+/-, and micronucleus tests. Neither were determined to be mutagenic.</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Local tolerance studies have not been conducted with AV-101. However, no lesions in the gastrointestinal tract were observed after oral administration of AV-101 in the repeated-dose toxicity studies in the rat and dog.</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results of the pivotal 14-day studies show the dog to be the most sensitive species. The dog NOAEL was determined to be the highest dose level (120 mg/kg/d), and therefore the maximum recommended starting dose (MRSD) would be 6.5 mg/kg (12 mg/kg/d × 0.54 [conversion factor]) or 390 mg per subject for a 60-kg person. As a further added margin of safety for the clinical use of AV-101, VistaGen applied an additional safety factor to the calculated MRSD, and set the starting dose in the proposed Phase 1a clinical trial at 0.5 mg/kg (i.e., 30 mg for 60 kg subjects).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4" w:name="page45"/>
    <w:bookmarkEnd w:id="4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AV-101 Phase 1 Clinical Safety Studies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safety data from two NIH-funded AV-101 Phase 1 clinical safety studies indicate that AV-101 was safe and well-tolerated at all three doses tested. Overall, 57 mild to moderate AEs were reported by 34 subjects, with 17 AEs (29.8%) occurring in the placebo group. There was a higher rate of AEs reported from subjects that received placebo than from subjects that received AV-101. A total of 40 AEs were reported by 24 of 37 (64.9%) subjects receiving AV-101, and 17 AEs were reported by 10 of 13 (76.9%) subject receiving placebo. Additionally, 49 of the 57 total AEs (85.9%) were considered mild, and the remaining 8 AEs (14.0%) were considered moderate. Of these AEs, headache was the most commonly reported preferred term. All of the AEs were completely resolved.</w:t>
      </w:r>
    </w:p>
    <w:p>
      <w:pPr>
        <w:spacing w:after="0" w:line="12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Overall, the safety results indicate AV-101 is safe and well-tolerated in healthy subjects. Subjects receiving AV-101 reported a lower percentage of AEs relative to subjects receiving placebo. Moreover, there were no AEs reported by subjects that received AV-101 that were graded as probably related to study drug. The type and distribution of AEs reported by subjects in this study was considered to be typical for a study in healthy volunteers.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total of 40 AEs were reported by 24 of 37 (64.9%) subjects receiving AV-101, and 17 AEs were reported by 10 of 13 (76.9%) subject receiving placebo.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(5/57) of the subjects receiving AV-101 and 0% of the 31 subjects receiving placebo reported “feelings of well-being” (coded as euphoric mood), similar to the fast-acting antidepressant effects reported in the literature with ketamine.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Phase 1 Clinical Safety Trials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1a Study (VSG-CL-101)</w:t>
      </w:r>
    </w:p>
    <w:p>
      <w:pPr>
        <w:spacing w:after="0" w:line="15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1"/>
          <w:szCs w:val="11"/>
          <w:color w:val="auto"/>
        </w:rPr>
        <w:t>A phase 1a, randomized, double-blind, placebo-controlled study to evaluate the safety and PK of single doses of AV-101 in healthy volunteers was conducted (VSG-CL-001). Seven cohorts (30, 120, 360, 720, 1,080, 1,440, and 1,800 mg) with six subjects per cohort (1:1, AV-101: placebo) were to be enrolled in the study. For the first five cohorts (30, 120, 360, 710 and 1,080 mg) only two subjects were dosed at a time as a pair (1:1, AV-101: placebo) on Day 1. The safety and tolerability of AV-101 in each pair of subjects was assessed by the investigator before proceeding to the next pair within the dose cohort of the study. If no safety concerns were found after analysis of the laboratory samples, physical assessments, and results of the neurological and ophthalmological examinations, the next two subjects in the cohort were dosed, but no sooner than 48 hours after the previous pair of subjects. The next cohort was dosed when the investigator and medical monitor agreed that it was safe to proceed based on review of the previous dose group’s preliminary safety information. In addition, PK assessments were to be reviewed for each cohort starting with the 720 mg through the 1,800 mg dose cohort. A minimum of four evaluable subjects (two AV-101 and two placebo) were required for determination of tolerability and safety of a dose level. The PK stopping criteria would be reached when the L-4-C1-KYN mean AUC</w:t>
      </w:r>
      <w:r>
        <w:rPr>
          <w:rFonts w:ascii="Arial" w:cs="Arial" w:eastAsia="Arial" w:hAnsi="Arial"/>
          <w:sz w:val="15"/>
          <w:szCs w:val="15"/>
          <w:color w:val="auto"/>
          <w:vertAlign w:val="subscript"/>
        </w:rPr>
        <w:t>0-t</w:t>
      </w:r>
      <w:r>
        <w:rPr>
          <w:rFonts w:ascii="Arial" w:cs="Arial" w:eastAsia="Arial" w:hAnsi="Arial"/>
          <w:sz w:val="11"/>
          <w:szCs w:val="11"/>
          <w:color w:val="auto"/>
        </w:rPr>
        <w:t xml:space="preserve"> reaches 900,486 ng·h/mL, or a mean Cmax of 81,633 ng/mL, or a PK extrapolation predicts exceeding one of these values in the next cohort.</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All the subjects from the 1,440 mg cohort were dosed during a single day (3 subjects receiving active drug and 3 subjects receiving placebo). The safety and tolerability of AV-101 in the 1,440 mg dose cohort was to be assessed by the investigator and medical monitor before proceeding to the 1,800 mg dose cohort. If no safety concerns were found after analysis of the laboratory samples including the PK results, physical assessments, and results of the neurological and ophthalmological examinations for the 1,440 mg cohort, the 1,800-mg cohort was to be dosed. However, the PK stopping criteria were reached at the 1,440-mg cohort, and the study was stopped and did not proceed to the planned 1,800 mg cohort.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1a Study Pharmacokinetics Summary</w:t>
      </w:r>
    </w:p>
    <w:p>
      <w:pPr>
        <w:spacing w:after="0" w:line="15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1"/>
          <w:szCs w:val="11"/>
          <w:color w:val="auto"/>
        </w:rPr>
        <w:t>Validated bioanalytical methods were used to measure plasma analyte concentrations. These assays had lower limits of quantification of 2 ng/mL for 7-Cl-KYNA and 5 ng/mL for L-4-Cl-KYN and D-4-Cl- KYN. Pharmacokinetic parameters were calculated by using WinNonlin Pro v. 5.2. Parameters calculated included observed maximal concentration (Cmax), observed time to Cmax (Tmax), area under the concentration-time curve to the last sample collected (AUC</w:t>
      </w:r>
      <w:r>
        <w:rPr>
          <w:rFonts w:ascii="Arial" w:cs="Arial" w:eastAsia="Arial" w:hAnsi="Arial"/>
          <w:sz w:val="15"/>
          <w:szCs w:val="15"/>
          <w:color w:val="auto"/>
          <w:vertAlign w:val="subscript"/>
        </w:rPr>
        <w:t>0-t</w:t>
      </w:r>
      <w:r>
        <w:rPr>
          <w:rFonts w:ascii="Arial" w:cs="Arial" w:eastAsia="Arial" w:hAnsi="Arial"/>
          <w:sz w:val="11"/>
          <w:szCs w:val="11"/>
          <w:color w:val="auto"/>
        </w:rPr>
        <w:t>) or extrapolated to infinity (AUC</w:t>
      </w:r>
      <w:r>
        <w:rPr>
          <w:rFonts w:ascii="Arial" w:cs="Arial" w:eastAsia="Arial" w:hAnsi="Arial"/>
          <w:sz w:val="15"/>
          <w:szCs w:val="15"/>
          <w:color w:val="auto"/>
          <w:vertAlign w:val="subscript"/>
        </w:rPr>
        <w:t>0-∞</w:t>
      </w:r>
      <w:r>
        <w:rPr>
          <w:rFonts w:ascii="Arial" w:cs="Arial" w:eastAsia="Arial" w:hAnsi="Arial"/>
          <w:sz w:val="11"/>
          <w:szCs w:val="11"/>
          <w:color w:val="auto"/>
        </w:rPr>
        <w:t>), and half-life (t</w:t>
      </w:r>
      <w:r>
        <w:rPr>
          <w:rFonts w:ascii="Arial" w:cs="Arial" w:eastAsia="Arial" w:hAnsi="Arial"/>
          <w:sz w:val="15"/>
          <w:szCs w:val="15"/>
          <w:color w:val="auto"/>
          <w:vertAlign w:val="subscript"/>
        </w:rPr>
        <w:t>1/2</w:t>
      </w:r>
      <w:r>
        <w:rPr>
          <w:rFonts w:ascii="Arial" w:cs="Arial" w:eastAsia="Arial" w:hAnsi="Arial"/>
          <w:sz w:val="11"/>
          <w:szCs w:val="11"/>
          <w:color w:val="auto"/>
        </w:rPr>
        <w:t>). Concentrations of all three analytes were measurable in both plasma and urine after administration of each of the six dose levels: 30, 120, 360, 720, 1,080 and 1,440 mg.</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Concentration-time data were obtained after dosing of the six cohorts. Three subjects received AV-101 and three received placebo in each cohort. Plasma concentrations of 4-Cl-KYN (AV-101) and 7-Cl-KYNA were obtained in addition to urine concentrations of these two analytes. Plasma and urine concentrations of D-4-Cl-KYN also were determined, but will be reported only for the first two cohorts.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study was conducted under dose escalation stopping criteria as determined by the FDA of 4-Cl-KYN mean Cmax and AUC limits of 81,633 ng/mL and 900,486 ng·h/mL, respectively. Although these criteria were not met for the mean data of the 1,440-mg dose, one subject had a Cmax that was slightly greater than the limit of 81,633 ng/mL. Therefore, dose escalation to the planned seventh cohort of 1,800 mg of AV-101 did not occur in this study. However, from a safety perspective, a maximum tolerable dose was not achieved. Also, maximum AUC values at the highest dose level remained substantially lower than the limit.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5" w:name="page46"/>
    <w:bookmarkEnd w:id="4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1"/>
          <w:szCs w:val="11"/>
          <w:color w:val="auto"/>
        </w:rPr>
        <w:t>Concentrations of all three analytes were measurable in both plasma and urine after administration of all dose levels, although many of the samples from the 30-mg dose group had concentrations below the limit of quantification for 7-Cl-KYNA. Plasma concentration-time profiles were consistent with rapid absorption of the oral dose and first-order elimination. The plasma concentration-time profiles were well defined for 4-Cl-KYN at all dose levels. Maximum concentrations occurred fairly rapidly, with individual values of Tmax ranging from 0.5 to 2 hours, with greater values tending to be in the higher dose groups. Individual t</w:t>
      </w:r>
      <w:r>
        <w:rPr>
          <w:rFonts w:ascii="Arial" w:cs="Arial" w:eastAsia="Arial" w:hAnsi="Arial"/>
          <w:sz w:val="15"/>
          <w:szCs w:val="15"/>
          <w:color w:val="auto"/>
          <w:vertAlign w:val="subscript"/>
        </w:rPr>
        <w:t>1/2</w:t>
      </w:r>
      <w:r>
        <w:rPr>
          <w:rFonts w:ascii="Arial" w:cs="Arial" w:eastAsia="Arial" w:hAnsi="Arial"/>
          <w:sz w:val="11"/>
          <w:szCs w:val="11"/>
          <w:color w:val="auto"/>
        </w:rPr>
        <w:t xml:space="preserve"> values were fairly consistent within cohorts, and mean values ranged from 1.80 to 3.33 hours. Mean t</w:t>
      </w:r>
      <w:r>
        <w:rPr>
          <w:rFonts w:ascii="Arial" w:cs="Arial" w:eastAsia="Arial" w:hAnsi="Arial"/>
          <w:sz w:val="15"/>
          <w:szCs w:val="15"/>
          <w:color w:val="auto"/>
          <w:vertAlign w:val="subscript"/>
        </w:rPr>
        <w:t>1/2</w:t>
      </w:r>
      <w:r>
        <w:rPr>
          <w:rFonts w:ascii="Arial" w:cs="Arial" w:eastAsia="Arial" w:hAnsi="Arial"/>
          <w:sz w:val="11"/>
          <w:szCs w:val="11"/>
          <w:color w:val="auto"/>
        </w:rPr>
        <w:t xml:space="preserve"> values also tended to increase with increasing dose. Mean Cmax and AUC</w:t>
      </w:r>
      <w:r>
        <w:rPr>
          <w:rFonts w:ascii="Arial" w:cs="Arial" w:eastAsia="Arial" w:hAnsi="Arial"/>
          <w:sz w:val="15"/>
          <w:szCs w:val="15"/>
          <w:color w:val="auto"/>
          <w:vertAlign w:val="subscript"/>
        </w:rPr>
        <w:t>0-∞</w:t>
      </w:r>
      <w:r>
        <w:rPr>
          <w:rFonts w:ascii="Arial" w:cs="Arial" w:eastAsia="Arial" w:hAnsi="Arial"/>
          <w:sz w:val="11"/>
          <w:szCs w:val="11"/>
          <w:color w:val="auto"/>
        </w:rPr>
        <w:t xml:space="preserve"> values appeared to be approximately dose proportional except for those of the highest dose group.</w:t>
      </w:r>
    </w:p>
    <w:p>
      <w:pPr>
        <w:spacing w:after="0" w:line="76"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2"/>
          <w:szCs w:val="12"/>
          <w:color w:val="auto"/>
        </w:rPr>
        <w:t>The 7-Cl-KYNA plasma concentration-time profiles were not well defined for the 30-mg dose. Most samples for the 30-mg dose cohort had concentrations below the lower limits of quantification, and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values could not be calculated; however, profiles were sufficient after the 120-mg and greater doses to calculate all parameters.</w:t>
      </w:r>
    </w:p>
    <w:p>
      <w:pPr>
        <w:spacing w:after="0" w:line="92"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1"/>
          <w:szCs w:val="11"/>
          <w:color w:val="auto"/>
        </w:rPr>
        <w:t>In general, 7-Cl-KYNA maximum concentrations occurred at the same time or later than those for 4-Cl-KYN, as may be expected since 7-Cl-KYNA is a metabolite of 4-Cl-KYN. Individual values of Tmax ranged from 0.5 to 2 hours for both analytes. Individual 7-Cl-KYNA t</w:t>
      </w:r>
      <w:r>
        <w:rPr>
          <w:rFonts w:ascii="Arial" w:cs="Arial" w:eastAsia="Arial" w:hAnsi="Arial"/>
          <w:sz w:val="15"/>
          <w:szCs w:val="15"/>
          <w:color w:val="auto"/>
          <w:vertAlign w:val="subscript"/>
        </w:rPr>
        <w:t>1/2</w:t>
      </w:r>
      <w:r>
        <w:rPr>
          <w:rFonts w:ascii="Arial" w:cs="Arial" w:eastAsia="Arial" w:hAnsi="Arial"/>
          <w:sz w:val="11"/>
          <w:szCs w:val="11"/>
          <w:color w:val="auto"/>
        </w:rPr>
        <w:t xml:space="preserve"> values were fairly consistent within cohorts, and mean values ranged from 2.17 to 3.19 hours. Mean t</w:t>
      </w:r>
      <w:r>
        <w:rPr>
          <w:rFonts w:ascii="Arial" w:cs="Arial" w:eastAsia="Arial" w:hAnsi="Arial"/>
          <w:sz w:val="15"/>
          <w:szCs w:val="15"/>
          <w:color w:val="auto"/>
          <w:vertAlign w:val="subscript"/>
        </w:rPr>
        <w:t>1/2</w:t>
      </w:r>
      <w:r>
        <w:rPr>
          <w:rFonts w:ascii="Arial" w:cs="Arial" w:eastAsia="Arial" w:hAnsi="Arial"/>
          <w:sz w:val="11"/>
          <w:szCs w:val="11"/>
          <w:color w:val="auto"/>
        </w:rPr>
        <w:t xml:space="preserve"> values did not appear to be dose-related. Mean 7-Cl-KYNA Cmax values were somewhat dose proportional for the two initial dose groups, but tended to increase in a more than dose-proportional manner. Similarly, mean 7-Cl-KYNA AUC</w:t>
      </w:r>
      <w:r>
        <w:rPr>
          <w:rFonts w:ascii="Arial" w:cs="Arial" w:eastAsia="Arial" w:hAnsi="Arial"/>
          <w:sz w:val="15"/>
          <w:szCs w:val="15"/>
          <w:color w:val="auto"/>
          <w:vertAlign w:val="subscript"/>
        </w:rPr>
        <w:t>0-t</w:t>
      </w:r>
      <w:r>
        <w:rPr>
          <w:rFonts w:ascii="Arial" w:cs="Arial" w:eastAsia="Arial" w:hAnsi="Arial"/>
          <w:sz w:val="11"/>
          <w:szCs w:val="11"/>
          <w:color w:val="auto"/>
        </w:rPr>
        <w:t xml:space="preserve"> values for all dose groups and AUC</w:t>
      </w:r>
      <w:r>
        <w:rPr>
          <w:rFonts w:ascii="Arial" w:cs="Arial" w:eastAsia="Arial" w:hAnsi="Arial"/>
          <w:sz w:val="15"/>
          <w:szCs w:val="15"/>
          <w:color w:val="auto"/>
          <w:vertAlign w:val="subscript"/>
        </w:rPr>
        <w:t>0-∞</w:t>
      </w:r>
      <w:r>
        <w:rPr>
          <w:rFonts w:ascii="Arial" w:cs="Arial" w:eastAsia="Arial" w:hAnsi="Arial"/>
          <w:sz w:val="11"/>
          <w:szCs w:val="11"/>
          <w:color w:val="auto"/>
        </w:rPr>
        <w:t xml:space="preserve"> values for dose groups of 120 mg or greater tended to increase in a more than dose-proportional manner. Mean plasma concentrations of 4-Cl-KYN (Figure 1) and 7-Cl-KYNA (Figure 2) are depicted for all six cohorts.</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with the 120-mg dose cohort, the plasma concentration-time profiles were well defined for both 4-Cl-KYN and 7-Cl-KYNA at the four higher dose levels. Interestingly, the mean concentration-time profiles suggest that maximum concentrations were lower than expected, particularly for 7-Cl-KYNA.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2287905" cy="1555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87905" cy="155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Figure-1. Mean plasma concentrations of 4-Cl-KYN after oral administration of a single dose of AV-101.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6" w:name="page47"/>
    <w:bookmarkEnd w:id="46"/>
    <w:p>
      <w:pPr>
        <w:spacing w:after="0"/>
        <w:rPr>
          <w:rFonts w:ascii="Arial" w:cs="Arial" w:eastAsia="Arial" w:hAnsi="Arial"/>
          <w:sz w:val="11"/>
          <w:szCs w:val="11"/>
          <w:b w:val="1"/>
          <w:bCs w:val="1"/>
          <w:i w:val="1"/>
          <w:iCs w:val="1"/>
          <w:u w:val="single" w:color="auto"/>
          <w:color w:val="0000EE"/>
        </w:rPr>
      </w:pPr>
      <w:hyperlink w:anchor="page4">
        <w:r>
          <w:rPr>
            <w:rFonts w:ascii="Arial" w:cs="Arial" w:eastAsia="Arial" w:hAnsi="Arial"/>
            <w:sz w:val="11"/>
            <w:szCs w:val="11"/>
            <w:b w:val="1"/>
            <w:bCs w:val="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2533650" cy="18472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33650" cy="184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2. Mean plasma concentrations of 7-Cl-KYNA after oral administration of a single dose of AV-101.</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Assessment of Dose Proportionality</w:t>
      </w:r>
    </w:p>
    <w:p>
      <w:pPr>
        <w:spacing w:after="0" w:line="101"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For 4-Cl-KYN, mean Cmax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appeared to be approximately dose proportional except for those of the highest dose group. These values are presented by dose in Figure 3 (Cmax) and in Figure 4 (AUC</w:t>
      </w:r>
      <w:r>
        <w:rPr>
          <w:rFonts w:ascii="Arial" w:cs="Arial" w:eastAsia="Arial" w:hAnsi="Arial"/>
          <w:sz w:val="16"/>
          <w:szCs w:val="16"/>
          <w:color w:val="auto"/>
          <w:vertAlign w:val="subscript"/>
        </w:rPr>
        <w:t>0-∞</w:t>
      </w:r>
      <w:r>
        <w:rPr>
          <w:rFonts w:ascii="Arial" w:cs="Arial" w:eastAsia="Arial" w:hAnsi="Arial"/>
          <w:sz w:val="12"/>
          <w:szCs w:val="12"/>
          <w:color w:val="auto"/>
        </w:rPr>
        <w:t>) below. Figure 3 indicates that for 4-Cl-KYN the mean Cmax values are approximately dose linear and proportional up to a dose of 1,080 mg of AV-101. After a dose of 1,440 mg, the mean Cmax values increased only 8.8% while the dose increased by 33.3%. This is evident in the deviation of the graph from linearity at the highest dose.</w:t>
      </w:r>
    </w:p>
    <w:p>
      <w:pPr>
        <w:spacing w:after="0" w:line="8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1"/>
          <w:szCs w:val="11"/>
          <w:color w:val="auto"/>
        </w:rPr>
        <w:t>Although the 4-Cl-KYN mean Cmax values were not linear after the 1,080-mg dose, AUC</w:t>
      </w:r>
      <w:r>
        <w:rPr>
          <w:rFonts w:ascii="Arial" w:cs="Arial" w:eastAsia="Arial" w:hAnsi="Arial"/>
          <w:sz w:val="15"/>
          <w:szCs w:val="15"/>
          <w:color w:val="auto"/>
          <w:vertAlign w:val="subscript"/>
        </w:rPr>
        <w:t>0-∞</w:t>
      </w:r>
      <w:r>
        <w:rPr>
          <w:rFonts w:ascii="Arial" w:cs="Arial" w:eastAsia="Arial" w:hAnsi="Arial"/>
          <w:sz w:val="11"/>
          <w:szCs w:val="11"/>
          <w:color w:val="auto"/>
        </w:rPr>
        <w:t xml:space="preserve"> values are approximately linear and dose proportional throughout the dose range. The nonlinearity of Cmax values at the highest dose could be a result of an outlier or simply variability in a small number of subjects (Cmax values of 44,600, 54,900, and 89,500 ng/mL were observed after the dose of 1,040-mg AV-101), it suggests that the rate or extent of absorption could be limited. The fact that AUC</w:t>
      </w:r>
      <w:r>
        <w:rPr>
          <w:rFonts w:ascii="Arial" w:cs="Arial" w:eastAsia="Arial" w:hAnsi="Arial"/>
          <w:sz w:val="15"/>
          <w:szCs w:val="15"/>
          <w:color w:val="auto"/>
          <w:vertAlign w:val="subscript"/>
        </w:rPr>
        <w:t>0-∞</w:t>
      </w:r>
      <w:r>
        <w:rPr>
          <w:rFonts w:ascii="Arial" w:cs="Arial" w:eastAsia="Arial" w:hAnsi="Arial"/>
          <w:sz w:val="11"/>
          <w:szCs w:val="11"/>
          <w:color w:val="auto"/>
        </w:rPr>
        <w:t xml:space="preserve"> values were linear throughout the dose range suggests that the extent of absorption was not a limitation, but the rate of absorption may be limited at doses above 1,080 mg.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7" w:name="page48"/>
    <w:bookmarkEnd w:id="4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ind w:firstLine="432"/>
        <w:spacing w:after="0" w:line="232" w:lineRule="auto"/>
        <w:rPr>
          <w:sz w:val="20"/>
          <w:szCs w:val="20"/>
          <w:color w:val="auto"/>
        </w:rPr>
      </w:pPr>
      <w:r>
        <w:rPr>
          <w:rFonts w:ascii="Arial" w:cs="Arial" w:eastAsia="Arial" w:hAnsi="Arial"/>
          <w:sz w:val="12"/>
          <w:szCs w:val="12"/>
          <w:color w:val="auto"/>
        </w:rPr>
        <w:t>The lack of linearity of the 4-Cl-KYN mean Cmax values would be expected to have a similar effect on the 7-Cl-KYNA mean Cmax values. Similarly, because the extent of absorption of 4-Cl-KYN was linear throughout the dose range, exposure to 7-Cl-KYNA would be expected to also be linear. Mean values of 7-Cl-KYNA are presented by dose in Figure 5 (Cmax) and in Figure 6 (AUC</w:t>
      </w:r>
      <w:r>
        <w:rPr>
          <w:rFonts w:ascii="Arial" w:cs="Arial" w:eastAsia="Arial" w:hAnsi="Arial"/>
          <w:sz w:val="16"/>
          <w:szCs w:val="16"/>
          <w:color w:val="auto"/>
          <w:vertAlign w:val="subscript"/>
        </w:rPr>
        <w:t>0-∞</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2556510" cy="1521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56510" cy="152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3. Mean C</w:t>
      </w:r>
      <w:r>
        <w:rPr>
          <w:rFonts w:ascii="Arial" w:cs="Arial" w:eastAsia="Arial" w:hAnsi="Arial"/>
          <w:sz w:val="16"/>
          <w:szCs w:val="16"/>
          <w:b w:val="1"/>
          <w:bCs w:val="1"/>
          <w:color w:val="auto"/>
          <w:vertAlign w:val="subscript"/>
        </w:rPr>
        <w:t>max</w:t>
      </w:r>
      <w:r>
        <w:rPr>
          <w:rFonts w:ascii="Arial" w:cs="Arial" w:eastAsia="Arial" w:hAnsi="Arial"/>
          <w:sz w:val="12"/>
          <w:szCs w:val="12"/>
          <w:b w:val="1"/>
          <w:bCs w:val="1"/>
          <w:color w:val="auto"/>
        </w:rPr>
        <w:t xml:space="preserve"> values of 4-Cl-KYN by dose of AV-101.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2590800" cy="152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0800" cy="152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4. Mean AUC</w:t>
      </w:r>
      <w:r>
        <w:rPr>
          <w:rFonts w:ascii="Arial" w:cs="Arial" w:eastAsia="Arial" w:hAnsi="Arial"/>
          <w:sz w:val="16"/>
          <w:szCs w:val="16"/>
          <w:b w:val="1"/>
          <w:bCs w:val="1"/>
          <w:color w:val="auto"/>
          <w:vertAlign w:val="subscript"/>
        </w:rPr>
        <w:t>0-∞</w:t>
      </w:r>
      <w:r>
        <w:rPr>
          <w:rFonts w:ascii="Arial" w:cs="Arial" w:eastAsia="Arial" w:hAnsi="Arial"/>
          <w:sz w:val="12"/>
          <w:szCs w:val="12"/>
          <w:b w:val="1"/>
          <w:bCs w:val="1"/>
          <w:color w:val="auto"/>
        </w:rPr>
        <w:t xml:space="preserve"> values of 4-Cl-KYN by dose of AV-101.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8" w:name="page49"/>
    <w:bookmarkEnd w:id="4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317500</wp:posOffset>
            </wp:positionV>
            <wp:extent cx="2442210" cy="14871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42210"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5. Mean C</w:t>
      </w:r>
      <w:r>
        <w:rPr>
          <w:rFonts w:ascii="Arial" w:cs="Arial" w:eastAsia="Arial" w:hAnsi="Arial"/>
          <w:sz w:val="16"/>
          <w:szCs w:val="16"/>
          <w:b w:val="1"/>
          <w:bCs w:val="1"/>
          <w:color w:val="auto"/>
          <w:vertAlign w:val="subscript"/>
        </w:rPr>
        <w:t>max</w:t>
      </w:r>
      <w:r>
        <w:rPr>
          <w:rFonts w:ascii="Arial" w:cs="Arial" w:eastAsia="Arial" w:hAnsi="Arial"/>
          <w:sz w:val="12"/>
          <w:szCs w:val="12"/>
          <w:b w:val="1"/>
          <w:bCs w:val="1"/>
          <w:color w:val="auto"/>
        </w:rPr>
        <w:t xml:space="preserve"> values of 7-Cl-KYNA by dose of AV-101.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2442210" cy="1470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42210" cy="147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6. Mean AUC</w:t>
      </w:r>
      <w:r>
        <w:rPr>
          <w:rFonts w:ascii="Arial" w:cs="Arial" w:eastAsia="Arial" w:hAnsi="Arial"/>
          <w:sz w:val="16"/>
          <w:szCs w:val="16"/>
          <w:b w:val="1"/>
          <w:bCs w:val="1"/>
          <w:color w:val="auto"/>
          <w:vertAlign w:val="subscript"/>
        </w:rPr>
        <w:t>0-∞</w:t>
      </w:r>
      <w:r>
        <w:rPr>
          <w:rFonts w:ascii="Arial" w:cs="Arial" w:eastAsia="Arial" w:hAnsi="Arial"/>
          <w:sz w:val="12"/>
          <w:szCs w:val="12"/>
          <w:b w:val="1"/>
          <w:bCs w:val="1"/>
          <w:color w:val="auto"/>
        </w:rPr>
        <w:t xml:space="preserve"> values of 7-Cl-KYNA by dose of AV-101.</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1a Safety Summary</w:t>
      </w:r>
    </w:p>
    <w:p>
      <w:pPr>
        <w:spacing w:after="0" w:line="15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(2 AEs) when compared with that at the 120-mg dose (1 AE), 360-mg dose (1 AE), 720-mg dose (0 AEs), 1,080-mg dose (0 AEs), or 1,440-mg dose (2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2 days of onset. This AE was also considered not serious.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9" w:name="page50"/>
    <w:bookmarkEnd w:id="4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Even though these safety studies were not designed to quantitatively assess effects on mood, during the interviews 2 out of 3 subjects who received the highest dose (1440 mg) of AV-101, voluntarily acknowledged positive effects on mood. Similar comments were not made by any of the 18 placebo group subjects. One incident lasted approximately 15 minutes after study drug dosing, and the other event of euphoria lasted approximately 3 hours after study drug dosing. There were no other reported AEs for this cohort. The events resolved and were considered not serious.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ind w:left="60"/>
              <w:spacing w:after="0"/>
              <w:rPr>
                <w:sz w:val="20"/>
                <w:szCs w:val="20"/>
                <w:color w:val="auto"/>
              </w:rPr>
            </w:pPr>
            <w:r>
              <w:rPr>
                <w:rFonts w:ascii="Arial" w:cs="Arial" w:eastAsia="Arial" w:hAnsi="Arial"/>
                <w:sz w:val="12"/>
                <w:szCs w:val="12"/>
                <w:color w:val="auto"/>
                <w:w w:val="95"/>
              </w:rPr>
              <w:t>Table 1. Summary of Adverse Events, Phase 1a</w:t>
            </w: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Cohorts (mg)</w:t>
            </w: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Placebo</w:t>
            </w: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9"/>
              </w:rPr>
              <w:t>30</w:t>
            </w:r>
          </w:p>
        </w:tc>
        <w:tc>
          <w:tcPr>
            <w:tcW w:w="11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9"/>
              </w:rPr>
              <w:t>120</w:t>
            </w:r>
          </w:p>
        </w:tc>
        <w:tc>
          <w:tcPr>
            <w:tcW w:w="760" w:type="dxa"/>
            <w:vAlign w:val="bottom"/>
          </w:tcPr>
          <w:p>
            <w:pPr>
              <w:jc w:val="center"/>
              <w:ind w:left="280"/>
              <w:spacing w:after="0" w:line="129" w:lineRule="exact"/>
              <w:rPr>
                <w:sz w:val="20"/>
                <w:szCs w:val="20"/>
                <w:color w:val="auto"/>
              </w:rPr>
            </w:pPr>
            <w:r>
              <w:rPr>
                <w:rFonts w:ascii="Arial" w:cs="Arial" w:eastAsia="Arial" w:hAnsi="Arial"/>
                <w:sz w:val="12"/>
                <w:szCs w:val="12"/>
                <w:b w:val="1"/>
                <w:bCs w:val="1"/>
                <w:color w:val="auto"/>
                <w:w w:val="89"/>
              </w:rPr>
              <w:t>360</w:t>
            </w:r>
          </w:p>
        </w:tc>
        <w:tc>
          <w:tcPr>
            <w:tcW w:w="1520" w:type="dxa"/>
            <w:vAlign w:val="bottom"/>
          </w:tcPr>
          <w:p>
            <w:pPr>
              <w:jc w:val="center"/>
              <w:ind w:left="320"/>
              <w:spacing w:after="0" w:line="129" w:lineRule="exact"/>
              <w:rPr>
                <w:sz w:val="20"/>
                <w:szCs w:val="20"/>
                <w:color w:val="auto"/>
              </w:rPr>
            </w:pPr>
            <w:r>
              <w:rPr>
                <w:rFonts w:ascii="Arial" w:cs="Arial" w:eastAsia="Arial" w:hAnsi="Arial"/>
                <w:sz w:val="12"/>
                <w:szCs w:val="12"/>
                <w:b w:val="1"/>
                <w:bCs w:val="1"/>
                <w:color w:val="auto"/>
                <w:w w:val="89"/>
              </w:rPr>
              <w:t>720</w:t>
            </w: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6"/>
              </w:rPr>
              <w:t>1,080</w:t>
            </w:r>
          </w:p>
        </w:tc>
        <w:tc>
          <w:tcPr>
            <w:tcW w:w="11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6"/>
              </w:rPr>
              <w:t>1,440</w:t>
            </w:r>
          </w:p>
        </w:tc>
        <w:tc>
          <w:tcPr>
            <w:tcW w:w="1160" w:type="dxa"/>
            <w:vAlign w:val="bottom"/>
          </w:tcPr>
          <w:p>
            <w:pPr>
              <w:ind w:left="380"/>
              <w:spacing w:after="0" w:line="129" w:lineRule="exact"/>
              <w:rPr>
                <w:sz w:val="20"/>
                <w:szCs w:val="20"/>
                <w:color w:val="auto"/>
              </w:rPr>
            </w:pPr>
            <w:r>
              <w:rPr>
                <w:rFonts w:ascii="Arial" w:cs="Arial" w:eastAsia="Arial" w:hAnsi="Arial"/>
                <w:sz w:val="12"/>
                <w:szCs w:val="12"/>
                <w:b w:val="1"/>
                <w:bCs w:val="1"/>
                <w:color w:val="auto"/>
              </w:rPr>
              <w:t>Overall</w:t>
            </w:r>
          </w:p>
        </w:tc>
        <w:tc>
          <w:tcPr>
            <w:tcW w:w="0" w:type="dxa"/>
            <w:vAlign w:val="bottom"/>
          </w:tcPr>
          <w:p>
            <w:pPr>
              <w:spacing w:after="0"/>
              <w:rPr>
                <w:sz w:val="1"/>
                <w:szCs w:val="1"/>
                <w:color w:val="auto"/>
              </w:rPr>
            </w:pPr>
          </w:p>
        </w:tc>
      </w:tr>
      <w:tr>
        <w:trPr>
          <w:trHeight w:val="157"/>
        </w:trPr>
        <w:tc>
          <w:tcPr>
            <w:tcW w:w="252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MedDRA SOC and Preferred Term</w:t>
            </w: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(n = 18)</w:t>
            </w: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(n = 3)</w:t>
            </w:r>
          </w:p>
        </w:tc>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(n = 3)</w:t>
            </w: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(n = 3)</w:t>
            </w:r>
          </w:p>
        </w:tc>
        <w:tc>
          <w:tcPr>
            <w:tcW w:w="1520" w:type="dxa"/>
            <w:vAlign w:val="bottom"/>
            <w:tcBorders>
              <w:bottom w:val="single" w:sz="8" w:color="auto"/>
            </w:tcBorders>
          </w:tcPr>
          <w:p>
            <w:pPr>
              <w:ind w:left="780"/>
              <w:spacing w:after="0"/>
              <w:rPr>
                <w:sz w:val="20"/>
                <w:szCs w:val="20"/>
                <w:color w:val="auto"/>
              </w:rPr>
            </w:pPr>
            <w:r>
              <w:rPr>
                <w:rFonts w:ascii="Arial" w:cs="Arial" w:eastAsia="Arial" w:hAnsi="Arial"/>
                <w:sz w:val="12"/>
                <w:szCs w:val="12"/>
                <w:b w:val="1"/>
                <w:bCs w:val="1"/>
                <w:color w:val="auto"/>
              </w:rPr>
              <w:t>(n = 3)</w:t>
            </w: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(n = 3)</w:t>
            </w: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(n = 3)</w:t>
            </w: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(n = 36)</w:t>
            </w: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5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Infections and Infestations</w:t>
            </w:r>
          </w:p>
        </w:tc>
        <w:tc>
          <w:tcPr>
            <w:tcW w:w="920" w:type="dxa"/>
            <w:vAlign w:val="bottom"/>
            <w:shd w:val="clear" w:color="auto" w:fill="CCEEFF"/>
          </w:tcPr>
          <w:p>
            <w:pPr>
              <w:jc w:val="center"/>
              <w:ind w:right="160"/>
              <w:spacing w:after="0" w:line="111"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w w:val="89"/>
              </w:rPr>
              <w:t>1</w:t>
            </w:r>
          </w:p>
        </w:tc>
        <w:tc>
          <w:tcPr>
            <w:tcW w:w="116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w w:val="89"/>
              </w:rPr>
              <w:t>0</w:t>
            </w:r>
          </w:p>
        </w:tc>
        <w:tc>
          <w:tcPr>
            <w:tcW w:w="760" w:type="dxa"/>
            <w:vAlign w:val="bottom"/>
            <w:shd w:val="clear" w:color="auto" w:fill="CCEEFF"/>
          </w:tcPr>
          <w:p>
            <w:pPr>
              <w:jc w:val="center"/>
              <w:ind w:left="280"/>
              <w:spacing w:after="0" w:line="111" w:lineRule="exact"/>
              <w:rPr>
                <w:sz w:val="20"/>
                <w:szCs w:val="20"/>
                <w:color w:val="auto"/>
              </w:rPr>
            </w:pPr>
            <w:r>
              <w:rPr>
                <w:rFonts w:ascii="Arial" w:cs="Arial" w:eastAsia="Arial" w:hAnsi="Arial"/>
                <w:sz w:val="12"/>
                <w:szCs w:val="12"/>
                <w:color w:val="auto"/>
                <w:w w:val="89"/>
              </w:rPr>
              <w:t>0</w:t>
            </w:r>
          </w:p>
        </w:tc>
        <w:tc>
          <w:tcPr>
            <w:tcW w:w="1520" w:type="dxa"/>
            <w:vAlign w:val="bottom"/>
            <w:shd w:val="clear" w:color="auto" w:fill="CCEEFF"/>
          </w:tcPr>
          <w:p>
            <w:pPr>
              <w:jc w:val="center"/>
              <w:ind w:left="320"/>
              <w:spacing w:after="0" w:line="111"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w w:val="89"/>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2"/>
              </w:rPr>
              <w:t>1 (2.8%)</w:t>
            </w: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CCEEFF"/>
          </w:tcPr>
          <w:p>
            <w:pPr>
              <w:spacing w:after="0"/>
              <w:rPr>
                <w:sz w:val="7"/>
                <w:szCs w:val="7"/>
                <w:color w:val="auto"/>
              </w:rPr>
            </w:pPr>
          </w:p>
        </w:tc>
        <w:tc>
          <w:tcPr>
            <w:tcW w:w="920" w:type="dxa"/>
            <w:vAlign w:val="bottom"/>
            <w:vMerge w:val="restart"/>
            <w:shd w:val="clear" w:color="auto" w:fill="CCEEFF"/>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5"/>
              </w:rPr>
              <w:t>(33.3%)</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tcPr>
          <w:p>
            <w:pPr>
              <w:ind w:left="200"/>
              <w:spacing w:after="0"/>
              <w:rPr>
                <w:sz w:val="20"/>
                <w:szCs w:val="20"/>
                <w:color w:val="auto"/>
              </w:rPr>
            </w:pPr>
            <w:r>
              <w:rPr>
                <w:rFonts w:ascii="Arial" w:cs="Arial" w:eastAsia="Arial" w:hAnsi="Arial"/>
                <w:sz w:val="12"/>
                <w:szCs w:val="12"/>
                <w:color w:val="auto"/>
              </w:rPr>
              <w:t>Gastroenteritis</w:t>
            </w:r>
          </w:p>
        </w:tc>
        <w:tc>
          <w:tcPr>
            <w:tcW w:w="92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1</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760" w:type="dxa"/>
            <w:vAlign w:val="bottom"/>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2"/>
              </w:rPr>
              <w:t>1 (2.8%)</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920" w:type="dxa"/>
            <w:vAlign w:val="bottom"/>
            <w:vMerge w:val="restart"/>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5"/>
              </w:rPr>
              <w:t>(33.3%)</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Nervous System Disorders</w:t>
            </w:r>
          </w:p>
        </w:tc>
        <w:tc>
          <w:tcPr>
            <w:tcW w:w="920" w:type="dxa"/>
            <w:vAlign w:val="bottom"/>
            <w:shd w:val="clear" w:color="auto" w:fill="CCEEFF"/>
          </w:tcPr>
          <w:p>
            <w:pPr>
              <w:jc w:val="center"/>
              <w:ind w:right="160"/>
              <w:spacing w:after="0" w:line="133" w:lineRule="exact"/>
              <w:rPr>
                <w:sz w:val="20"/>
                <w:szCs w:val="20"/>
                <w:color w:val="auto"/>
              </w:rPr>
            </w:pPr>
            <w:r>
              <w:rPr>
                <w:rFonts w:ascii="Arial" w:cs="Arial" w:eastAsia="Arial" w:hAnsi="Arial"/>
                <w:sz w:val="12"/>
                <w:szCs w:val="12"/>
                <w:color w:val="auto"/>
                <w:w w:val="89"/>
              </w:rPr>
              <w:t>1</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1</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1</w:t>
            </w:r>
          </w:p>
        </w:tc>
        <w:tc>
          <w:tcPr>
            <w:tcW w:w="760" w:type="dxa"/>
            <w:vAlign w:val="bottom"/>
            <w:shd w:val="clear" w:color="auto" w:fill="CCEEFF"/>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shd w:val="clear" w:color="auto" w:fill="CCEEFF"/>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2"/>
              </w:rPr>
              <w:t>3 (8.3%)</w:t>
            </w: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CCEEFF"/>
          </w:tcPr>
          <w:p>
            <w:pPr>
              <w:spacing w:after="0"/>
              <w:rPr>
                <w:sz w:val="7"/>
                <w:szCs w:val="7"/>
                <w:color w:val="auto"/>
              </w:rPr>
            </w:pPr>
          </w:p>
        </w:tc>
        <w:tc>
          <w:tcPr>
            <w:tcW w:w="920" w:type="dxa"/>
            <w:vAlign w:val="bottom"/>
            <w:vMerge w:val="restart"/>
            <w:shd w:val="clear" w:color="auto" w:fill="CCEEFF"/>
          </w:tcPr>
          <w:p>
            <w:pPr>
              <w:jc w:val="center"/>
              <w:ind w:right="180"/>
              <w:spacing w:after="0"/>
              <w:rPr>
                <w:sz w:val="20"/>
                <w:szCs w:val="20"/>
                <w:color w:val="auto"/>
              </w:rPr>
            </w:pPr>
            <w:r>
              <w:rPr>
                <w:rFonts w:ascii="Arial" w:cs="Arial" w:eastAsia="Arial" w:hAnsi="Arial"/>
                <w:sz w:val="12"/>
                <w:szCs w:val="12"/>
                <w:color w:val="auto"/>
                <w:w w:val="90"/>
              </w:rPr>
              <w:t>(5.6%)</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5"/>
              </w:rPr>
              <w:t>(33.3%)</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0"/>
              </w:rPr>
              <w:t>(33.3%)</w:t>
            </w:r>
          </w:p>
        </w:tc>
        <w:tc>
          <w:tcPr>
            <w:tcW w:w="76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tcPr>
          <w:p>
            <w:pPr>
              <w:ind w:left="200"/>
              <w:spacing w:after="0"/>
              <w:rPr>
                <w:sz w:val="20"/>
                <w:szCs w:val="20"/>
                <w:color w:val="auto"/>
              </w:rPr>
            </w:pPr>
            <w:r>
              <w:rPr>
                <w:rFonts w:ascii="Arial" w:cs="Arial" w:eastAsia="Arial" w:hAnsi="Arial"/>
                <w:sz w:val="12"/>
                <w:szCs w:val="12"/>
                <w:color w:val="auto"/>
              </w:rPr>
              <w:t>Headache</w:t>
            </w:r>
          </w:p>
        </w:tc>
        <w:tc>
          <w:tcPr>
            <w:tcW w:w="92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9"/>
              </w:rPr>
              <w:t>1</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1</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1</w:t>
            </w:r>
          </w:p>
        </w:tc>
        <w:tc>
          <w:tcPr>
            <w:tcW w:w="760" w:type="dxa"/>
            <w:vAlign w:val="bottom"/>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2"/>
              </w:rPr>
              <w:t>3 (8.3%)</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920" w:type="dxa"/>
            <w:vAlign w:val="bottom"/>
            <w:vMerge w:val="restart"/>
          </w:tcPr>
          <w:p>
            <w:pPr>
              <w:jc w:val="center"/>
              <w:ind w:right="180"/>
              <w:spacing w:after="0"/>
              <w:rPr>
                <w:sz w:val="20"/>
                <w:szCs w:val="20"/>
                <w:color w:val="auto"/>
              </w:rPr>
            </w:pPr>
            <w:r>
              <w:rPr>
                <w:rFonts w:ascii="Arial" w:cs="Arial" w:eastAsia="Arial" w:hAnsi="Arial"/>
                <w:sz w:val="12"/>
                <w:szCs w:val="12"/>
                <w:color w:val="auto"/>
                <w:w w:val="90"/>
              </w:rPr>
              <w:t>(5.6%)</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5"/>
              </w:rPr>
              <w:t>(33.3%)</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0"/>
              </w:rPr>
              <w:t>(33.3%)</w:t>
            </w:r>
          </w:p>
        </w:tc>
        <w:tc>
          <w:tcPr>
            <w:tcW w:w="76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Psychiatric Disorder</w:t>
            </w:r>
          </w:p>
        </w:tc>
        <w:tc>
          <w:tcPr>
            <w:tcW w:w="920" w:type="dxa"/>
            <w:vAlign w:val="bottom"/>
            <w:shd w:val="clear" w:color="auto" w:fill="CCEEFF"/>
          </w:tcPr>
          <w:p>
            <w:pPr>
              <w:jc w:val="center"/>
              <w:ind w:right="16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760" w:type="dxa"/>
            <w:vAlign w:val="bottom"/>
            <w:shd w:val="clear" w:color="auto" w:fill="CCEEFF"/>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shd w:val="clear" w:color="auto" w:fill="CCEEFF"/>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2</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2"/>
              </w:rPr>
              <w:t>2 (5.6%)</w:t>
            </w: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CCEEFF"/>
          </w:tcPr>
          <w:p>
            <w:pPr>
              <w:spacing w:after="0"/>
              <w:rPr>
                <w:sz w:val="7"/>
                <w:szCs w:val="7"/>
                <w:color w:val="auto"/>
              </w:rPr>
            </w:pPr>
          </w:p>
        </w:tc>
        <w:tc>
          <w:tcPr>
            <w:tcW w:w="920" w:type="dxa"/>
            <w:vAlign w:val="bottom"/>
            <w:vMerge w:val="restart"/>
            <w:shd w:val="clear" w:color="auto" w:fill="CCEEFF"/>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0"/>
              </w:rPr>
              <w:t>(66.7%)</w:t>
            </w: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tcPr>
          <w:p>
            <w:pPr>
              <w:ind w:left="200"/>
              <w:spacing w:after="0"/>
              <w:rPr>
                <w:sz w:val="20"/>
                <w:szCs w:val="20"/>
                <w:color w:val="auto"/>
              </w:rPr>
            </w:pPr>
            <w:r>
              <w:rPr>
                <w:rFonts w:ascii="Arial" w:cs="Arial" w:eastAsia="Arial" w:hAnsi="Arial"/>
                <w:sz w:val="12"/>
                <w:szCs w:val="12"/>
                <w:color w:val="auto"/>
              </w:rPr>
              <w:t>Euphoric mood</w:t>
            </w:r>
          </w:p>
        </w:tc>
        <w:tc>
          <w:tcPr>
            <w:tcW w:w="92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760" w:type="dxa"/>
            <w:vAlign w:val="bottom"/>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2</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2"/>
              </w:rPr>
              <w:t>2 (5.6%)</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920" w:type="dxa"/>
            <w:vAlign w:val="bottom"/>
            <w:vMerge w:val="restart"/>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0"/>
              </w:rPr>
              <w:t>(66.7%)</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Skin and Subcutaneous Tissue Disorder</w:t>
            </w:r>
          </w:p>
        </w:tc>
        <w:tc>
          <w:tcPr>
            <w:tcW w:w="920" w:type="dxa"/>
            <w:vAlign w:val="bottom"/>
            <w:shd w:val="clear" w:color="auto" w:fill="CCEEFF"/>
          </w:tcPr>
          <w:p>
            <w:pPr>
              <w:jc w:val="center"/>
              <w:ind w:right="16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760" w:type="dxa"/>
            <w:vAlign w:val="bottom"/>
            <w:shd w:val="clear" w:color="auto" w:fill="CCEEFF"/>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shd w:val="clear" w:color="auto" w:fill="CCEEFF"/>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0"/>
              </w:rPr>
              <w:t>0 (0%)</w:t>
            </w: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CCEEFF"/>
          </w:tcPr>
          <w:p>
            <w:pPr>
              <w:spacing w:after="0"/>
              <w:rPr>
                <w:sz w:val="7"/>
                <w:szCs w:val="7"/>
                <w:color w:val="auto"/>
              </w:rPr>
            </w:pPr>
          </w:p>
        </w:tc>
        <w:tc>
          <w:tcPr>
            <w:tcW w:w="920" w:type="dxa"/>
            <w:vAlign w:val="bottom"/>
            <w:vMerge w:val="restart"/>
            <w:shd w:val="clear" w:color="auto" w:fill="CCEEFF"/>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tcPr>
          <w:p>
            <w:pPr>
              <w:ind w:left="200"/>
              <w:spacing w:after="0"/>
              <w:rPr>
                <w:sz w:val="20"/>
                <w:szCs w:val="20"/>
                <w:color w:val="auto"/>
              </w:rPr>
            </w:pPr>
            <w:r>
              <w:rPr>
                <w:rFonts w:ascii="Arial" w:cs="Arial" w:eastAsia="Arial" w:hAnsi="Arial"/>
                <w:sz w:val="12"/>
                <w:szCs w:val="12"/>
                <w:color w:val="auto"/>
              </w:rPr>
              <w:t>Dermatitis contact</w:t>
            </w:r>
          </w:p>
        </w:tc>
        <w:tc>
          <w:tcPr>
            <w:tcW w:w="92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760" w:type="dxa"/>
            <w:vAlign w:val="bottom"/>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0"/>
              </w:rPr>
              <w:t>0 (0%)</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920" w:type="dxa"/>
            <w:vAlign w:val="bottom"/>
            <w:vMerge w:val="restart"/>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2"/>
          <w:szCs w:val="12"/>
          <w:color w:val="auto"/>
        </w:rPr>
        <w:t>MedDRA = Medical Dictionary for Regulatory Activities; SOC = system organ class.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1b Study (VSG-CL-102)</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to have been dosed for 14 consecutive days. Each subject was given a paper diary and instructed to record daily dose administration, concomitant medications, and AEs during the 14-day treatment period.</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safety and tolerability of AV-101 were assessed by evaluating AEs and by physical examinations, vital signs, and clinical laboratory tests (chemistry and hematology assessments) that were performed on Days 1, 7 (±1 day), and 14. Blood sampling for PK was performed on Days 1, 2, 14, and 15. Additionally, ophthalmological examinations were performed at screening and Day 15. Physical examinations, including vital signs, 12-lead electrocardiograms (ECGs), neurocognitive tests, and ataxia tests were performed on Day 1 and Day 14. Before proceeding to the next higher dose, the following criteria were met: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·Blinded safety and tolerability data were reviewed and assessed as being satisfactory by the investigator and medical monitor.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·PK assessments were reviewed by the blinded Cato Research PK specialist to determine if the PK stopping criteria were reached.</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doses evaluated in this Phase 1b multi-dose study of AV-101 were based on results obtained in a previously conducted Phase 1a single-dose study of AV-101 in healthy adults. The dose-escalation design was consistent with a standard scheme, and careful monitoring occurred to ensure the safety of all subjects.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minimum toxic dose was defined as the dose at which the stopping criteria were reached. For this study, the minimum toxic dose was to be (1) the dose at which a drug-related serious adverse event (“</w:t>
      </w:r>
      <w:r>
        <w:rPr>
          <w:rFonts w:ascii="Arial" w:cs="Arial" w:eastAsia="Arial" w:hAnsi="Arial"/>
          <w:sz w:val="12"/>
          <w:szCs w:val="12"/>
          <w:i w:val="1"/>
          <w:iCs w:val="1"/>
          <w:color w:val="auto"/>
        </w:rPr>
        <w:t>SAE</w:t>
      </w:r>
      <w:r>
        <w:rPr>
          <w:rFonts w:ascii="Arial" w:cs="Arial" w:eastAsia="Arial" w:hAnsi="Arial"/>
          <w:sz w:val="12"/>
          <w:szCs w:val="12"/>
          <w:color w:val="auto"/>
        </w:rPr>
        <w:t>”) occurred in an AV-101–treated subject, or (2) the dose at which a severe AE that warranted stopping the study, as determined by the investigator and medical monitor, occurred in an AV-101–treated subject within a cohort. The minimum toxic dose was not reached in this study.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0" w:name="page51"/>
    <w:bookmarkEnd w:id="5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Table 2. Summary of Adverse Events, Phase-1b</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Dose Cohorts</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6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·360 mg</w:t>
            </w: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60" w:type="dxa"/>
            <w:vAlign w:val="bottom"/>
            <w:gridSpan w:val="2"/>
          </w:tcPr>
          <w:p>
            <w:pPr>
              <w:ind w:left="540"/>
              <w:spacing w:after="0"/>
              <w:rPr>
                <w:sz w:val="20"/>
                <w:szCs w:val="20"/>
                <w:color w:val="auto"/>
              </w:rPr>
            </w:pPr>
            <w:r>
              <w:rPr>
                <w:rFonts w:ascii="Arial" w:cs="Arial" w:eastAsia="Arial" w:hAnsi="Arial"/>
                <w:sz w:val="12"/>
                <w:szCs w:val="12"/>
                <w:b w:val="1"/>
                <w:bCs w:val="1"/>
                <w:color w:val="auto"/>
              </w:rPr>
              <w:t>AV-101</w:t>
            </w:r>
          </w:p>
        </w:tc>
        <w:tc>
          <w:tcPr>
            <w:tcW w:w="1960" w:type="dxa"/>
            <w:vAlign w:val="bottom"/>
            <w:gridSpan w:val="2"/>
          </w:tcPr>
          <w:p>
            <w:pPr>
              <w:ind w:left="900"/>
              <w:spacing w:after="0"/>
              <w:rPr>
                <w:sz w:val="20"/>
                <w:szCs w:val="20"/>
                <w:color w:val="auto"/>
              </w:rPr>
            </w:pPr>
            <w:r>
              <w:rPr>
                <w:rFonts w:ascii="Arial" w:cs="Arial" w:eastAsia="Arial" w:hAnsi="Arial"/>
                <w:sz w:val="12"/>
                <w:szCs w:val="12"/>
                <w:b w:val="1"/>
                <w:bCs w:val="1"/>
                <w:color w:val="auto"/>
              </w:rPr>
              <w:t>·1,080 mg AV-101</w:t>
            </w:r>
          </w:p>
        </w:tc>
        <w:tc>
          <w:tcPr>
            <w:tcW w:w="2880" w:type="dxa"/>
            <w:vAlign w:val="bottom"/>
          </w:tcPr>
          <w:p>
            <w:pPr>
              <w:ind w:left="1160"/>
              <w:spacing w:after="0"/>
              <w:rPr>
                <w:sz w:val="20"/>
                <w:szCs w:val="20"/>
                <w:color w:val="auto"/>
              </w:rPr>
            </w:pPr>
            <w:r>
              <w:rPr>
                <w:rFonts w:ascii="Arial" w:cs="Arial" w:eastAsia="Arial" w:hAnsi="Arial"/>
                <w:sz w:val="12"/>
                <w:szCs w:val="12"/>
                <w:b w:val="1"/>
                <w:bCs w:val="1"/>
                <w:color w:val="auto"/>
              </w:rPr>
              <w:t>·1,440 mg AV-101</w:t>
            </w:r>
          </w:p>
        </w:tc>
        <w:tc>
          <w:tcPr>
            <w:tcW w:w="2160" w:type="dxa"/>
            <w:vAlign w:val="bottom"/>
            <w:gridSpan w:val="2"/>
          </w:tcPr>
          <w:p>
            <w:pPr>
              <w:ind w:left="820"/>
              <w:spacing w:after="0"/>
              <w:rPr>
                <w:sz w:val="20"/>
                <w:szCs w:val="20"/>
                <w:color w:val="auto"/>
              </w:rPr>
            </w:pPr>
            <w:r>
              <w:rPr>
                <w:rFonts w:ascii="Arial" w:cs="Arial" w:eastAsia="Arial" w:hAnsi="Arial"/>
                <w:sz w:val="12"/>
                <w:szCs w:val="12"/>
                <w:b w:val="1"/>
                <w:bCs w:val="1"/>
                <w:color w:val="auto"/>
              </w:rPr>
              <w:t>·Pooled Placebo</w:t>
            </w: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60" w:type="dxa"/>
            <w:vAlign w:val="bottom"/>
            <w:gridSpan w:val="2"/>
          </w:tcPr>
          <w:p>
            <w:pPr>
              <w:ind w:left="540"/>
              <w:spacing w:after="0"/>
              <w:rPr>
                <w:sz w:val="20"/>
                <w:szCs w:val="20"/>
                <w:color w:val="auto"/>
              </w:rPr>
            </w:pPr>
            <w:r>
              <w:rPr>
                <w:rFonts w:ascii="Arial" w:cs="Arial" w:eastAsia="Arial" w:hAnsi="Arial"/>
                <w:sz w:val="12"/>
                <w:szCs w:val="12"/>
                <w:b w:val="1"/>
                <w:bCs w:val="1"/>
                <w:color w:val="auto"/>
              </w:rPr>
              <w:t>·(N = 12)</w:t>
            </w:r>
          </w:p>
        </w:tc>
        <w:tc>
          <w:tcPr>
            <w:tcW w:w="1960" w:type="dxa"/>
            <w:vAlign w:val="bottom"/>
            <w:gridSpan w:val="2"/>
          </w:tcPr>
          <w:p>
            <w:pPr>
              <w:ind w:left="900"/>
              <w:spacing w:after="0"/>
              <w:rPr>
                <w:sz w:val="20"/>
                <w:szCs w:val="20"/>
                <w:color w:val="auto"/>
              </w:rPr>
            </w:pPr>
            <w:r>
              <w:rPr>
                <w:rFonts w:ascii="Arial" w:cs="Arial" w:eastAsia="Arial" w:hAnsi="Arial"/>
                <w:sz w:val="12"/>
                <w:szCs w:val="12"/>
                <w:b w:val="1"/>
                <w:bCs w:val="1"/>
                <w:color w:val="auto"/>
              </w:rPr>
              <w:t>·(N = 13)</w:t>
            </w:r>
          </w:p>
        </w:tc>
        <w:tc>
          <w:tcPr>
            <w:tcW w:w="2880" w:type="dxa"/>
            <w:vAlign w:val="bottom"/>
          </w:tcPr>
          <w:p>
            <w:pPr>
              <w:ind w:left="1160"/>
              <w:spacing w:after="0"/>
              <w:rPr>
                <w:sz w:val="20"/>
                <w:szCs w:val="20"/>
                <w:color w:val="auto"/>
              </w:rPr>
            </w:pPr>
            <w:r>
              <w:rPr>
                <w:rFonts w:ascii="Arial" w:cs="Arial" w:eastAsia="Arial" w:hAnsi="Arial"/>
                <w:sz w:val="12"/>
                <w:szCs w:val="12"/>
                <w:b w:val="1"/>
                <w:bCs w:val="1"/>
                <w:color w:val="auto"/>
              </w:rPr>
              <w:t>·(N = 12)</w:t>
            </w:r>
          </w:p>
        </w:tc>
        <w:tc>
          <w:tcPr>
            <w:tcW w:w="2160" w:type="dxa"/>
            <w:vAlign w:val="bottom"/>
            <w:gridSpan w:val="2"/>
          </w:tcPr>
          <w:p>
            <w:pPr>
              <w:ind w:left="820"/>
              <w:spacing w:after="0"/>
              <w:rPr>
                <w:sz w:val="20"/>
                <w:szCs w:val="20"/>
                <w:color w:val="auto"/>
              </w:rPr>
            </w:pPr>
            <w:r>
              <w:rPr>
                <w:rFonts w:ascii="Arial" w:cs="Arial" w:eastAsia="Arial" w:hAnsi="Arial"/>
                <w:sz w:val="12"/>
                <w:szCs w:val="12"/>
                <w:b w:val="1"/>
                <w:bCs w:val="1"/>
                <w:color w:val="auto"/>
              </w:rPr>
              <w:t>·(N = 13)</w:t>
            </w:r>
          </w:p>
        </w:tc>
      </w:tr>
      <w:tr>
        <w:trPr>
          <w:trHeight w:val="157"/>
        </w:trPr>
        <w:tc>
          <w:tcPr>
            <w:tcW w:w="20" w:type="dxa"/>
            <w:vAlign w:val="bottom"/>
          </w:tcPr>
          <w:p>
            <w:pPr>
              <w:spacing w:after="0"/>
              <w:rPr>
                <w:sz w:val="13"/>
                <w:szCs w:val="13"/>
                <w:color w:val="auto"/>
              </w:rPr>
            </w:pPr>
          </w:p>
        </w:tc>
        <w:tc>
          <w:tcPr>
            <w:tcW w:w="24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ind w:left="540"/>
              <w:spacing w:after="0"/>
              <w:rPr>
                <w:sz w:val="20"/>
                <w:szCs w:val="20"/>
                <w:color w:val="auto"/>
              </w:rPr>
            </w:pPr>
            <w:r>
              <w:rPr>
                <w:rFonts w:ascii="Arial" w:cs="Arial" w:eastAsia="Arial" w:hAnsi="Arial"/>
                <w:sz w:val="12"/>
                <w:szCs w:val="12"/>
                <w:b w:val="1"/>
                <w:bCs w:val="1"/>
                <w:color w:val="auto"/>
              </w:rPr>
              <w:t>[n (%)]</w:t>
            </w:r>
          </w:p>
        </w:tc>
        <w:tc>
          <w:tcPr>
            <w:tcW w:w="1960" w:type="dxa"/>
            <w:vAlign w:val="bottom"/>
            <w:tcBorders>
              <w:bottom w:val="single" w:sz="8" w:color="auto"/>
            </w:tcBorders>
            <w:gridSpan w:val="2"/>
          </w:tcPr>
          <w:p>
            <w:pPr>
              <w:ind w:left="900"/>
              <w:spacing w:after="0"/>
              <w:rPr>
                <w:sz w:val="20"/>
                <w:szCs w:val="20"/>
                <w:color w:val="auto"/>
              </w:rPr>
            </w:pPr>
            <w:r>
              <w:rPr>
                <w:rFonts w:ascii="Arial" w:cs="Arial" w:eastAsia="Arial" w:hAnsi="Arial"/>
                <w:sz w:val="12"/>
                <w:szCs w:val="12"/>
                <w:b w:val="1"/>
                <w:bCs w:val="1"/>
                <w:color w:val="auto"/>
              </w:rPr>
              <w:t>[n (%)]</w:t>
            </w:r>
          </w:p>
        </w:tc>
        <w:tc>
          <w:tcPr>
            <w:tcW w:w="2880" w:type="dxa"/>
            <w:vAlign w:val="bottom"/>
            <w:tcBorders>
              <w:bottom w:val="single" w:sz="8" w:color="auto"/>
            </w:tcBorders>
          </w:tcPr>
          <w:p>
            <w:pPr>
              <w:ind w:left="1160"/>
              <w:spacing w:after="0"/>
              <w:rPr>
                <w:sz w:val="20"/>
                <w:szCs w:val="20"/>
                <w:color w:val="auto"/>
              </w:rPr>
            </w:pPr>
            <w:r>
              <w:rPr>
                <w:rFonts w:ascii="Arial" w:cs="Arial" w:eastAsia="Arial" w:hAnsi="Arial"/>
                <w:sz w:val="12"/>
                <w:szCs w:val="12"/>
                <w:b w:val="1"/>
                <w:bCs w:val="1"/>
                <w:color w:val="auto"/>
              </w:rPr>
              <w:t>[n (%)]</w:t>
            </w:r>
          </w:p>
        </w:tc>
        <w:tc>
          <w:tcPr>
            <w:tcW w:w="2160" w:type="dxa"/>
            <w:vAlign w:val="bottom"/>
            <w:tcBorders>
              <w:bottom w:val="single" w:sz="8" w:color="auto"/>
            </w:tcBorders>
            <w:gridSpan w:val="2"/>
          </w:tcPr>
          <w:p>
            <w:pPr>
              <w:ind w:left="820"/>
              <w:spacing w:after="0"/>
              <w:rPr>
                <w:sz w:val="20"/>
                <w:szCs w:val="20"/>
                <w:color w:val="auto"/>
              </w:rPr>
            </w:pPr>
            <w:r>
              <w:rPr>
                <w:rFonts w:ascii="Arial" w:cs="Arial" w:eastAsia="Arial" w:hAnsi="Arial"/>
                <w:sz w:val="12"/>
                <w:szCs w:val="12"/>
                <w:b w:val="1"/>
                <w:bCs w:val="1"/>
                <w:color w:val="auto"/>
              </w:rPr>
              <w:t>[n (%)]</w:t>
            </w: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Borders>
              <w:bottom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 Number of AEs</w:t>
            </w:r>
          </w:p>
        </w:tc>
        <w:tc>
          <w:tcPr>
            <w:tcW w:w="2060" w:type="dxa"/>
            <w:vAlign w:val="bottom"/>
            <w:tcBorders>
              <w:bottom w:val="single" w:sz="8" w:color="auto"/>
            </w:tcBorders>
            <w:gridSpan w:val="2"/>
            <w:shd w:val="clear" w:color="auto" w:fill="CCEEFF"/>
          </w:tcPr>
          <w:p>
            <w:pPr>
              <w:ind w:left="580"/>
              <w:spacing w:after="0" w:line="120" w:lineRule="exact"/>
              <w:rPr>
                <w:sz w:val="20"/>
                <w:szCs w:val="20"/>
                <w:color w:val="auto"/>
              </w:rPr>
            </w:pPr>
            <w:r>
              <w:rPr>
                <w:rFonts w:ascii="Arial" w:cs="Arial" w:eastAsia="Arial" w:hAnsi="Arial"/>
                <w:sz w:val="12"/>
                <w:szCs w:val="12"/>
                <w:color w:val="auto"/>
              </w:rPr>
              <w:t>● 16</w:t>
            </w:r>
          </w:p>
        </w:tc>
        <w:tc>
          <w:tcPr>
            <w:tcW w:w="1960" w:type="dxa"/>
            <w:vAlign w:val="bottom"/>
            <w:tcBorders>
              <w:bottom w:val="single" w:sz="8" w:color="auto"/>
            </w:tcBorders>
            <w:gridSpan w:val="2"/>
            <w:shd w:val="clear" w:color="auto" w:fill="CCEEFF"/>
          </w:tcPr>
          <w:p>
            <w:pPr>
              <w:ind w:left="960"/>
              <w:spacing w:after="0" w:line="120" w:lineRule="exact"/>
              <w:rPr>
                <w:sz w:val="20"/>
                <w:szCs w:val="20"/>
                <w:color w:val="auto"/>
              </w:rPr>
            </w:pPr>
            <w:r>
              <w:rPr>
                <w:rFonts w:ascii="Arial" w:cs="Arial" w:eastAsia="Arial" w:hAnsi="Arial"/>
                <w:sz w:val="12"/>
                <w:szCs w:val="12"/>
                <w:color w:val="auto"/>
              </w:rPr>
              <w:t>● 14</w:t>
            </w:r>
          </w:p>
        </w:tc>
        <w:tc>
          <w:tcPr>
            <w:tcW w:w="2880" w:type="dxa"/>
            <w:vAlign w:val="bottom"/>
            <w:tcBorders>
              <w:bottom w:val="single" w:sz="8" w:color="auto"/>
            </w:tcBorders>
            <w:shd w:val="clear" w:color="auto" w:fill="CCEEFF"/>
          </w:tcPr>
          <w:p>
            <w:pPr>
              <w:ind w:left="1200"/>
              <w:spacing w:after="0" w:line="120" w:lineRule="exact"/>
              <w:rPr>
                <w:sz w:val="20"/>
                <w:szCs w:val="20"/>
                <w:color w:val="auto"/>
              </w:rPr>
            </w:pPr>
            <w:r>
              <w:rPr>
                <w:rFonts w:ascii="Arial" w:cs="Arial" w:eastAsia="Arial" w:hAnsi="Arial"/>
                <w:sz w:val="12"/>
                <w:szCs w:val="12"/>
                <w:color w:val="auto"/>
              </w:rPr>
              <w:t>● 10</w:t>
            </w:r>
          </w:p>
        </w:tc>
        <w:tc>
          <w:tcPr>
            <w:tcW w:w="2160" w:type="dxa"/>
            <w:vAlign w:val="bottom"/>
            <w:tcBorders>
              <w:bottom w:val="single" w:sz="8" w:color="auto"/>
            </w:tcBorders>
            <w:gridSpan w:val="2"/>
            <w:shd w:val="clear" w:color="auto" w:fill="CCEEFF"/>
          </w:tcPr>
          <w:p>
            <w:pPr>
              <w:ind w:left="860"/>
              <w:spacing w:after="0" w:line="120" w:lineRule="exact"/>
              <w:rPr>
                <w:sz w:val="20"/>
                <w:szCs w:val="20"/>
                <w:color w:val="auto"/>
              </w:rPr>
            </w:pPr>
            <w:r>
              <w:rPr>
                <w:rFonts w:ascii="Arial" w:cs="Arial" w:eastAsia="Arial" w:hAnsi="Arial"/>
                <w:sz w:val="12"/>
                <w:szCs w:val="12"/>
                <w:color w:val="auto"/>
              </w:rPr>
              <w:t>● 17</w:t>
            </w:r>
          </w:p>
        </w:tc>
      </w:tr>
      <w:tr>
        <w:trPr>
          <w:trHeight w:val="142"/>
        </w:trPr>
        <w:tc>
          <w:tcPr>
            <w:tcW w:w="20" w:type="dxa"/>
            <w:vAlign w:val="bottom"/>
          </w:tcPr>
          <w:p>
            <w:pPr>
              <w:spacing w:after="0"/>
              <w:rPr>
                <w:sz w:val="12"/>
                <w:szCs w:val="12"/>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Number of subjects with any AE</w:t>
            </w: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w w:val="92"/>
              </w:rPr>
              <w:t>● 9</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(75.0%)</w:t>
            </w:r>
          </w:p>
        </w:tc>
        <w:tc>
          <w:tcPr>
            <w:tcW w:w="112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w w:val="80"/>
              </w:rPr>
              <w:t>● 8</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(61.5%)</w:t>
            </w:r>
          </w:p>
        </w:tc>
        <w:tc>
          <w:tcPr>
            <w:tcW w:w="2880" w:type="dxa"/>
            <w:vAlign w:val="bottom"/>
            <w:tcBorders>
              <w:bottom w:val="single" w:sz="8" w:color="auto"/>
            </w:tcBorders>
          </w:tcPr>
          <w:p>
            <w:pPr>
              <w:ind w:left="1200"/>
              <w:spacing w:after="0"/>
              <w:rPr>
                <w:sz w:val="20"/>
                <w:szCs w:val="20"/>
                <w:color w:val="auto"/>
              </w:rPr>
            </w:pPr>
            <w:r>
              <w:rPr>
                <w:rFonts w:ascii="Arial" w:cs="Arial" w:eastAsia="Arial" w:hAnsi="Arial"/>
                <w:sz w:val="12"/>
                <w:szCs w:val="12"/>
                <w:color w:val="auto"/>
              </w:rPr>
              <w:t>● 7 (58.3%)</w:t>
            </w:r>
          </w:p>
        </w:tc>
        <w:tc>
          <w:tcPr>
            <w:tcW w:w="2160" w:type="dxa"/>
            <w:vAlign w:val="bottom"/>
            <w:tcBorders>
              <w:bottom w:val="single" w:sz="8" w:color="auto"/>
            </w:tcBorders>
            <w:gridSpan w:val="2"/>
          </w:tcPr>
          <w:p>
            <w:pPr>
              <w:ind w:left="860"/>
              <w:spacing w:after="0"/>
              <w:rPr>
                <w:sz w:val="20"/>
                <w:szCs w:val="20"/>
                <w:color w:val="auto"/>
              </w:rPr>
            </w:pPr>
            <w:r>
              <w:rPr>
                <w:rFonts w:ascii="Arial" w:cs="Arial" w:eastAsia="Arial" w:hAnsi="Arial"/>
                <w:sz w:val="12"/>
                <w:szCs w:val="12"/>
                <w:color w:val="auto"/>
              </w:rPr>
              <w:t>● 10 (76.9%)</w:t>
            </w:r>
          </w:p>
        </w:tc>
      </w:tr>
      <w:tr>
        <w:trPr>
          <w:trHeight w:val="142"/>
        </w:trPr>
        <w:tc>
          <w:tcPr>
            <w:tcW w:w="20" w:type="dxa"/>
            <w:vAlign w:val="bottom"/>
          </w:tcPr>
          <w:p>
            <w:pPr>
              <w:spacing w:after="0"/>
              <w:rPr>
                <w:sz w:val="12"/>
                <w:szCs w:val="12"/>
                <w:color w:val="auto"/>
              </w:rPr>
            </w:pPr>
          </w:p>
        </w:tc>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 Number of SAEs</w:t>
            </w: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2"/>
                <w:szCs w:val="12"/>
                <w:color w:val="auto"/>
                <w:w w:val="92"/>
              </w:rPr>
              <w:t>● 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(0%)</w:t>
            </w:r>
          </w:p>
        </w:tc>
        <w:tc>
          <w:tcPr>
            <w:tcW w:w="11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2"/>
                <w:szCs w:val="12"/>
                <w:color w:val="auto"/>
                <w:w w:val="80"/>
              </w:rPr>
              <w:t>● 0</w:t>
            </w: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(0%)</w:t>
            </w:r>
          </w:p>
        </w:tc>
        <w:tc>
          <w:tcPr>
            <w:tcW w:w="28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2"/>
                <w:szCs w:val="12"/>
                <w:color w:val="auto"/>
              </w:rPr>
              <w:t>● 0 (0%)</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2"/>
                <w:szCs w:val="12"/>
                <w:color w:val="auto"/>
                <w:w w:val="92"/>
              </w:rPr>
              <w:t>● 0</w:t>
            </w: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(0%)</w:t>
            </w:r>
          </w:p>
        </w:tc>
      </w:tr>
      <w:tr>
        <w:trPr>
          <w:trHeight w:val="142"/>
        </w:trPr>
        <w:tc>
          <w:tcPr>
            <w:tcW w:w="20" w:type="dxa"/>
            <w:vAlign w:val="bottom"/>
          </w:tcPr>
          <w:p>
            <w:pPr>
              <w:spacing w:after="0"/>
              <w:rPr>
                <w:sz w:val="12"/>
                <w:szCs w:val="12"/>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Number of AEs resulting in death</w:t>
            </w: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w w:val="92"/>
              </w:rPr>
              <w:t>● 0</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(0%)</w:t>
            </w:r>
          </w:p>
        </w:tc>
        <w:tc>
          <w:tcPr>
            <w:tcW w:w="112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w w:val="80"/>
              </w:rPr>
              <w:t>● 0</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(0%)</w:t>
            </w:r>
          </w:p>
        </w:tc>
        <w:tc>
          <w:tcPr>
            <w:tcW w:w="2880" w:type="dxa"/>
            <w:vAlign w:val="bottom"/>
            <w:tcBorders>
              <w:bottom w:val="single" w:sz="8" w:color="auto"/>
            </w:tcBorders>
          </w:tcPr>
          <w:p>
            <w:pPr>
              <w:ind w:left="1200"/>
              <w:spacing w:after="0"/>
              <w:rPr>
                <w:sz w:val="20"/>
                <w:szCs w:val="20"/>
                <w:color w:val="auto"/>
              </w:rPr>
            </w:pPr>
            <w:r>
              <w:rPr>
                <w:rFonts w:ascii="Arial" w:cs="Arial" w:eastAsia="Arial" w:hAnsi="Arial"/>
                <w:sz w:val="12"/>
                <w:szCs w:val="12"/>
                <w:color w:val="auto"/>
              </w:rPr>
              <w:t>● 0 (0%)</w:t>
            </w: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2"/>
                <w:szCs w:val="12"/>
                <w:color w:val="auto"/>
                <w:w w:val="92"/>
              </w:rPr>
              <w:t>● 0</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(0%)</w:t>
            </w:r>
          </w:p>
        </w:tc>
      </w:tr>
      <w:tr>
        <w:trPr>
          <w:trHeight w:val="133"/>
        </w:trPr>
        <w:tc>
          <w:tcPr>
            <w:tcW w:w="20" w:type="dxa"/>
            <w:vAlign w:val="bottom"/>
          </w:tcPr>
          <w:p>
            <w:pPr>
              <w:spacing w:after="0"/>
              <w:rPr>
                <w:sz w:val="11"/>
                <w:szCs w:val="11"/>
                <w:color w:val="auto"/>
              </w:rPr>
            </w:pPr>
          </w:p>
        </w:tc>
        <w:tc>
          <w:tcPr>
            <w:tcW w:w="2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Number of AEs leading to discontinuation of</w:t>
            </w:r>
          </w:p>
        </w:tc>
        <w:tc>
          <w:tcPr>
            <w:tcW w:w="760" w:type="dxa"/>
            <w:vAlign w:val="bottom"/>
            <w:shd w:val="clear" w:color="auto" w:fill="CCEEFF"/>
          </w:tcPr>
          <w:p>
            <w:pPr>
              <w:ind w:left="580"/>
              <w:spacing w:after="0" w:line="133" w:lineRule="exact"/>
              <w:rPr>
                <w:sz w:val="20"/>
                <w:szCs w:val="20"/>
                <w:color w:val="auto"/>
              </w:rPr>
            </w:pPr>
            <w:r>
              <w:rPr>
                <w:rFonts w:ascii="Arial" w:cs="Arial" w:eastAsia="Arial" w:hAnsi="Arial"/>
                <w:sz w:val="12"/>
                <w:szCs w:val="12"/>
                <w:color w:val="auto"/>
                <w:w w:val="92"/>
              </w:rPr>
              <w:t>● 0</w:t>
            </w:r>
          </w:p>
        </w:tc>
        <w:tc>
          <w:tcPr>
            <w:tcW w:w="130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(0%)</w:t>
            </w:r>
          </w:p>
        </w:tc>
        <w:tc>
          <w:tcPr>
            <w:tcW w:w="1120" w:type="dxa"/>
            <w:vAlign w:val="bottom"/>
            <w:shd w:val="clear" w:color="auto" w:fill="CCEEFF"/>
          </w:tcPr>
          <w:p>
            <w:pPr>
              <w:ind w:left="960"/>
              <w:spacing w:after="0" w:line="133" w:lineRule="exact"/>
              <w:rPr>
                <w:sz w:val="20"/>
                <w:szCs w:val="20"/>
                <w:color w:val="auto"/>
              </w:rPr>
            </w:pPr>
            <w:r>
              <w:rPr>
                <w:rFonts w:ascii="Arial" w:cs="Arial" w:eastAsia="Arial" w:hAnsi="Arial"/>
                <w:sz w:val="12"/>
                <w:szCs w:val="12"/>
                <w:color w:val="auto"/>
                <w:w w:val="80"/>
              </w:rPr>
              <w:t>● 0</w:t>
            </w:r>
          </w:p>
        </w:tc>
        <w:tc>
          <w:tcPr>
            <w:tcW w:w="84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(0%)</w:t>
            </w:r>
          </w:p>
        </w:tc>
        <w:tc>
          <w:tcPr>
            <w:tcW w:w="2880" w:type="dxa"/>
            <w:vAlign w:val="bottom"/>
            <w:shd w:val="clear" w:color="auto" w:fill="CCEEFF"/>
          </w:tcPr>
          <w:p>
            <w:pPr>
              <w:ind w:left="1200"/>
              <w:spacing w:after="0" w:line="133" w:lineRule="exact"/>
              <w:rPr>
                <w:sz w:val="20"/>
                <w:szCs w:val="20"/>
                <w:color w:val="auto"/>
              </w:rPr>
            </w:pPr>
            <w:r>
              <w:rPr>
                <w:rFonts w:ascii="Arial" w:cs="Arial" w:eastAsia="Arial" w:hAnsi="Arial"/>
                <w:sz w:val="12"/>
                <w:szCs w:val="12"/>
                <w:color w:val="auto"/>
              </w:rPr>
              <w:t>● 0 (0%)</w:t>
            </w:r>
          </w:p>
        </w:tc>
        <w:tc>
          <w:tcPr>
            <w:tcW w:w="1040" w:type="dxa"/>
            <w:vAlign w:val="bottom"/>
            <w:shd w:val="clear" w:color="auto" w:fill="CCEEFF"/>
          </w:tcPr>
          <w:p>
            <w:pPr>
              <w:ind w:left="860"/>
              <w:spacing w:after="0" w:line="133" w:lineRule="exact"/>
              <w:rPr>
                <w:sz w:val="20"/>
                <w:szCs w:val="20"/>
                <w:color w:val="auto"/>
              </w:rPr>
            </w:pPr>
            <w:r>
              <w:rPr>
                <w:rFonts w:ascii="Arial" w:cs="Arial" w:eastAsia="Arial" w:hAnsi="Arial"/>
                <w:sz w:val="12"/>
                <w:szCs w:val="12"/>
                <w:color w:val="auto"/>
                <w:w w:val="92"/>
              </w:rPr>
              <w:t>● 1</w:t>
            </w:r>
          </w:p>
        </w:tc>
        <w:tc>
          <w:tcPr>
            <w:tcW w:w="11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(7.7%)</w:t>
            </w:r>
          </w:p>
        </w:tc>
      </w:tr>
      <w:tr>
        <w:trPr>
          <w:trHeight w:val="193"/>
        </w:trPr>
        <w:tc>
          <w:tcPr>
            <w:tcW w:w="20" w:type="dxa"/>
            <w:vAlign w:val="bottom"/>
          </w:tcPr>
          <w:p>
            <w:pPr>
              <w:spacing w:after="0"/>
              <w:rPr>
                <w:sz w:val="16"/>
                <w:szCs w:val="16"/>
                <w:color w:val="auto"/>
              </w:rPr>
            </w:pPr>
          </w:p>
        </w:tc>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study drug</w:t>
            </w:r>
          </w:p>
        </w:tc>
        <w:tc>
          <w:tcPr>
            <w:tcW w:w="7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8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r>
    </w:tbl>
    <w:p>
      <w:pPr>
        <w:ind w:left="320"/>
        <w:spacing w:after="0"/>
        <w:rPr>
          <w:sz w:val="20"/>
          <w:szCs w:val="20"/>
          <w:color w:val="auto"/>
        </w:rPr>
      </w:pPr>
      <w:r>
        <w:rPr>
          <w:rFonts w:ascii="Arial" w:cs="Arial" w:eastAsia="Arial" w:hAnsi="Arial"/>
          <w:sz w:val="12"/>
          <w:szCs w:val="12"/>
          <w:color w:val="auto"/>
        </w:rPr>
        <w:t>AE = adverse event; SAE = serious adverse event.</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majority of the reported AEs were nervous system disorders (23 subjects, 46% of subjects) and gastrointestinal disorders (7 subjects, 14.0%). The remaining AEs were classified as eye disorders (3 subjects, 6.0%); psychiatric disorders (3 subjects, 6.0%); respiratory, thoracic, and mediastinal disorders (3, 6.0%); skin and subcutaneous tissue disorders (3 subjects, 6.0%); general disorders and administration site conditions (2 subjects, 4.0%); cardiac disorders (1 subject, 2.0%); infections and infestations (1 subject, 2.0%); musculoskeletal and connective tissue disorders (1 subject, 2.0%); and renal disorders (1 subject, 2.0%).</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distribution of AEs by System Organ Class was similar among the cohorts with the exception of headaches and gastrointestinal disorders. Eight of the 18 (44.4%) reported headaches were in the placebo group, 6 (33.3%) were in the 1,080-mg group, 3 (16.7%) were in the 1,440-mg group, and 1 (5.6%) was in the 360-mg group. Three (42.9%) of the 7 reported gastrointestinal disorders were in the 360-mg group, 2 (28.6%) were in the placebo group, 1 (14.3%) was in the 1,080-mg group, and 1 (14.3%) was in the 1,440-mg group.</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determination of the relationship of the AE to the study drug was made when the data were blinded. Ten of the 15 AEs (66.7%) that occurred in the 360-mg AV-101 group, 10 of the 14 AEs (71.4%) that occurred in the 1,040-mg AV-101 group, 7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8 (14.0%) were of moderate intensity. There were 2 moderate intensity AEs in the 360-mg AV-101 group; 1 was unrelated pain in the right foot, and 1 was a possibly related headache. All other moderate AEs occurred in the placebo group and included nausea or vomiting (2 AEs), headache (2 AEs), and rash around the neck (1 AE). No severe AEs were reported.</w:t>
      </w:r>
    </w:p>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Even though these safety studies were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1b Pharmacokinetics Summary</w:t>
      </w:r>
    </w:p>
    <w:p>
      <w:pPr>
        <w:spacing w:after="0" w:line="150"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2"/>
          <w:szCs w:val="12"/>
          <w:color w:val="auto"/>
        </w:rPr>
        <w:t>Concentration-time data were obtained after dosing of the three cohorts. Plasma concentrations of 4-Cl-KYN (AV-101) and the metabolite, 7-Cl-KYNA, were obtained from subjects that received AV-101. PK parameters were calculated by using WinNonlin Pro Version 5.3. Parameters calculated included Cmax, Tmax, AUC</w:t>
      </w:r>
      <w:r>
        <w:rPr>
          <w:rFonts w:ascii="Arial" w:cs="Arial" w:eastAsia="Arial" w:hAnsi="Arial"/>
          <w:sz w:val="16"/>
          <w:szCs w:val="16"/>
          <w:color w:val="auto"/>
          <w:vertAlign w:val="subscript"/>
        </w:rPr>
        <w:t>0-t</w:t>
      </w:r>
      <w:r>
        <w:rPr>
          <w:rFonts w:ascii="Arial" w:cs="Arial" w:eastAsia="Arial" w:hAnsi="Arial"/>
          <w:sz w:val="12"/>
          <w:szCs w:val="12"/>
          <w:color w:val="auto"/>
        </w:rPr>
        <w:t>, AUC</w:t>
      </w:r>
      <w:r>
        <w:rPr>
          <w:rFonts w:ascii="Arial" w:cs="Arial" w:eastAsia="Arial" w:hAnsi="Arial"/>
          <w:sz w:val="16"/>
          <w:szCs w:val="16"/>
          <w:color w:val="auto"/>
          <w:vertAlign w:val="subscript"/>
        </w:rPr>
        <w:t>0-∞</w:t>
      </w:r>
      <w:r>
        <w:rPr>
          <w:rFonts w:ascii="Arial" w:cs="Arial" w:eastAsia="Arial" w:hAnsi="Arial"/>
          <w:sz w:val="12"/>
          <w:szCs w:val="12"/>
          <w:color w:val="auto"/>
        </w:rPr>
        <w:t>, and t</w:t>
      </w:r>
      <w:r>
        <w:rPr>
          <w:rFonts w:ascii="Arial" w:cs="Arial" w:eastAsia="Arial" w:hAnsi="Arial"/>
          <w:sz w:val="16"/>
          <w:szCs w:val="16"/>
          <w:color w:val="auto"/>
          <w:vertAlign w:val="subscript"/>
        </w:rPr>
        <w:t>1/2</w:t>
      </w:r>
      <w:r>
        <w:rPr>
          <w:rFonts w:ascii="Arial" w:cs="Arial" w:eastAsia="Arial" w:hAnsi="Arial"/>
          <w:sz w:val="12"/>
          <w:szCs w:val="12"/>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1" w:name="page52"/>
    <w:bookmarkEnd w:id="5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2"/>
          <w:szCs w:val="12"/>
          <w:color w:val="auto"/>
        </w:rPr>
        <w:t>Plasma concentration-time profiles obtained for 4-Cl-KYN after administration of once-daily oral doses of 360, 1,080, or 1,440 mg AV-101 were consistent with rapid absorption of the oral dose and first-order elimination of both 4-Cl-KYN and 7-Cl-KYNA, with evidence of multicompartment kinetics, particularly for the metabolite 7-Cl-KYNA. Several subjects had plasma concentration-time profiles with a last measurable sample that appeared to be an outlier or suggested multicompartment kinetics, making it challenging to identify a terminal log-linear elimination phase. Particularly for 7-Cl-KYNA, using the last two measurable samples to calculate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resulted in unrealistic values for some subjects.</w:t>
      </w:r>
    </w:p>
    <w:p>
      <w:pPr>
        <w:spacing w:after="0" w:line="87" w:lineRule="exact"/>
        <w:rPr>
          <w:sz w:val="20"/>
          <w:szCs w:val="20"/>
          <w:color w:val="auto"/>
        </w:rPr>
      </w:pPr>
    </w:p>
    <w:p>
      <w:pPr>
        <w:jc w:val="both"/>
        <w:ind w:firstLine="540"/>
        <w:spacing w:after="0" w:line="230" w:lineRule="auto"/>
        <w:rPr>
          <w:sz w:val="20"/>
          <w:szCs w:val="20"/>
          <w:color w:val="auto"/>
        </w:rPr>
      </w:pPr>
      <w:r>
        <w:rPr>
          <w:rFonts w:ascii="Arial" w:cs="Arial" w:eastAsia="Arial" w:hAnsi="Arial"/>
          <w:sz w:val="12"/>
          <w:szCs w:val="12"/>
          <w:color w:val="auto"/>
        </w:rPr>
        <w:t>Plasma concentration-time profiles for 4-Cl-KYN were more consistently single compartment, but several had a subtle multicompartment appearance. To be consistent in the calculation of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and to report a meaningful value, the final three samples with measurable concentrations were used to calculate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for subjects for whom those samples appeared to be log-linear. Otherwise, the last sample was essentially treated as an outlier, and the prior samples in the log-linear phase were used to calculate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(these samples had a higher coefficient of determination value than the last three samples). In addition, the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reported are calculated using the predicted last value rather than observed.</w:t>
      </w:r>
    </w:p>
    <w:p>
      <w:pPr>
        <w:spacing w:after="0" w:line="86" w:lineRule="exact"/>
        <w:rPr>
          <w:sz w:val="20"/>
          <w:szCs w:val="20"/>
          <w:color w:val="auto"/>
        </w:rPr>
      </w:pPr>
    </w:p>
    <w:p>
      <w:pPr>
        <w:jc w:val="both"/>
        <w:ind w:right="20" w:firstLine="540"/>
        <w:spacing w:after="0" w:line="297" w:lineRule="auto"/>
        <w:rPr>
          <w:sz w:val="20"/>
          <w:szCs w:val="20"/>
          <w:color w:val="auto"/>
        </w:rPr>
      </w:pPr>
      <w:r>
        <w:rPr>
          <w:rFonts w:ascii="Arial" w:cs="Arial" w:eastAsia="Arial" w:hAnsi="Arial"/>
          <w:sz w:val="12"/>
          <w:szCs w:val="12"/>
          <w:color w:val="auto"/>
        </w:rPr>
        <w:t>An absolute bioavailability evaluation is not possible from the data; however, an estimate of exposure can be done by comparing the AUC at the same doses. The mean AUC</w:t>
      </w:r>
      <w:r>
        <w:rPr>
          <w:rFonts w:ascii="Arial" w:cs="Arial" w:eastAsia="Arial" w:hAnsi="Arial"/>
          <w:sz w:val="16"/>
          <w:szCs w:val="16"/>
          <w:color w:val="auto"/>
          <w:vertAlign w:val="subscript"/>
        </w:rPr>
        <w:t>0-∞</w:t>
      </w:r>
      <w:r>
        <w:rPr>
          <w:rFonts w:ascii="Arial" w:cs="Arial" w:eastAsia="Arial" w:hAnsi="Arial"/>
          <w:sz w:val="12"/>
          <w:szCs w:val="12"/>
          <w:color w:val="auto"/>
        </w:rPr>
        <w:t>values in the Phase 1b study were higher at all three doses than seen in Phase 1a study, suggesting similar or even higher bioavailability than that in the Phase 1a study, i.e ≥ 31%.</w:t>
      </w:r>
    </w:p>
    <w:p>
      <w:pPr>
        <w:spacing w:after="0" w:line="92" w:lineRule="exact"/>
        <w:rPr>
          <w:sz w:val="20"/>
          <w:szCs w:val="20"/>
          <w:color w:val="auto"/>
        </w:rPr>
      </w:pPr>
    </w:p>
    <w:p>
      <w:pPr>
        <w:jc w:val="both"/>
        <w:ind w:firstLine="540"/>
        <w:spacing w:after="0" w:line="323" w:lineRule="auto"/>
        <w:rPr>
          <w:sz w:val="20"/>
          <w:szCs w:val="20"/>
          <w:color w:val="auto"/>
        </w:rPr>
      </w:pPr>
      <w:r>
        <w:rPr>
          <w:rFonts w:ascii="Arial" w:cs="Arial" w:eastAsia="Arial" w:hAnsi="Arial"/>
          <w:sz w:val="11"/>
          <w:szCs w:val="11"/>
          <w:color w:val="auto"/>
        </w:rPr>
        <w:t>In conclusion, the PK of AV-101 was fully characterized across the range of doses in this study. Plasma concentration-time profiles obtained for 4-Cl-KYN (AV-101) and 7-Cl-KYNA after administration of a single and multiple, once daily oral doses of 360, 1,080, or 1,440 mg were consistent with rapid absorption of the oral dose and first-order elimination of both analytes, with evidence of multi-compartment kinetics, particularly for the metabolite 7-Cl-KYNA.</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1 - Overall Safety Conclusions</w:t>
      </w:r>
    </w:p>
    <w:p>
      <w:pPr>
        <w:spacing w:after="0" w:line="150"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2"/>
          <w:szCs w:val="12"/>
          <w:color w:val="auto"/>
        </w:rPr>
        <w:t>The Phase 1a and Phase 1b safety data indicate that AV-101 was safe and well tolerated at all three doses tested. Overall, 57 AEs were reported by 34 subjects, with 17 AEs (29.8%) occurring in the placebo group. There was a higher rate of AEs reported from subjects that received placebo than from subjects that received AV-101. A total of 40 AEs were reported by 24 of 37 (64.9%) subjects receiving AV-101, and 17 AEs were reported by 10 of 13 (76.9%) subject receiving placebo. Additionally, 49 of the 57 total AEs (85.9%) were considered mild, and the remaining 8 AEs (14.0%) were considered moderate. Of these AEs, headache (nervous system disorder) was the most commonly reported preferred term. All of the AEs were completely resolved.</w:t>
      </w:r>
    </w:p>
    <w:p>
      <w:pPr>
        <w:spacing w:after="0" w:line="125" w:lineRule="exact"/>
        <w:rPr>
          <w:sz w:val="20"/>
          <w:szCs w:val="20"/>
          <w:color w:val="auto"/>
        </w:rPr>
      </w:pPr>
    </w:p>
    <w:p>
      <w:pPr>
        <w:jc w:val="both"/>
        <w:ind w:firstLine="540"/>
        <w:spacing w:after="0" w:line="323" w:lineRule="auto"/>
        <w:rPr>
          <w:sz w:val="20"/>
          <w:szCs w:val="20"/>
          <w:color w:val="auto"/>
        </w:rPr>
      </w:pPr>
      <w:r>
        <w:rPr>
          <w:rFonts w:ascii="Arial" w:cs="Arial" w:eastAsia="Arial" w:hAnsi="Arial"/>
          <w:sz w:val="11"/>
          <w:szCs w:val="11"/>
          <w:color w:val="auto"/>
        </w:rPr>
        <w:t>Overall, the safety results indicate AV-101 is safe and well tolerated in healthy subjects. Subjects receiving AV-101 reported a lower percentage of AEs relative to subjects receiving placebo. Moreover, there were no AEs reported by subjects that received AV-101 that were graded as probably related to study drug. The type and distribution of AEs reported by subjects in this study was considered to be typical for a study in healthy volunteers.</w:t>
      </w:r>
    </w:p>
    <w:p>
      <w:pPr>
        <w:spacing w:after="0" w:line="92"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2"/>
          <w:szCs w:val="12"/>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141"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(5/57) of the healthy volunteer subjects receiving AV-101 and 0% of the 31 subjects receiving placebo reported “feelings of wellbeing” (coded as euphoric mood), similar to the rapid-onset antidepressant effects reported in the literature with ketamine. Table 3 lists the percent of adverse events reported by the subjects in each of the two Phase 1 studies and the number of events reported as euphoric mood per number of subjects on placebo and AV-101.</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Table 1. Reports of Well-Being (coded as Euphoric Mood) in Phase 1 Clinical Studies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920" w:type="dxa"/>
            <w:vAlign w:val="bottom"/>
          </w:tcPr>
          <w:p>
            <w:pPr>
              <w:ind w:left="2180"/>
              <w:spacing w:after="0"/>
              <w:rPr>
                <w:sz w:val="20"/>
                <w:szCs w:val="20"/>
                <w:color w:val="auto"/>
              </w:rPr>
            </w:pPr>
            <w:r>
              <w:rPr>
                <w:rFonts w:ascii="Arial" w:cs="Arial" w:eastAsia="Arial" w:hAnsi="Arial"/>
                <w:sz w:val="12"/>
                <w:szCs w:val="12"/>
                <w:color w:val="auto"/>
              </w:rPr>
              <w:t>Placebo</w:t>
            </w:r>
          </w:p>
        </w:tc>
        <w:tc>
          <w:tcPr>
            <w:tcW w:w="2740" w:type="dxa"/>
            <w:vAlign w:val="bottom"/>
          </w:tcPr>
          <w:p>
            <w:pPr>
              <w:ind w:left="620"/>
              <w:spacing w:after="0"/>
              <w:rPr>
                <w:sz w:val="20"/>
                <w:szCs w:val="20"/>
                <w:color w:val="auto"/>
              </w:rPr>
            </w:pPr>
            <w:r>
              <w:rPr>
                <w:rFonts w:ascii="Arial" w:cs="Arial" w:eastAsia="Arial" w:hAnsi="Arial"/>
                <w:sz w:val="12"/>
                <w:szCs w:val="12"/>
                <w:color w:val="auto"/>
              </w:rPr>
              <w:t>AV-101</w:t>
            </w:r>
          </w:p>
        </w:tc>
      </w:tr>
      <w:tr>
        <w:trPr>
          <w:trHeight w:val="153"/>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6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 of Adverse Events/N</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 of Adverse Events/N</w:t>
            </w:r>
          </w:p>
        </w:tc>
      </w:tr>
      <w:tr>
        <w:trPr>
          <w:trHeight w:val="142"/>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Phase 1a</w:t>
            </w:r>
          </w:p>
        </w:tc>
        <w:tc>
          <w:tcPr>
            <w:tcW w:w="3920" w:type="dxa"/>
            <w:vAlign w:val="bottom"/>
            <w:tcBorders>
              <w:bottom w:val="single" w:sz="8" w:color="auto"/>
            </w:tcBorders>
            <w:shd w:val="clear" w:color="auto" w:fill="CCEEFF"/>
          </w:tcPr>
          <w:p>
            <w:pPr>
              <w:spacing w:after="0"/>
              <w:rPr>
                <w:sz w:val="12"/>
                <w:szCs w:val="12"/>
                <w:color w:val="auto"/>
              </w:rPr>
            </w:pPr>
          </w:p>
        </w:tc>
        <w:tc>
          <w:tcPr>
            <w:tcW w:w="274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w w:val="73"/>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Nonserious Adverse Events</w:t>
            </w: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22% (4/18)</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28% (5/18)</w:t>
            </w: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w w:val="73"/>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Feelings of Well-being (coded as euphoric mood)</w:t>
            </w: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0% (0/18)</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11% (2/18)</w:t>
            </w:r>
          </w:p>
        </w:tc>
      </w:tr>
      <w:tr>
        <w:trPr>
          <w:trHeight w:val="142"/>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Phase 1b</w:t>
            </w:r>
          </w:p>
        </w:tc>
        <w:tc>
          <w:tcPr>
            <w:tcW w:w="3920" w:type="dxa"/>
            <w:vAlign w:val="bottom"/>
            <w:tcBorders>
              <w:bottom w:val="single" w:sz="8" w:color="auto"/>
            </w:tcBorders>
            <w:shd w:val="clear" w:color="auto" w:fill="CCEEFF"/>
          </w:tcPr>
          <w:p>
            <w:pPr>
              <w:spacing w:after="0"/>
              <w:rPr>
                <w:sz w:val="12"/>
                <w:szCs w:val="12"/>
                <w:color w:val="auto"/>
              </w:rPr>
            </w:pPr>
          </w:p>
        </w:tc>
        <w:tc>
          <w:tcPr>
            <w:tcW w:w="274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w w:val="73"/>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Nonserious Adverse Events</w:t>
            </w: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77% (10/13)</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65% (24/37)</w:t>
            </w: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w w:val="73"/>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Feelings of Well-being (coded as euphoric mood)</w:t>
            </w: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0% (0/13)</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8% (3/37)</w:t>
            </w:r>
          </w:p>
        </w:tc>
      </w:tr>
      <w:tr>
        <w:trPr>
          <w:trHeight w:val="142"/>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Phase 1a and 1b (combined)</w:t>
            </w:r>
          </w:p>
        </w:tc>
        <w:tc>
          <w:tcPr>
            <w:tcW w:w="3920" w:type="dxa"/>
            <w:vAlign w:val="bottom"/>
            <w:tcBorders>
              <w:bottom w:val="single" w:sz="8" w:color="auto"/>
            </w:tcBorders>
            <w:shd w:val="clear" w:color="auto" w:fill="CCEEFF"/>
          </w:tcPr>
          <w:p>
            <w:pPr>
              <w:spacing w:after="0"/>
              <w:rPr>
                <w:sz w:val="12"/>
                <w:szCs w:val="12"/>
                <w:color w:val="auto"/>
              </w:rPr>
            </w:pPr>
          </w:p>
        </w:tc>
        <w:tc>
          <w:tcPr>
            <w:tcW w:w="274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w w:val="73"/>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Feelings of Well-being (coded as euphoric mood)</w:t>
            </w: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0% (0/31)</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9% (5/55)</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N = number of subjects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2" w:name="page53"/>
    <w:bookmarkEnd w:id="5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right="20" w:firstLine="540"/>
        <w:spacing w:after="0" w:line="263" w:lineRule="auto"/>
        <w:rPr>
          <w:sz w:val="20"/>
          <w:szCs w:val="20"/>
          <w:color w:val="auto"/>
        </w:rPr>
      </w:pPr>
      <w:r>
        <w:rPr>
          <w:rFonts w:ascii="Arial" w:cs="Arial" w:eastAsia="Arial" w:hAnsi="Arial"/>
          <w:sz w:val="12"/>
          <w:szCs w:val="12"/>
          <w:color w:val="auto"/>
        </w:rPr>
        <w:t>The five events of feeling of well-being (coded as euphoric mood) occurred in one subject each at 360 (7%, 1 of 15 subjects) and 1,080 mg (6%, 1 of 16 subjects), and three subjects at 1,440 mg (20%, 3 of 15 subjects) in the Phase 1a and Phase 1b clinical studies. Four of the five subjects reporting well-being/euphoric mood did not have any other adverse experiences, and one subject (1,080 mg) also reported a mild headache. These results suggest a dose response and that AV-101 at the higher doses may lead to an increased positive mood.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Technology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firstLine="602"/>
        <w:spacing w:after="0" w:line="263" w:lineRule="auto"/>
        <w:rPr>
          <w:sz w:val="20"/>
          <w:szCs w:val="20"/>
          <w:color w:val="auto"/>
        </w:rPr>
      </w:pPr>
      <w:r>
        <w:rPr>
          <w:rFonts w:ascii="Arial" w:cs="Arial" w:eastAsia="Arial" w:hAnsi="Arial"/>
          <w:sz w:val="12"/>
          <w:szCs w:val="12"/>
          <w:color w:val="auto"/>
        </w:rPr>
        <w:t xml:space="preserve">We believe </w:t>
      </w:r>
      <w:r>
        <w:rPr>
          <w:rFonts w:ascii="Arial" w:cs="Arial" w:eastAsia="Arial" w:hAnsi="Arial"/>
          <w:sz w:val="12"/>
          <w:szCs w:val="12"/>
          <w:i w:val="1"/>
          <w:iCs w:val="1"/>
          <w:color w:val="auto"/>
        </w:rPr>
        <w:t>better cells lead to better medicines</w:t>
      </w:r>
      <w:r>
        <w:rPr>
          <w:rFonts w:ascii="Arial" w:cs="Arial" w:eastAsia="Arial" w:hAnsi="Arial"/>
          <w:sz w:val="12"/>
          <w:szCs w:val="12"/>
          <w:color w:val="auto"/>
        </w:rPr>
        <w:t>™ and that the key to making better cells is precisely controlling the differentiation of human pluripotent stem cells (“</w:t>
      </w:r>
      <w:r>
        <w:rPr>
          <w:rFonts w:ascii="Arial" w:cs="Arial" w:eastAsia="Arial" w:hAnsi="Arial"/>
          <w:sz w:val="12"/>
          <w:szCs w:val="12"/>
          <w:i w:val="1"/>
          <w:iCs w:val="1"/>
          <w:color w:val="auto"/>
        </w:rPr>
        <w:t>hPSCs</w:t>
      </w:r>
      <w:r>
        <w:rPr>
          <w:rFonts w:ascii="Arial" w:cs="Arial" w:eastAsia="Arial" w:hAnsi="Arial"/>
          <w:sz w:val="12"/>
          <w:szCs w:val="12"/>
          <w:color w:val="auto"/>
        </w:rPr>
        <w:t xml:space="preserve">”), which are the building blocks of all cells of the human body. Our stem cell technology platform is based on proprietary and licensed technologies for controlling the differentiation of hPSCs and producing the multiple types of mature, non-transformed, functional, adult human cells that we use, or plan to use, to reproduce complex human biology and disease and assess, </w:t>
      </w:r>
      <w:r>
        <w:rPr>
          <w:rFonts w:ascii="Arial" w:cs="Arial" w:eastAsia="Arial" w:hAnsi="Arial"/>
          <w:sz w:val="12"/>
          <w:szCs w:val="12"/>
          <w:i w:val="1"/>
          <w:iCs w:val="1"/>
          <w:color w:val="auto"/>
        </w:rPr>
        <w:t>in vitro</w:t>
      </w:r>
      <w:r>
        <w:rPr>
          <w:rFonts w:ascii="Arial" w:cs="Arial" w:eastAsia="Arial" w:hAnsi="Arial"/>
          <w:sz w:val="12"/>
          <w:szCs w:val="12"/>
          <w:color w:val="auto"/>
        </w:rPr>
        <w:t>, the potential therapeutic benefits and safety risks of new chemical entities (“</w:t>
      </w:r>
      <w:r>
        <w:rPr>
          <w:rFonts w:ascii="Arial" w:cs="Arial" w:eastAsia="Arial" w:hAnsi="Arial"/>
          <w:sz w:val="12"/>
          <w:szCs w:val="12"/>
          <w:i w:val="1"/>
          <w:iCs w:val="1"/>
          <w:color w:val="auto"/>
        </w:rPr>
        <w:t>NCEs</w:t>
      </w:r>
      <w:r>
        <w:rPr>
          <w:rFonts w:ascii="Arial" w:cs="Arial" w:eastAsia="Arial" w:hAnsi="Arial"/>
          <w:sz w:val="12"/>
          <w:szCs w:val="12"/>
          <w:color w:val="auto"/>
        </w:rPr>
        <w:t>”).</w:t>
      </w:r>
    </w:p>
    <w:p>
      <w:pPr>
        <w:spacing w:after="0" w:line="123" w:lineRule="exact"/>
        <w:rPr>
          <w:sz w:val="20"/>
          <w:szCs w:val="20"/>
          <w:color w:val="auto"/>
        </w:rPr>
      </w:pPr>
    </w:p>
    <w:p>
      <w:pPr>
        <w:jc w:val="both"/>
        <w:ind w:firstLine="578"/>
        <w:spacing w:after="0" w:line="281" w:lineRule="auto"/>
        <w:rPr>
          <w:sz w:val="20"/>
          <w:szCs w:val="20"/>
          <w:color w:val="auto"/>
        </w:rPr>
      </w:pPr>
      <w:r>
        <w:rPr>
          <w:rFonts w:ascii="Arial" w:cs="Arial" w:eastAsia="Arial" w:hAnsi="Arial"/>
          <w:sz w:val="11"/>
          <w:szCs w:val="11"/>
          <w:color w:val="auto"/>
        </w:rPr>
        <w:t xml:space="preserve">We have used our hPSC-derived cardiomyocytes (human heart cells we refer to as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to design and develop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our novel,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 for predicting potential cardiotoxicity of NCEs, including drug rescue NCEs.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We use our stem cell-derived hepatocytes (human liver cells we refer to as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as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second novel, customized bioassay system for predicting potential liver toxicity of new drug candidates, including potential drug metabolism issues and adverse drug-drug interactions. VSTA-heps are highly-functional, non-transformed, and have the majority of the functional properties of mature human hepatocytes. We believe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have more functionally useful life-span in culture, and overcome numerous problems related to commercially-available primary (cadaver) hepatocytes currently used in FDA-required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hepatocyte assays for drug metabolism. These commercially-available primary hepatocytes are generally in limited supply and the health status and genetic differences of the donor are unknown. We believe our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and predicting potential heart and liver toxicity of NCEs, including drug rescue NCEs, early in development, long before costly, high risk human clinical trials.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Background</w:t>
      </w:r>
    </w:p>
    <w:p>
      <w:pPr>
        <w:spacing w:after="0" w:line="172" w:lineRule="exact"/>
        <w:rPr>
          <w:sz w:val="20"/>
          <w:szCs w:val="20"/>
          <w:color w:val="auto"/>
        </w:rPr>
      </w:pPr>
    </w:p>
    <w:p>
      <w:pPr>
        <w:jc w:val="both"/>
        <w:ind w:firstLine="595"/>
        <w:spacing w:after="0" w:line="259" w:lineRule="auto"/>
        <w:rPr>
          <w:sz w:val="20"/>
          <w:szCs w:val="20"/>
          <w:color w:val="auto"/>
        </w:rPr>
      </w:pPr>
      <w:r>
        <w:rPr>
          <w:rFonts w:ascii="Arial" w:cs="Arial" w:eastAsia="Arial" w:hAnsi="Arial"/>
          <w:sz w:val="12"/>
          <w:szCs w:val="12"/>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43" w:lineRule="exact"/>
        <w:rPr>
          <w:sz w:val="20"/>
          <w:szCs w:val="20"/>
          <w:color w:val="auto"/>
        </w:rPr>
      </w:pPr>
    </w:p>
    <w:p>
      <w:pPr>
        <w:jc w:val="both"/>
        <w:ind w:firstLine="630"/>
        <w:spacing w:after="0" w:line="323" w:lineRule="auto"/>
        <w:rPr>
          <w:sz w:val="20"/>
          <w:szCs w:val="20"/>
          <w:color w:val="auto"/>
        </w:rPr>
      </w:pPr>
      <w:r>
        <w:rPr>
          <w:rFonts w:ascii="Arial" w:cs="Arial" w:eastAsia="Arial" w:hAnsi="Arial"/>
          <w:sz w:val="11"/>
          <w:szCs w:val="11"/>
          <w:color w:val="auto"/>
        </w:rPr>
        <w:t>Human pluripotent stem cells (“</w:t>
      </w:r>
      <w:r>
        <w:rPr>
          <w:rFonts w:ascii="Arial" w:cs="Arial" w:eastAsia="Arial" w:hAnsi="Arial"/>
          <w:sz w:val="11"/>
          <w:szCs w:val="11"/>
          <w:i w:val="1"/>
          <w:iCs w:val="1"/>
          <w:color w:val="auto"/>
        </w:rPr>
        <w:t>hPSCs</w:t>
      </w:r>
      <w:r>
        <w:rPr>
          <w:rFonts w:ascii="Arial" w:cs="Arial" w:eastAsia="Arial" w:hAnsi="Arial"/>
          <w:sz w:val="11"/>
          <w:szCs w:val="11"/>
          <w:color w:val="auto"/>
        </w:rPr>
        <w:t>”)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92" w:lineRule="exact"/>
        <w:rPr>
          <w:sz w:val="20"/>
          <w:szCs w:val="20"/>
          <w:color w:val="auto"/>
        </w:rPr>
      </w:pPr>
    </w:p>
    <w:p>
      <w:pPr>
        <w:jc w:val="both"/>
        <w:ind w:firstLine="653"/>
        <w:spacing w:after="0" w:line="298" w:lineRule="auto"/>
        <w:rPr>
          <w:sz w:val="20"/>
          <w:szCs w:val="20"/>
          <w:color w:val="auto"/>
        </w:rPr>
      </w:pPr>
      <w:r>
        <w:rPr>
          <w:rFonts w:ascii="Arial" w:cs="Arial" w:eastAsia="Arial" w:hAnsi="Arial"/>
          <w:sz w:val="11"/>
          <w:szCs w:val="11"/>
          <w:color w:val="auto"/>
        </w:rPr>
        <w:t>Human pluripotent stem cells are either embryonic stem cells (</w:t>
      </w:r>
      <w:r>
        <w:rPr>
          <w:rFonts w:ascii="Arial" w:cs="Arial" w:eastAsia="Arial" w:hAnsi="Arial"/>
          <w:sz w:val="11"/>
          <w:szCs w:val="11"/>
          <w:i w:val="1"/>
          <w:iCs w:val="1"/>
          <w:color w:val="auto"/>
        </w:rPr>
        <w:t>hESCs</w:t>
      </w:r>
      <w:r>
        <w:rPr>
          <w:rFonts w:ascii="Arial" w:cs="Arial" w:eastAsia="Arial" w:hAnsi="Arial"/>
          <w:sz w:val="11"/>
          <w:szCs w:val="11"/>
          <w:color w:val="auto"/>
        </w:rPr>
        <w:t>) or induced pluripotent stem cells (“</w:t>
      </w:r>
      <w:r>
        <w:rPr>
          <w:rFonts w:ascii="Arial" w:cs="Arial" w:eastAsia="Arial" w:hAnsi="Arial"/>
          <w:sz w:val="11"/>
          <w:szCs w:val="11"/>
          <w:i w:val="1"/>
          <w:iCs w:val="1"/>
          <w:color w:val="auto"/>
        </w:rPr>
        <w:t>iPSCs</w:t>
      </w:r>
      <w:r>
        <w:rPr>
          <w:rFonts w:ascii="Arial" w:cs="Arial" w:eastAsia="Arial" w:hAnsi="Arial"/>
          <w:sz w:val="11"/>
          <w:szCs w:val="11"/>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of to design and develop novel, customized bioassay systems to test the safety and efficacy of NCEs </w:t>
      </w:r>
      <w:r>
        <w:rPr>
          <w:rFonts w:ascii="Arial" w:cs="Arial" w:eastAsia="Arial" w:hAnsi="Arial"/>
          <w:sz w:val="11"/>
          <w:szCs w:val="11"/>
          <w:i w:val="1"/>
          <w:iCs w:val="1"/>
          <w:color w:val="auto"/>
        </w:rPr>
        <w:t>in vitro</w:t>
      </w:r>
      <w:r>
        <w:rPr>
          <w:rFonts w:ascii="Arial" w:cs="Arial" w:eastAsia="Arial" w:hAnsi="Arial"/>
          <w:sz w:val="11"/>
          <w:szCs w:val="11"/>
          <w:color w:val="auto"/>
        </w:rPr>
        <w:t>. These cells also have potential for diverse regenerative medicine applications.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Human Embryonic Stem Cells</w:t>
      </w:r>
    </w:p>
    <w:p>
      <w:pPr>
        <w:spacing w:after="0" w:line="168"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2"/>
          <w:szCs w:val="12"/>
          <w:color w:val="auto"/>
        </w:rPr>
        <w:t xml:space="preserve">According to the NIH, hESCs are derived from excess embryos that develop from eggs that have been fertilized in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3" w:name="page54"/>
    <w:bookmarkEnd w:id="5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578"/>
        <w:spacing w:after="0" w:line="283" w:lineRule="auto"/>
        <w:rPr>
          <w:sz w:val="20"/>
          <w:szCs w:val="20"/>
          <w:color w:val="auto"/>
        </w:rPr>
      </w:pPr>
      <w:r>
        <w:rPr>
          <w:rFonts w:ascii="Arial" w:cs="Arial" w:eastAsia="Arial" w:hAnsi="Arial"/>
          <w:sz w:val="11"/>
          <w:szCs w:val="11"/>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Induced Pluripotent Stem Cells</w:t>
      </w:r>
    </w:p>
    <w:p>
      <w:pPr>
        <w:spacing w:after="0" w:line="168" w:lineRule="exact"/>
        <w:rPr>
          <w:sz w:val="20"/>
          <w:szCs w:val="20"/>
          <w:color w:val="auto"/>
        </w:rPr>
      </w:pPr>
    </w:p>
    <w:p>
      <w:pPr>
        <w:jc w:val="both"/>
        <w:ind w:firstLine="576"/>
        <w:spacing w:after="0" w:line="257" w:lineRule="auto"/>
        <w:rPr>
          <w:sz w:val="20"/>
          <w:szCs w:val="20"/>
          <w:color w:val="auto"/>
        </w:rPr>
      </w:pPr>
      <w:r>
        <w:rPr>
          <w:rFonts w:ascii="Arial" w:cs="Arial" w:eastAsia="Arial" w:hAnsi="Arial"/>
          <w:sz w:val="12"/>
          <w:szCs w:val="12"/>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26" w:lineRule="exact"/>
        <w:rPr>
          <w:sz w:val="20"/>
          <w:szCs w:val="20"/>
          <w:color w:val="auto"/>
        </w:rPr>
      </w:pPr>
    </w:p>
    <w:p>
      <w:pPr>
        <w:jc w:val="both"/>
        <w:ind w:firstLine="582"/>
        <w:spacing w:after="0" w:line="276" w:lineRule="auto"/>
        <w:rPr>
          <w:sz w:val="20"/>
          <w:szCs w:val="20"/>
          <w:color w:val="auto"/>
        </w:rPr>
      </w:pPr>
      <w:r>
        <w:rPr>
          <w:rFonts w:ascii="Arial" w:cs="Arial" w:eastAsia="Arial" w:hAnsi="Arial"/>
          <w:sz w:val="12"/>
          <w:szCs w:val="12"/>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115" w:lineRule="exact"/>
        <w:rPr>
          <w:sz w:val="20"/>
          <w:szCs w:val="20"/>
          <w:color w:val="auto"/>
        </w:rPr>
      </w:pPr>
    </w:p>
    <w:p>
      <w:pPr>
        <w:ind w:left="800" w:hanging="274"/>
        <w:spacing w:after="0"/>
        <w:tabs>
          <w:tab w:leader="none" w:pos="8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individuals with specific inheritable diseases and conditions that predispose the individual to respond differently to drugs; or</w:t>
      </w:r>
    </w:p>
    <w:p>
      <w:pPr>
        <w:spacing w:after="0" w:line="150" w:lineRule="exact"/>
        <w:rPr>
          <w:rFonts w:ascii="Arial" w:cs="Arial" w:eastAsia="Arial" w:hAnsi="Arial"/>
          <w:sz w:val="12"/>
          <w:szCs w:val="12"/>
          <w:color w:val="auto"/>
        </w:rPr>
      </w:pPr>
    </w:p>
    <w:p>
      <w:pPr>
        <w:ind w:left="800" w:hanging="274"/>
        <w:spacing w:after="0"/>
        <w:tabs>
          <w:tab w:leader="none" w:pos="8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individuals with specific variations in genes that directly affect drug levels in the body or alter the manner or efficiency of their metabolism, breakdown and/or elimination of drugs.</w:t>
      </w:r>
    </w:p>
    <w:p>
      <w:pPr>
        <w:spacing w:after="0" w:line="150" w:lineRule="exact"/>
        <w:rPr>
          <w:sz w:val="20"/>
          <w:szCs w:val="20"/>
          <w:color w:val="auto"/>
        </w:rPr>
      </w:pPr>
    </w:p>
    <w:p>
      <w:pPr>
        <w:jc w:val="both"/>
        <w:ind w:firstLine="634"/>
        <w:spacing w:after="0" w:line="323" w:lineRule="auto"/>
        <w:rPr>
          <w:sz w:val="20"/>
          <w:szCs w:val="20"/>
          <w:color w:val="auto"/>
        </w:rPr>
      </w:pPr>
      <w:r>
        <w:rPr>
          <w:rFonts w:ascii="Arial" w:cs="Arial" w:eastAsia="Arial" w:hAnsi="Arial"/>
          <w:sz w:val="11"/>
          <w:szCs w:val="11"/>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Proprietary Stem Cell Differentiation Protocols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Proprietary differentiation protocols cover key conditions involved in the differentiation of hPSCs into multiple types of mature human cells. The human cells generated by following these proprietary differentiation protocols are integral to our stem cell technology platform. We believe they support more clinically-predictive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relate, among other things, to proprietary stem cell differentiation protocols involving precisely-coordinated temporal and quantitative conditions and interaction of biological molecules.</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believe our bioassay systems will allow us to assess the toxicity profile of NCEs for a wide range of diseases and conditions with greater speed and precision than nonclinical surrogate safety models most often currently used in drug development.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3D “Micro-Organ” Culture Systems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addition to standard two-dimensional (“</w:t>
      </w:r>
      <w:r>
        <w:rPr>
          <w:rFonts w:ascii="Arial" w:cs="Arial" w:eastAsia="Arial" w:hAnsi="Arial"/>
          <w:sz w:val="12"/>
          <w:szCs w:val="12"/>
          <w:i w:val="1"/>
          <w:iCs w:val="1"/>
          <w:color w:val="auto"/>
        </w:rPr>
        <w:t>2D</w:t>
      </w:r>
      <w:r>
        <w:rPr>
          <w:rFonts w:ascii="Arial" w:cs="Arial" w:eastAsia="Arial" w:hAnsi="Arial"/>
          <w:sz w:val="12"/>
          <w:szCs w:val="12"/>
          <w:color w:val="auto"/>
        </w:rPr>
        <w:t xml:space="preserve">”) cultures which work well for some cell types and cellular assays, the proprietary hPSC technologies underlying our stem cell technology platform enable us to grow large numbers of normal, non-transformed, mature human cells to produce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3D “micro-organ” culture systems. For example, for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we grow large numbers of normal, non-transformed, human heart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4" w:name="page55"/>
    <w:bookmarkEnd w:id="5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Medicinal Chemistry</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stem cell technology platform are core components of our drug rescue business model.</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The limitations of current preclinical drug testing systems used by pharmaceutical companies and others contribute to the high failure rate of NCEs. According to articles published in the Journal of Applied Toxicology, Stem Cell Research and Current Opinion in Cardiology, unexpected cardiotoxicity is one of the top two major safety-related reasons for failure of both drugs and drug candidates. Incorporating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assays using hPSC-derived cardiomyocytes (“</w:t>
      </w:r>
      <w:r>
        <w:rPr>
          <w:rFonts w:ascii="Arial" w:cs="Arial" w:eastAsia="Arial" w:hAnsi="Arial"/>
          <w:sz w:val="12"/>
          <w:szCs w:val="12"/>
          <w:i w:val="1"/>
          <w:iCs w:val="1"/>
          <w:color w:val="auto"/>
        </w:rPr>
        <w:t>hPSC-CMs</w:t>
      </w:r>
      <w:r>
        <w:rPr>
          <w:rFonts w:ascii="Arial" w:cs="Arial" w:eastAsia="Arial" w:hAnsi="Arial"/>
          <w:sz w:val="12"/>
          <w:szCs w:val="12"/>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With our proprietary stem cell differentiation technology, we produce fully functional, non-transformed hPSC-CMs, which we refer to as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function reliably in all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cardiac toxicity assays, screening for both direct cardiomyocyte cytotoxicity and arrhythmogenesis (or development of irregular beating patterns).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sensitive, stable, reproducible and capable of generating data enabling a more accurate prediction of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of NCEs than is possible with existing preclinical testing systems, particularly the hERG assay.</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Limited Clinical Predictivity of the FDA-Required hERG Assay</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t>
      </w:r>
      <w:r>
        <w:rPr>
          <w:rFonts w:ascii="Arial" w:cs="Arial" w:eastAsia="Arial" w:hAnsi="Arial"/>
          <w:sz w:val="12"/>
          <w:szCs w:val="12"/>
          <w:i w:val="1"/>
          <w:iCs w:val="1"/>
          <w:color w:val="auto"/>
        </w:rPr>
        <w:t>ICH57B</w:t>
      </w:r>
      <w:r>
        <w:rPr>
          <w:rFonts w:ascii="Arial" w:cs="Arial" w:eastAsia="Arial" w:hAnsi="Arial"/>
          <w:sz w:val="12"/>
          <w:szCs w:val="12"/>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Broad Clinical Predictivity of CardioSafe </w:t>
      </w:r>
      <w:r>
        <w:rPr>
          <w:rFonts w:ascii="Arial" w:cs="Arial" w:eastAsia="Arial" w:hAnsi="Arial"/>
          <w:sz w:val="12"/>
          <w:szCs w:val="12"/>
          <w:b w:val="1"/>
          <w:bCs w:val="1"/>
          <w:color w:val="auto"/>
        </w:rPr>
        <w:t>3D</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As noted above, we have developed and validated two clinically-relevant functional components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consists of a suite of five fluorescence or luminescence based high-throughput hPSC-CM assays. 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assays measure the following important drug-induced cardiac biological effects:</w:t>
      </w:r>
    </w:p>
    <w:p>
      <w:pPr>
        <w:spacing w:after="0" w:line="123" w:lineRule="exact"/>
        <w:rPr>
          <w:sz w:val="20"/>
          <w:szCs w:val="20"/>
          <w:color w:val="auto"/>
        </w:rPr>
      </w:pPr>
    </w:p>
    <w:p>
      <w:pPr>
        <w:ind w:left="1060" w:hanging="149"/>
        <w:spacing w:after="0"/>
        <w:tabs>
          <w:tab w:leader="none" w:pos="10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cell viability;</w:t>
      </w:r>
    </w:p>
    <w:p>
      <w:pPr>
        <w:spacing w:after="0" w:line="14" w:lineRule="exact"/>
        <w:rPr>
          <w:rFonts w:ascii="Arial" w:cs="Arial" w:eastAsia="Arial" w:hAnsi="Arial"/>
          <w:sz w:val="12"/>
          <w:szCs w:val="12"/>
          <w:color w:val="auto"/>
        </w:rPr>
      </w:pPr>
    </w:p>
    <w:p>
      <w:pPr>
        <w:ind w:left="1060" w:hanging="149"/>
        <w:spacing w:after="0"/>
        <w:tabs>
          <w:tab w:leader="none" w:pos="10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apoptosis;</w:t>
      </w:r>
    </w:p>
    <w:p>
      <w:pPr>
        <w:spacing w:after="0" w:line="6" w:lineRule="exact"/>
        <w:rPr>
          <w:rFonts w:ascii="Arial" w:cs="Arial" w:eastAsia="Arial" w:hAnsi="Arial"/>
          <w:sz w:val="12"/>
          <w:szCs w:val="12"/>
          <w:color w:val="auto"/>
        </w:rPr>
      </w:pPr>
    </w:p>
    <w:p>
      <w:pPr>
        <w:ind w:left="1060" w:hanging="158"/>
        <w:spacing w:after="0"/>
        <w:tabs>
          <w:tab w:leader="none" w:pos="10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mitochondrial membrane depolarization;</w:t>
      </w:r>
    </w:p>
    <w:p>
      <w:pPr>
        <w:spacing w:after="0" w:line="6" w:lineRule="exact"/>
        <w:rPr>
          <w:rFonts w:ascii="Arial" w:cs="Arial" w:eastAsia="Arial" w:hAnsi="Arial"/>
          <w:sz w:val="12"/>
          <w:szCs w:val="12"/>
          <w:color w:val="auto"/>
        </w:rPr>
      </w:pPr>
    </w:p>
    <w:p>
      <w:pPr>
        <w:ind w:left="1060" w:hanging="158"/>
        <w:spacing w:after="0"/>
        <w:tabs>
          <w:tab w:leader="none" w:pos="10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oxidative stress; and</w:t>
      </w:r>
    </w:p>
    <w:p>
      <w:pPr>
        <w:spacing w:after="0" w:line="6" w:lineRule="exact"/>
        <w:rPr>
          <w:rFonts w:ascii="Arial" w:cs="Arial" w:eastAsia="Arial" w:hAnsi="Arial"/>
          <w:sz w:val="12"/>
          <w:szCs w:val="12"/>
          <w:color w:val="auto"/>
        </w:rPr>
      </w:pPr>
    </w:p>
    <w:p>
      <w:pPr>
        <w:ind w:left="1060" w:hanging="158"/>
        <w:spacing w:after="0"/>
        <w:tabs>
          <w:tab w:leader="none" w:pos="10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energy metabolism disruption.</w:t>
      </w:r>
    </w:p>
    <w:p>
      <w:pPr>
        <w:spacing w:after="0" w:line="14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33" w:lineRule="exact"/>
        <w:rPr>
          <w:sz w:val="20"/>
          <w:szCs w:val="20"/>
          <w:color w:val="auto"/>
        </w:rPr>
      </w:pPr>
    </w:p>
    <w:p>
      <w:pPr>
        <w:ind w:left="1080" w:hanging="148"/>
        <w:spacing w:after="0"/>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ion channel blockers: amiodarone, nifedipine;</w:t>
      </w:r>
    </w:p>
    <w:p>
      <w:pPr>
        <w:spacing w:after="0" w:line="14" w:lineRule="exact"/>
        <w:rPr>
          <w:rFonts w:ascii="Arial" w:cs="Arial" w:eastAsia="Arial" w:hAnsi="Arial"/>
          <w:sz w:val="12"/>
          <w:szCs w:val="12"/>
          <w:color w:val="auto"/>
        </w:rPr>
      </w:pPr>
    </w:p>
    <w:p>
      <w:pPr>
        <w:ind w:left="1080" w:hanging="148"/>
        <w:spacing w:after="0"/>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hERG trafficking blockers: pentamidine, amoxapine;</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α-1 adrenoreceptors: doxazosin;</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protein and DNA synthesis inhibitors: emetine;</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DNA intercalating agents: doxorubicin;</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antibiotics: ampicillin, cefazolin;</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NSAID: aspirin; and</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kinase inhibitors: staurosporine.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5" w:name="page56"/>
    <w:bookmarkEnd w:id="5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This suite of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provides valuable and far more comprehensive bioanalytical tools for both assessing the effects of pharmaceutical compounds on cardiac cytotoxicity than the hERG assay and can elucidate for us and our medicinal chemistry partner specific mechanisms of cardiac toxicity, thereby laying what we believe is a novel and advantageous foundation for our drug rescue programs.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The other component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 sensitive and reliable medium throughput multi-electrode array (“</w:t>
      </w:r>
      <w:r>
        <w:rPr>
          <w:rFonts w:ascii="Arial" w:cs="Arial" w:eastAsia="Arial" w:hAnsi="Arial"/>
          <w:sz w:val="12"/>
          <w:szCs w:val="12"/>
          <w:i w:val="1"/>
          <w:iCs w:val="1"/>
          <w:color w:val="auto"/>
        </w:rPr>
        <w:t>MEA</w:t>
      </w:r>
      <w:r>
        <w:rPr>
          <w:rFonts w:ascii="Arial" w:cs="Arial" w:eastAsia="Arial" w:hAnsi="Arial"/>
          <w:sz w:val="12"/>
          <w:szCs w:val="12"/>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has been validated with reported clinical results involving twelve drugs, each with known toxic or non-toxic cardiac effects in humans. The twelve clinical correlation study compounds are as follows:</w:t>
      </w:r>
    </w:p>
    <w:p>
      <w:pPr>
        <w:spacing w:after="0" w:line="143" w:lineRule="exact"/>
        <w:rPr>
          <w:sz w:val="20"/>
          <w:szCs w:val="20"/>
          <w:color w:val="auto"/>
        </w:rPr>
      </w:pPr>
    </w:p>
    <w:p>
      <w:pPr>
        <w:ind w:left="1140" w:hanging="145"/>
        <w:spacing w:after="0"/>
        <w:tabs>
          <w:tab w:leader="none" w:pos="11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One FDA-approved drug (aspirin) without cardiac liability to serve as a negative control;</w:t>
      </w:r>
    </w:p>
    <w:p>
      <w:pPr>
        <w:spacing w:after="0" w:line="14" w:lineRule="exact"/>
        <w:rPr>
          <w:rFonts w:ascii="Arial" w:cs="Arial" w:eastAsia="Arial" w:hAnsi="Arial"/>
          <w:sz w:val="12"/>
          <w:szCs w:val="12"/>
          <w:color w:val="auto"/>
        </w:rPr>
      </w:pPr>
    </w:p>
    <w:p>
      <w:pPr>
        <w:ind w:left="1140" w:hanging="145"/>
        <w:spacing w:after="0"/>
        <w:tabs>
          <w:tab w:leader="none" w:pos="11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Five FDA-approved drugs (astemizole, sotalol, cisapride, terfenadine and sertindole) that were withdrawn from the market due to heart toxicity concerns;</w:t>
      </w:r>
    </w:p>
    <w:p>
      <w:pPr>
        <w:spacing w:after="0" w:line="6" w:lineRule="exact"/>
        <w:rPr>
          <w:rFonts w:ascii="Arial" w:cs="Arial" w:eastAsia="Arial" w:hAnsi="Arial"/>
          <w:sz w:val="12"/>
          <w:szCs w:val="12"/>
          <w:color w:val="auto"/>
        </w:rPr>
      </w:pPr>
    </w:p>
    <w:p>
      <w:pPr>
        <w:ind w:left="1140" w:right="20" w:hanging="145"/>
        <w:spacing w:after="0" w:line="250" w:lineRule="auto"/>
        <w:tabs>
          <w:tab w:leader="none" w:pos="11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ind w:left="1140" w:hanging="145"/>
        <w:spacing w:after="0"/>
        <w:tabs>
          <w:tab w:leader="none" w:pos="11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One research compound (E-4031) failed in Phase 1 human clinical study before being discontinued due to inducing heart arrhythmias.</w:t>
      </w:r>
    </w:p>
    <w:p>
      <w:pPr>
        <w:spacing w:after="0" w:line="1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 xml:space="preserve">We have validated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MEA assay, which we refer to as </w:t>
      </w:r>
      <w:r>
        <w:rPr>
          <w:rFonts w:ascii="Arial" w:cs="Arial" w:eastAsia="Arial" w:hAnsi="Arial"/>
          <w:sz w:val="11"/>
          <w:szCs w:val="11"/>
          <w:i w:val="1"/>
          <w:iCs w:val="1"/>
          <w:color w:val="auto"/>
        </w:rPr>
        <w:t>ECG in a test tube</w:t>
      </w:r>
      <w:r>
        <w:rPr>
          <w:rFonts w:ascii="Arial" w:cs="Arial" w:eastAsia="Arial" w:hAnsi="Arial"/>
          <w:sz w:val="11"/>
          <w:szCs w:val="11"/>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3Dprovides valuable and more comprehensive bioanalytical tools for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screening than the hERG assay.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will contribute to our efficient and rapid identification of novel, potentially safer proprietary NCEs in our drug rescue programs.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Going Far Beyond the hERG Assay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The table below reflects the broad cardiotoxicity screening capabilities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which we believe go far beyond what is possible to assess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using the FDA-required hERG assay: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40" w:type="dxa"/>
            <w:vAlign w:val="bottom"/>
            <w:gridSpan w:val="3"/>
          </w:tcPr>
          <w:p>
            <w:pPr>
              <w:spacing w:after="0"/>
              <w:rPr>
                <w:sz w:val="20"/>
                <w:szCs w:val="20"/>
                <w:color w:val="auto"/>
              </w:rPr>
            </w:pPr>
            <w:r>
              <w:rPr>
                <w:rFonts w:ascii="Arial" w:cs="Arial" w:eastAsia="Arial" w:hAnsi="Arial"/>
                <w:sz w:val="12"/>
                <w:szCs w:val="12"/>
                <w:color w:val="auto"/>
              </w:rPr>
              <w:t>Detects cardiac effects mediated by:</w:t>
            </w:r>
          </w:p>
        </w:tc>
        <w:tc>
          <w:tcPr>
            <w:tcW w:w="2880" w:type="dxa"/>
            <w:vAlign w:val="bottom"/>
            <w:gridSpan w:val="2"/>
          </w:tcPr>
          <w:p>
            <w:pPr>
              <w:jc w:val="center"/>
              <w:ind w:right="2260"/>
              <w:spacing w:after="0"/>
              <w:rPr>
                <w:sz w:val="20"/>
                <w:szCs w:val="20"/>
                <w:color w:val="auto"/>
              </w:rPr>
            </w:pPr>
            <w:r>
              <w:rPr>
                <w:rFonts w:ascii="Arial" w:cs="Arial" w:eastAsia="Arial" w:hAnsi="Arial"/>
                <w:sz w:val="12"/>
                <w:szCs w:val="12"/>
                <w:b w:val="1"/>
                <w:bCs w:val="1"/>
                <w:color w:val="auto"/>
                <w:w w:val="88"/>
              </w:rPr>
              <w:t>hERG assay</w:t>
            </w: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b w:val="1"/>
                <w:bCs w:val="1"/>
                <w:i w:val="1"/>
                <w:iCs w:val="1"/>
                <w:color w:val="auto"/>
                <w:w w:val="91"/>
              </w:rPr>
              <w:t xml:space="preserve">CardioSafe </w:t>
            </w:r>
            <w:r>
              <w:rPr>
                <w:rFonts w:ascii="Arial" w:cs="Arial" w:eastAsia="Arial" w:hAnsi="Arial"/>
                <w:sz w:val="12"/>
                <w:szCs w:val="12"/>
                <w:b w:val="1"/>
                <w:bCs w:val="1"/>
                <w:color w:val="auto"/>
                <w:w w:val="91"/>
              </w:rPr>
              <w:t>3D™</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hERG potassium ion channels</w:t>
            </w:r>
          </w:p>
        </w:tc>
        <w:tc>
          <w:tcPr>
            <w:tcW w:w="2880" w:type="dxa"/>
            <w:vAlign w:val="bottom"/>
            <w:gridSpan w:val="2"/>
            <w:shd w:val="clear" w:color="auto" w:fill="CCEEFF"/>
          </w:tcPr>
          <w:p>
            <w:pPr>
              <w:jc w:val="center"/>
              <w:ind w:right="2260"/>
              <w:spacing w:after="0"/>
              <w:rPr>
                <w:sz w:val="20"/>
                <w:szCs w:val="20"/>
                <w:color w:val="auto"/>
              </w:rPr>
            </w:pPr>
            <w:r>
              <w:rPr>
                <w:rFonts w:ascii="Arial" w:cs="Arial" w:eastAsia="Arial" w:hAnsi="Arial"/>
                <w:sz w:val="12"/>
                <w:szCs w:val="12"/>
                <w:color w:val="auto"/>
                <w:w w:val="89"/>
              </w:rPr>
              <w:t>ü</w:t>
            </w: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tcPr>
          <w:p>
            <w:pPr>
              <w:spacing w:after="0"/>
              <w:rPr>
                <w:sz w:val="20"/>
                <w:szCs w:val="20"/>
                <w:color w:val="auto"/>
              </w:rPr>
            </w:pPr>
            <w:r>
              <w:rPr>
                <w:rFonts w:ascii="Arial" w:cs="Arial" w:eastAsia="Arial" w:hAnsi="Arial"/>
                <w:sz w:val="12"/>
                <w:szCs w:val="12"/>
                <w:color w:val="auto"/>
              </w:rPr>
              <w:t>Other potassium ion channels</w:t>
            </w: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Calcium ion channels</w:t>
            </w:r>
          </w:p>
        </w:tc>
        <w:tc>
          <w:tcPr>
            <w:tcW w:w="6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tcPr>
          <w:p>
            <w:pPr>
              <w:spacing w:after="0"/>
              <w:rPr>
                <w:sz w:val="20"/>
                <w:szCs w:val="20"/>
                <w:color w:val="auto"/>
              </w:rPr>
            </w:pPr>
            <w:r>
              <w:rPr>
                <w:rFonts w:ascii="Arial" w:cs="Arial" w:eastAsia="Arial" w:hAnsi="Arial"/>
                <w:sz w:val="12"/>
                <w:szCs w:val="12"/>
                <w:color w:val="auto"/>
              </w:rPr>
              <w:t>Sodium ion channels</w:t>
            </w: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Interactions between ion channels</w:t>
            </w:r>
          </w:p>
        </w:tc>
        <w:tc>
          <w:tcPr>
            <w:tcW w:w="6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tcPr>
          <w:p>
            <w:pPr>
              <w:spacing w:after="0"/>
              <w:rPr>
                <w:sz w:val="20"/>
                <w:szCs w:val="20"/>
                <w:color w:val="auto"/>
              </w:rPr>
            </w:pPr>
            <w:r>
              <w:rPr>
                <w:rFonts w:ascii="Arial" w:cs="Arial" w:eastAsia="Arial" w:hAnsi="Arial"/>
                <w:sz w:val="12"/>
                <w:szCs w:val="12"/>
                <w:color w:val="auto"/>
              </w:rPr>
              <w:t>Channel regulatory proteins</w:t>
            </w: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Cell viability</w:t>
            </w:r>
          </w:p>
        </w:tc>
        <w:tc>
          <w:tcPr>
            <w:tcW w:w="6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tcPr>
          <w:p>
            <w:pPr>
              <w:spacing w:after="0"/>
              <w:rPr>
                <w:sz w:val="20"/>
                <w:szCs w:val="20"/>
                <w:color w:val="auto"/>
              </w:rPr>
            </w:pPr>
            <w:r>
              <w:rPr>
                <w:rFonts w:ascii="Arial" w:cs="Arial" w:eastAsia="Arial" w:hAnsi="Arial"/>
                <w:sz w:val="12"/>
                <w:szCs w:val="12"/>
                <w:color w:val="auto"/>
              </w:rPr>
              <w:t>Apoptosis</w:t>
            </w: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Mitochondria</w:t>
            </w:r>
          </w:p>
        </w:tc>
        <w:tc>
          <w:tcPr>
            <w:tcW w:w="6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tcPr>
          <w:p>
            <w:pPr>
              <w:spacing w:after="0"/>
              <w:rPr>
                <w:sz w:val="20"/>
                <w:szCs w:val="20"/>
                <w:color w:val="auto"/>
              </w:rPr>
            </w:pPr>
            <w:r>
              <w:rPr>
                <w:rFonts w:ascii="Arial" w:cs="Arial" w:eastAsia="Arial" w:hAnsi="Arial"/>
                <w:sz w:val="12"/>
                <w:szCs w:val="12"/>
                <w:color w:val="auto"/>
              </w:rPr>
              <w:t>Energy</w:t>
            </w: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Oxidative Stress</w:t>
            </w:r>
          </w:p>
        </w:tc>
        <w:tc>
          <w:tcPr>
            <w:tcW w:w="6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 A</w:t>
      </w:r>
      <w:r>
        <w:rPr>
          <w:rFonts w:ascii="Arial" w:cs="Arial" w:eastAsia="Arial" w:hAnsi="Arial"/>
          <w:sz w:val="12"/>
          <w:szCs w:val="12"/>
          <w:b w:val="1"/>
          <w:bCs w:val="1"/>
          <w:i w:val="1"/>
          <w:iCs w:val="1"/>
          <w:color w:val="auto"/>
        </w:rPr>
        <w:t>ssessment of Kinase Inhibitor-Induced Cardiotoxicity</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To further evaluate the potential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to predict cardiac toxicity of drug rescue NCEs </w:t>
      </w:r>
      <w:r>
        <w:rPr>
          <w:rFonts w:ascii="Arial" w:cs="Arial" w:eastAsia="Arial" w:hAnsi="Arial"/>
          <w:sz w:val="11"/>
          <w:szCs w:val="11"/>
          <w:i w:val="1"/>
          <w:iCs w:val="1"/>
          <w:color w:val="auto"/>
        </w:rPr>
        <w:t>in vitro</w:t>
      </w:r>
      <w:r>
        <w:rPr>
          <w:rFonts w:ascii="Arial" w:cs="Arial" w:eastAsia="Arial" w:hAnsi="Arial"/>
          <w:sz w:val="11"/>
          <w:szCs w:val="11"/>
          <w:color w:val="auto"/>
        </w:rPr>
        <w:t>, we have assessed cardiac effects induced by small molecule kinase inhibitors (“</w:t>
      </w:r>
      <w:r>
        <w:rPr>
          <w:rFonts w:ascii="Arial" w:cs="Arial" w:eastAsia="Arial" w:hAnsi="Arial"/>
          <w:sz w:val="11"/>
          <w:szCs w:val="11"/>
          <w:i w:val="1"/>
          <w:iCs w:val="1"/>
          <w:color w:val="auto"/>
        </w:rPr>
        <w:t>KI</w:t>
      </w:r>
      <w:r>
        <w:rPr>
          <w:rFonts w:ascii="Arial" w:cs="Arial" w:eastAsia="Arial" w:hAnsi="Arial"/>
          <w:sz w:val="11"/>
          <w:szCs w:val="11"/>
          <w:color w:val="auto"/>
        </w:rPr>
        <w:t>s”), which belong to a new category of drugs that have revolutionized cancer therapy due to decreased systemic toxicity and an increased anti-tumor cell specific effect compared to classic cancer drugs. Since 1998, the FDA has approved numerous small molecule KIs for cancer therapy. However, many of these FDA-approved KIs have been implicated in causing serious adverse cardiac events in patients which were not identified during drug development using traditional preclinical testing systems.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6" w:name="page57"/>
    <w:bookmarkEnd w:id="5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In our KI-induced cardiotoxicity study, we evaluated well-known anti-cancer KIs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some of which are FDA-approved and have been documented as cardiotoxic. This important validation set of anti-cancer KI compounds is as follows:</w:t>
      </w:r>
    </w:p>
    <w:p>
      <w:pPr>
        <w:spacing w:after="0" w:line="133" w:lineRule="exact"/>
        <w:rPr>
          <w:sz w:val="20"/>
          <w:szCs w:val="20"/>
          <w:color w:val="auto"/>
        </w:rPr>
      </w:pPr>
    </w:p>
    <w:p>
      <w:pPr>
        <w:ind w:left="1260" w:hanging="322"/>
        <w:spacing w:after="0"/>
        <w:tabs>
          <w:tab w:leader="none" w:pos="12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growth factor receptors: sunitinib, axitinib, imatinib, dasatinib, sorafenib, erlotinib, lapatinib, tyrphostin and AG1478;</w:t>
      </w:r>
    </w:p>
    <w:p>
      <w:pPr>
        <w:spacing w:after="0" w:line="14" w:lineRule="exact"/>
        <w:rPr>
          <w:rFonts w:ascii="Arial" w:cs="Arial" w:eastAsia="Arial" w:hAnsi="Arial"/>
          <w:sz w:val="12"/>
          <w:szCs w:val="12"/>
          <w:color w:val="auto"/>
        </w:rPr>
      </w:pPr>
    </w:p>
    <w:p>
      <w:pPr>
        <w:ind w:left="1260" w:hanging="322"/>
        <w:spacing w:after="0"/>
        <w:tabs>
          <w:tab w:leader="none" w:pos="12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the mTOR pathway: everolimus, temsirolimus;</w:t>
      </w:r>
    </w:p>
    <w:p>
      <w:pPr>
        <w:spacing w:after="0" w:line="6" w:lineRule="exact"/>
        <w:rPr>
          <w:rFonts w:ascii="Arial" w:cs="Arial" w:eastAsia="Arial" w:hAnsi="Arial"/>
          <w:sz w:val="12"/>
          <w:szCs w:val="12"/>
          <w:color w:val="auto"/>
        </w:rPr>
      </w:pPr>
    </w:p>
    <w:p>
      <w:pPr>
        <w:ind w:left="1260" w:hanging="322"/>
        <w:spacing w:after="0"/>
        <w:tabs>
          <w:tab w:leader="none" w:pos="12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cell cycle regulators: tozasertib, barasertib, alvocidib;</w:t>
      </w:r>
    </w:p>
    <w:p>
      <w:pPr>
        <w:spacing w:after="0" w:line="6" w:lineRule="exact"/>
        <w:rPr>
          <w:rFonts w:ascii="Arial" w:cs="Arial" w:eastAsia="Arial" w:hAnsi="Arial"/>
          <w:sz w:val="12"/>
          <w:szCs w:val="12"/>
          <w:color w:val="auto"/>
        </w:rPr>
      </w:pPr>
    </w:p>
    <w:p>
      <w:pPr>
        <w:ind w:left="1260" w:hanging="322"/>
        <w:spacing w:after="0"/>
        <w:tabs>
          <w:tab w:leader="none" w:pos="12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the PI3K pathway : perifosine, LY294002, XL765;</w:t>
      </w:r>
    </w:p>
    <w:p>
      <w:pPr>
        <w:spacing w:after="0" w:line="6" w:lineRule="exact"/>
        <w:rPr>
          <w:rFonts w:ascii="Arial" w:cs="Arial" w:eastAsia="Arial" w:hAnsi="Arial"/>
          <w:sz w:val="12"/>
          <w:szCs w:val="12"/>
          <w:color w:val="auto"/>
        </w:rPr>
      </w:pPr>
    </w:p>
    <w:p>
      <w:pPr>
        <w:ind w:left="1260" w:hanging="322"/>
        <w:spacing w:after="0"/>
        <w:tabs>
          <w:tab w:leader="none" w:pos="12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the MEK pathway: PD325901, AZD6264; and</w:t>
      </w:r>
    </w:p>
    <w:p>
      <w:pPr>
        <w:spacing w:after="0" w:line="6" w:lineRule="exact"/>
        <w:rPr>
          <w:rFonts w:ascii="Arial" w:cs="Arial" w:eastAsia="Arial" w:hAnsi="Arial"/>
          <w:sz w:val="12"/>
          <w:szCs w:val="12"/>
          <w:color w:val="auto"/>
        </w:rPr>
      </w:pPr>
    </w:p>
    <w:p>
      <w:pPr>
        <w:ind w:left="1260" w:hanging="322"/>
        <w:spacing w:after="0"/>
        <w:tabs>
          <w:tab w:leader="none" w:pos="12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the JAK and other pathways: lestaurtinib.</w:t>
      </w:r>
    </w:p>
    <w:p>
      <w:pPr>
        <w:spacing w:after="0" w:line="15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Our validation data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successfully detected cardiotoxicity induced by each of the representative compounds, consistent with adverse cardiac events observed in the clinic.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able to distinguish between cardiotoxic and safe compounds, and even between those compounds which inhibit the same kinase pathways. For instance, both sunitinib and axitinib inhibit VEGFR, PDGFR and c-Kit pathways, whereas our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indicate that sunitinib is cardiotoxic and axitinib is safe, which is consistent with the reported clinical outcomes.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Importantly, the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profile of each KI provided us clues to the potential biological mechanism(s) causing cardiac cytotoxicity. For example, cardiac cytotoxicity induced by perifosine was most potent for producing apoptotic responses, while imatinib was most potent for producing oxidative stress. In addition, no cardiac toxicity or alteration in electrophysiology was detected with drugs that do not have a cardiac liability, emphasizing the specificity of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Having information on the biological pathways associated with the cardiac cytotoxic effects of compounds provides important clues for novel medicinal chemistry approaches and compound modifications for our</w:t>
      </w:r>
      <w:r>
        <w:rPr>
          <w:rFonts w:ascii="Arial" w:cs="Arial" w:eastAsia="Arial" w:hAnsi="Arial"/>
          <w:sz w:val="12"/>
          <w:szCs w:val="12"/>
          <w:i w:val="1"/>
          <w:iCs w:val="1"/>
          <w:color w:val="auto"/>
        </w:rPr>
        <w:t xml:space="preserve"> CardioSafe </w:t>
      </w:r>
      <w:r>
        <w:rPr>
          <w:rFonts w:ascii="Arial" w:cs="Arial" w:eastAsia="Arial" w:hAnsi="Arial"/>
          <w:sz w:val="12"/>
          <w:szCs w:val="12"/>
          <w:color w:val="auto"/>
        </w:rPr>
        <w:t>3D drug rescue programs.</w:t>
      </w:r>
    </w:p>
    <w:p>
      <w:pPr>
        <w:spacing w:after="0" w:line="1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Another example of the capability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enabling the sensitive measurement of drug effects that are consistent with reported clinical responses are the results with sunitinib and dasatinib.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correctly identified that both compounds would cause QT prolongation, arrhythmia, and/or altered contraction rates, which are consistent with clinical observations.</w:t>
      </w:r>
    </w:p>
    <w:p>
      <w:pPr>
        <w:spacing w:after="0" w:line="11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correlation data demonstrate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improve clinical predictivity as a more comprehensive and clinically-relevant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system than the hERG assay, helping not only to identify potential cardiac toxicities early in development, but also to discover important potential biological mechanisms of cardiac cytotoxicity.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indicate that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may be effectively used to identify NCEs with reduced cardiotoxicity for our pipeline by providing more accurate and timely indications of alterations in electrophysiological activity, as well as a more clinically relevant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assessment of potential cardiac biological effects of drug candidates contributing to cardiac cytotoxicity, than animal models or the hERG assay currently used by pharmaceutical companies.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support the central premise of our drug rescue business model: by using our hPSC-derived human heart and liver cell bioassay systems at the front end of the drug development process, we have the opportunity to take advantage of substantial prior investment by pharmaceutical companies and others in drug discovery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of still-promising drug candidates that have been terminated prior to FDA approval due to unexpected heart or liver toxicity concerns.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LiverSafe 3D</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We refer to the highly-functional, non-transformed, mature hPSC-derived hepatocytes we produce as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are the foundation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 powerful new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hepatotoxicity assay system that we believe goes a step beyond in vitro assays using commercially-available primary (human cadaver cell-based) hepatocytes. By combining the flexibility of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non-transformed human hepatocyte-based assay system with genetically-consistent, functionally-reliable, and essentially unlimited production based on hPSCs, </w:t>
      </w:r>
      <w:r>
        <w:rPr>
          <w:rFonts w:ascii="Arial" w:cs="Arial" w:eastAsia="Arial" w:hAnsi="Arial"/>
          <w:sz w:val="12"/>
          <w:szCs w:val="12"/>
          <w:i w:val="1"/>
          <w:iCs w:val="1"/>
          <w:color w:val="auto"/>
        </w:rPr>
        <w:t>VSTA-heps</w:t>
      </w:r>
      <w:r>
        <w:rPr>
          <w:rFonts w:ascii="Arial" w:cs="Arial" w:eastAsia="Arial" w:hAnsi="Arial"/>
          <w:sz w:val="12"/>
          <w:szCs w:val="12"/>
          <w:color w:val="auto"/>
        </w:rPr>
        <w:t>, can be maintained in a healthy state for much longer than the primary hepatocytes used in FDA-required drug metabolism assays, greatly enhancing the reliability and predictability of our hepatotoxicity testing for our drug rescue programs.</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Until now, reliable human cell-based hepatotoxicity screening platforms have been difficult to establish for high throughput drug development with currently available primary hepatocyte systems. Commercially available primary (cadaver) hepatocytes are in short supply, are genetically variable, functionally inconsistent, and have a short lifespan in culture, during which they rapidly lose their drug metabolizing capabilities and develop signs of cellular stress. Commercially-available primary hepatocytes also have significant batch-to-batch genetic and functional activity that varies widely batch-to-batch. Primary hepatocytes are derived from individuals with significant genetic differences, unknown differences in health status, and widely different drug exposures, each potentially contributing significant but unquantifiable effects on hepatocyte function, resulting in very large unpredictable ranges of drug metabolism activity. Consequently, it is difficult to maintain reproducible quantitative measurements in drug testing assays using currently available primary (cadaver) hepatocyte assays. This leads to limitations in the quality, reliability, and clinical predictivity of the results and conclusions drawn assays based on primary (cadaver) hepatocytes.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7" w:name="page58"/>
    <w:bookmarkEnd w:id="5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We believe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overcome the foregoing limitations of primary hepatocytes. Our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are derived from the same hPSC line, are genetically identical, normal, non-transformed (that is, not tumor-derived) human cells capable of being produced in essentially unlimited supply. Importantly,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can be indefinitely produced and, we believe, frozen for storage into large, uniform, quality-controlled cell banks.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The table below reflects important characteristics of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compared to commercially-available primary hepatocytes used in FDA-required drug metabolism studies: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980" w:type="dxa"/>
            <w:vAlign w:val="bottom"/>
            <w:gridSpan w:val="3"/>
          </w:tcPr>
          <w:p>
            <w:pPr>
              <w:ind w:left="2020"/>
              <w:spacing w:after="0"/>
              <w:rPr>
                <w:sz w:val="20"/>
                <w:szCs w:val="20"/>
                <w:color w:val="auto"/>
              </w:rPr>
            </w:pPr>
            <w:r>
              <w:rPr>
                <w:rFonts w:ascii="Arial" w:cs="Arial" w:eastAsia="Arial" w:hAnsi="Arial"/>
                <w:sz w:val="12"/>
                <w:szCs w:val="12"/>
                <w:color w:val="auto"/>
              </w:rPr>
              <w:t xml:space="preserve">Characteristics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hepatocyte assays:</w:t>
            </w:r>
          </w:p>
        </w:tc>
        <w:tc>
          <w:tcPr>
            <w:tcW w:w="1940" w:type="dxa"/>
            <w:vAlign w:val="bottom"/>
            <w:gridSpan w:val="2"/>
          </w:tcPr>
          <w:p>
            <w:pPr>
              <w:jc w:val="center"/>
              <w:ind w:right="880"/>
              <w:spacing w:after="0"/>
              <w:rPr>
                <w:sz w:val="20"/>
                <w:szCs w:val="20"/>
                <w:color w:val="auto"/>
              </w:rPr>
            </w:pPr>
            <w:r>
              <w:rPr>
                <w:rFonts w:ascii="Arial" w:cs="Arial" w:eastAsia="Arial" w:hAnsi="Arial"/>
                <w:sz w:val="12"/>
                <w:szCs w:val="12"/>
                <w:b w:val="1"/>
                <w:bCs w:val="1"/>
                <w:color w:val="auto"/>
                <w:w w:val="89"/>
              </w:rPr>
              <w:t>Primary hepatocytes</w:t>
            </w:r>
          </w:p>
        </w:tc>
        <w:tc>
          <w:tcPr>
            <w:tcW w:w="2540" w:type="dxa"/>
            <w:vAlign w:val="bottom"/>
            <w:gridSpan w:val="3"/>
          </w:tcPr>
          <w:p>
            <w:pPr>
              <w:jc w:val="center"/>
              <w:ind w:right="100"/>
              <w:spacing w:after="0"/>
              <w:rPr>
                <w:sz w:val="20"/>
                <w:szCs w:val="20"/>
                <w:color w:val="auto"/>
              </w:rPr>
            </w:pPr>
            <w:r>
              <w:rPr>
                <w:rFonts w:ascii="Arial" w:cs="Arial" w:eastAsia="Arial" w:hAnsi="Arial"/>
                <w:sz w:val="12"/>
                <w:szCs w:val="12"/>
                <w:b w:val="1"/>
                <w:bCs w:val="1"/>
                <w:i w:val="1"/>
                <w:iCs w:val="1"/>
                <w:color w:val="auto"/>
                <w:w w:val="89"/>
              </w:rPr>
              <w:t>VSTA-heps™</w:t>
            </w:r>
          </w:p>
        </w:tc>
      </w:tr>
      <w:tr>
        <w:trPr>
          <w:trHeight w:val="144"/>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2"/>
                <w:szCs w:val="12"/>
                <w:color w:val="auto"/>
              </w:rPr>
              <w:t>Human cells</w:t>
            </w:r>
          </w:p>
        </w:tc>
        <w:tc>
          <w:tcPr>
            <w:tcW w:w="2120" w:type="dxa"/>
            <w:vAlign w:val="bottom"/>
            <w:tcBorders>
              <w:top w:val="single" w:sz="8" w:color="auto"/>
            </w:tcBorders>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ü</w:t>
            </w:r>
          </w:p>
        </w:tc>
        <w:tc>
          <w:tcPr>
            <w:tcW w:w="8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ü</w:t>
            </w:r>
          </w:p>
        </w:tc>
        <w:tc>
          <w:tcPr>
            <w:tcW w:w="9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980" w:type="dxa"/>
            <w:vAlign w:val="bottom"/>
            <w:gridSpan w:val="3"/>
          </w:tcPr>
          <w:p>
            <w:pPr>
              <w:spacing w:after="0"/>
              <w:rPr>
                <w:sz w:val="20"/>
                <w:szCs w:val="20"/>
                <w:color w:val="auto"/>
              </w:rPr>
            </w:pPr>
            <w:r>
              <w:rPr>
                <w:rFonts w:ascii="Arial" w:cs="Arial" w:eastAsia="Arial" w:hAnsi="Arial"/>
                <w:sz w:val="12"/>
                <w:szCs w:val="12"/>
                <w:color w:val="auto"/>
              </w:rPr>
              <w:t>Liver enzyme activity</w:t>
            </w:r>
          </w:p>
        </w:tc>
        <w:tc>
          <w:tcPr>
            <w:tcW w:w="1940" w:type="dxa"/>
            <w:vAlign w:val="bottom"/>
            <w:gridSpan w:val="2"/>
          </w:tcPr>
          <w:p>
            <w:pPr>
              <w:jc w:val="center"/>
              <w:ind w:right="880"/>
              <w:spacing w:after="0"/>
              <w:rPr>
                <w:sz w:val="20"/>
                <w:szCs w:val="20"/>
                <w:color w:val="auto"/>
              </w:rPr>
            </w:pPr>
            <w:r>
              <w:rPr>
                <w:rFonts w:ascii="Arial" w:cs="Arial" w:eastAsia="Arial" w:hAnsi="Arial"/>
                <w:sz w:val="12"/>
                <w:szCs w:val="12"/>
                <w:color w:val="auto"/>
                <w:w w:val="89"/>
              </w:rPr>
              <w:t>ü</w:t>
            </w:r>
          </w:p>
        </w:tc>
        <w:tc>
          <w:tcPr>
            <w:tcW w:w="880" w:type="dxa"/>
            <w:vAlign w:val="bottom"/>
          </w:tcPr>
          <w:p>
            <w:pPr>
              <w:spacing w:after="0"/>
              <w:rPr>
                <w:sz w:val="12"/>
                <w:szCs w:val="12"/>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Within batch reproducibility</w:t>
            </w:r>
          </w:p>
        </w:tc>
        <w:tc>
          <w:tcPr>
            <w:tcW w:w="1940" w:type="dxa"/>
            <w:vAlign w:val="bottom"/>
            <w:gridSpan w:val="2"/>
            <w:shd w:val="clear" w:color="auto" w:fill="CCEEFF"/>
          </w:tcPr>
          <w:p>
            <w:pPr>
              <w:jc w:val="center"/>
              <w:ind w:right="880"/>
              <w:spacing w:after="0"/>
              <w:rPr>
                <w:sz w:val="20"/>
                <w:szCs w:val="20"/>
                <w:color w:val="auto"/>
              </w:rPr>
            </w:pPr>
            <w:r>
              <w:rPr>
                <w:rFonts w:ascii="Arial" w:cs="Arial" w:eastAsia="Arial" w:hAnsi="Arial"/>
                <w:sz w:val="12"/>
                <w:szCs w:val="12"/>
                <w:color w:val="auto"/>
                <w:w w:val="89"/>
              </w:rPr>
              <w:t>ü</w:t>
            </w:r>
          </w:p>
        </w:tc>
        <w:tc>
          <w:tcPr>
            <w:tcW w:w="8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tcPr>
          <w:p>
            <w:pPr>
              <w:spacing w:after="0"/>
              <w:rPr>
                <w:sz w:val="20"/>
                <w:szCs w:val="20"/>
                <w:color w:val="auto"/>
              </w:rPr>
            </w:pPr>
            <w:r>
              <w:rPr>
                <w:rFonts w:ascii="Arial" w:cs="Arial" w:eastAsia="Arial" w:hAnsi="Arial"/>
                <w:sz w:val="12"/>
                <w:szCs w:val="12"/>
                <w:color w:val="auto"/>
              </w:rPr>
              <w:t>Batch-to-batch reproducibility</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Long term culture</w:t>
            </w:r>
          </w:p>
        </w:tc>
        <w:tc>
          <w:tcPr>
            <w:tcW w:w="10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tcPr>
          <w:p>
            <w:pPr>
              <w:spacing w:after="0"/>
              <w:rPr>
                <w:sz w:val="20"/>
                <w:szCs w:val="20"/>
                <w:color w:val="auto"/>
              </w:rPr>
            </w:pPr>
            <w:r>
              <w:rPr>
                <w:rFonts w:ascii="Arial" w:cs="Arial" w:eastAsia="Arial" w:hAnsi="Arial"/>
                <w:sz w:val="12"/>
                <w:szCs w:val="12"/>
                <w:color w:val="auto"/>
              </w:rPr>
              <w:t>Maintenance of function in culture</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Parental cells can be expanded into large batches</w:t>
            </w:r>
          </w:p>
        </w:tc>
        <w:tc>
          <w:tcPr>
            <w:tcW w:w="10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tcPr>
          <w:p>
            <w:pPr>
              <w:spacing w:after="0"/>
              <w:rPr>
                <w:sz w:val="20"/>
                <w:szCs w:val="20"/>
                <w:color w:val="auto"/>
              </w:rPr>
            </w:pPr>
            <w:r>
              <w:rPr>
                <w:rFonts w:ascii="Arial" w:cs="Arial" w:eastAsia="Arial" w:hAnsi="Arial"/>
                <w:sz w:val="12"/>
                <w:szCs w:val="12"/>
                <w:color w:val="auto"/>
              </w:rPr>
              <w:t>Uniform genetic background between batches</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Uniform donor health status between batches</w:t>
            </w:r>
          </w:p>
        </w:tc>
        <w:tc>
          <w:tcPr>
            <w:tcW w:w="10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53"/>
        </w:trPr>
        <w:tc>
          <w:tcPr>
            <w:tcW w:w="20" w:type="dxa"/>
            <w:vAlign w:val="bottom"/>
          </w:tcPr>
          <w:p>
            <w:pPr>
              <w:spacing w:after="0"/>
              <w:rPr>
                <w:sz w:val="13"/>
                <w:szCs w:val="13"/>
                <w:color w:val="auto"/>
              </w:rPr>
            </w:pPr>
          </w:p>
        </w:tc>
        <w:tc>
          <w:tcPr>
            <w:tcW w:w="6980" w:type="dxa"/>
            <w:vAlign w:val="bottom"/>
            <w:gridSpan w:val="3"/>
          </w:tcPr>
          <w:p>
            <w:pPr>
              <w:spacing w:after="0"/>
              <w:rPr>
                <w:sz w:val="20"/>
                <w:szCs w:val="20"/>
                <w:color w:val="auto"/>
              </w:rPr>
            </w:pPr>
            <w:r>
              <w:rPr>
                <w:rFonts w:ascii="Arial" w:cs="Arial" w:eastAsia="Arial" w:hAnsi="Arial"/>
                <w:sz w:val="12"/>
                <w:szCs w:val="12"/>
                <w:color w:val="auto"/>
              </w:rPr>
              <w:t>Gene “reporters” can be genetically inserted</w:t>
            </w: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2"/>
                <w:szCs w:val="12"/>
                <w:color w:val="auto"/>
                <w:w w:val="89"/>
              </w:rPr>
              <w:t>ü</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VSTA-heps </w:t>
      </w:r>
      <w:r>
        <w:rPr>
          <w:rFonts w:ascii="Arial" w:cs="Arial" w:eastAsia="Arial" w:hAnsi="Arial"/>
          <w:sz w:val="12"/>
          <w:szCs w:val="12"/>
          <w:b w:val="1"/>
          <w:bCs w:val="1"/>
          <w:color w:val="auto"/>
        </w:rPr>
        <w:t>and CYP3A4 Enzyme Expression for Drug Metabolism</w:t>
      </w:r>
    </w:p>
    <w:p>
      <w:pPr>
        <w:spacing w:after="0" w:line="1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In the past,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adult drug metabolizing enzymes, such as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a critical liver enzyme responsible for metabolizing approximately one-third of the FDA-approved drugs currently available on the market. It is an important and well-accepted functional gene found almost exclusively in mature, adult hepatocytes.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the key functional marker that we have used to optimize our </w:t>
      </w:r>
      <w:r>
        <w:rPr>
          <w:rFonts w:ascii="Arial" w:cs="Arial" w:eastAsia="Arial" w:hAnsi="Arial"/>
          <w:sz w:val="12"/>
          <w:szCs w:val="12"/>
          <w:i w:val="1"/>
          <w:iCs w:val="1"/>
          <w:color w:val="auto"/>
        </w:rPr>
        <w:t>VSTA-hep</w:t>
      </w:r>
      <w:r>
        <w:rPr>
          <w:rFonts w:ascii="Arial" w:cs="Arial" w:eastAsia="Arial" w:hAnsi="Arial"/>
          <w:sz w:val="12"/>
          <w:szCs w:val="12"/>
          <w:color w:val="auto"/>
        </w:rPr>
        <w:t xml:space="preserve"> differentiation cultures for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believe our optimized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assay system enables us to generate more mature hPSC-derived hepatocytes than are currently available from others in the field and that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system provides the unique ability to specifically select for mature </w:t>
      </w:r>
      <w:r>
        <w:rPr>
          <w:rFonts w:ascii="Arial" w:cs="Arial" w:eastAsia="Arial" w:hAnsi="Arial"/>
          <w:sz w:val="12"/>
          <w:szCs w:val="12"/>
          <w:i w:val="1"/>
          <w:iCs w:val="1"/>
          <w:color w:val="auto"/>
        </w:rPr>
        <w:t>CYP3A4</w:t>
      </w:r>
      <w:r>
        <w:rPr>
          <w:rFonts w:ascii="Arial" w:cs="Arial" w:eastAsia="Arial" w:hAnsi="Arial"/>
          <w:sz w:val="12"/>
          <w:szCs w:val="12"/>
          <w:color w:val="auto"/>
        </w:rPr>
        <w:t>-expressing human hepatocytes.</w:t>
      </w:r>
    </w:p>
    <w:p>
      <w:pPr>
        <w:spacing w:after="0" w:line="1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We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using hPSC differentiation protocols adapted from the laboratory of our co-founder, Dr. Gordon Keller, and our proprietary hPSC cell line, 3A4BLA. This 3A4BLA cell line is a hESC line that contains a humanized BLA “reporter” that is placed in the </w:t>
      </w:r>
      <w:r>
        <w:rPr>
          <w:rFonts w:ascii="Arial" w:cs="Arial" w:eastAsia="Arial" w:hAnsi="Arial"/>
          <w:sz w:val="11"/>
          <w:szCs w:val="11"/>
          <w:i w:val="1"/>
          <w:iCs w:val="1"/>
          <w:color w:val="auto"/>
        </w:rPr>
        <w:t>CYP3A4</w:t>
      </w:r>
      <w:r>
        <w:rPr>
          <w:rFonts w:ascii="Arial" w:cs="Arial" w:eastAsia="Arial" w:hAnsi="Arial"/>
          <w:sz w:val="11"/>
          <w:szCs w:val="11"/>
          <w:color w:val="auto"/>
        </w:rPr>
        <w:t xml:space="preserve"> gene in a manner resulting in the expression of BLA only in cells that also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This allows us to visualize by fluorescence cells that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based on expression of the BLA reporter. By producing a cell line capable of tracking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we have been able to optimize our hPSC differentiation protocols to increase expression of mature hepatocyte markers and drug metabolizing enzymes and to enrich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-expressing cells by cell sorting. However, even in the absence of cell sorting,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contain greater than 80% albumin-positive cells and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mRNA expression reaching levels nearly 60-fold higher than side-by-side 38-week human fetal liver controls.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secrete urea and albumin, functional markers of hepatocytes, at levels that exceed commercially-available primary (cadaver) hepatocytes. They also store both glycogen and lipids, which are additional characteristics required of functional, mature adult hepatocytes. Importantly, expression of fetal liver markers decreases over the time course of maturation of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This transition to a more mature state with decreased fetal gene expression is expected and essential for the production of adult functional hepatocytes, but it has rarely been reported by others in publications describing their hPSC-derived hepatocytes. With the addition of cell sorting,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can be highly enriched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-BLA-positive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message in the positive cell population reaching greater than 30% that of an adult human liver pool control. To our knowledge, this level of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exceeds levels reported by others in the literature.</w:t>
      </w:r>
    </w:p>
    <w:p>
      <w:pPr>
        <w:spacing w:after="0" w:line="13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 xml:space="preserve">The most important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relate to “Phase I” and “Phase II” drug metabolism, which are functional characteristics of mature adult hepatocytes. We have validated these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by demonstrating its ability to metabolize known substrates, such as testosterone, and its ability to respond properly to known inducers of Phase I-mediated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metabolism, such as rifampicin. Moreover,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demonstrate Phase II-mediated testosterone metabolism levels that exceed commercially-available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to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assay system and to apply specific functional screening, such as albumin and urea secretion assays.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8" w:name="page59"/>
    <w:bookmarkEnd w:id="5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We believe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offers the capability of producing a genetically-identical, renewable, and reproducible hepatotoxicity assay system for drug rescue and development that provides advantages over in vitro assays using commercially-available primary hepatocytes. In addition, it offers the ability to produce hepatocyte assays that contain common genetic variations in drug metabolizing genes that are expressed in subsets of individuals, and therefore drug development. We have demonstrated that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even in the absence of cell sorting, secrete adult hepatocyte levels of albumin and urea and contain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historically difficult to achieve in hPSC differentiation cultures. The proprietary 3A4BLA cell line component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allows us the unique opportunity to enrich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resulting in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reaching greater than 30% of an adult human liver pool, and to the best of our knowledge, a level higher than described in current literature. Most importantly, for drug rescue and development purposes,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metabolize known substrates and respond to known inducers in a manner expected only of mature adult hepatocytes, paving the way for our final validation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system as a novel, clinically-relevant hepatotoxicity assay system that can improve clinical predictivity, decrease the cost of drug development, reduce reliance on live animal studies, and improve drug safety.</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Using Stem Cell Technology to Produce and Develop Drug Rescue NCEs</w:t>
      </w:r>
    </w:p>
    <w:p>
      <w:pPr>
        <w:spacing w:after="0" w:line="17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We believe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drug rescue strategy involves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1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Our current drug rescue emphasis is on NCEs discontinued prior to FDA market approval due to unexpected cardiac safety concerns. By using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enhance our understanding of the cardiac liability profile of NCEs, biological insight not previously available when the NCEs were originally discovered, optimized for efficacy and developed, we believe we can demonstrate preclincial proof-of-concept (POC) as to the efficacy and safety of new, safer drug rescue NCEs in standard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models, as well as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We have assessed, and established a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cardiotoxicity profile for several drug rescue candidates.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We are now preparing to commence our initial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program. Our goal in each drug rescue program will be to produce a proprietary drug rescue NCE and establish its preclinical POC, using standard preclinical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efficacy and safety models, as well as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In this context, POC means that the lead drug rescue NCE, as compared to the original, previously-terminated NCE</w:t>
      </w:r>
      <w:r>
        <w:rPr>
          <w:rFonts w:ascii="Arial" w:cs="Arial" w:eastAsia="Arial" w:hAnsi="Arial"/>
          <w:sz w:val="12"/>
          <w:szCs w:val="12"/>
          <w:i w:val="1"/>
          <w:iCs w:val="1"/>
          <w:color w:val="auto"/>
        </w:rPr>
        <w:t>,</w:t>
      </w:r>
      <w:r>
        <w:rPr>
          <w:rFonts w:ascii="Arial" w:cs="Arial" w:eastAsia="Arial" w:hAnsi="Arial"/>
          <w:sz w:val="12"/>
          <w:szCs w:val="12"/>
          <w:color w:val="auto"/>
        </w:rPr>
        <w:t xml:space="preserve"> demonstrates both (i) equal or superior efficacy in the same, or a similar,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We believe our focus on producing proprietary drug rescue NCEs for our internal pipeline based on previously terminated NCEs with therapeutic and commercial potential established by others, and our ability to build on that valuable head start with our novel biological and electrophysiological insight regarding cardiac effects of NCEs that we can generate with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will help us and our medicinal chemistry partner produce and optimize drug rescue NCEs without incurring many of the high costs and risks typically inherent in new drug discovery and preclinical development. Although we plan to continue to identify NCEs for our drug rescue programs in the public domain, we may also seek to acquire rights to previously terminated, but still-promising, NCEs not available to us in the public domain by entering into contractual arrangements with third-parties.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9" w:name="page60"/>
    <w:bookmarkEnd w:id="5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Development and Commercialization of Drug Rescue NCEs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a result of research and development productivity issues and diminishing product pipelines, as well as generic competition for established products that are no longer patent protected, we believe there is and will continue to be a critical need among pharmaceutical companies to acquire or in-license the new, safer drug rescue NCEs we are focused on producing and developing, including companies that originally discovered, developed and ultimately discontinued the previously-terminated NCEs we select for drug rescue.</w:t>
      </w:r>
    </w:p>
    <w:p>
      <w:pPr>
        <w:spacing w:after="0" w:line="123"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2"/>
          <w:szCs w:val="12"/>
          <w:color w:val="auto"/>
        </w:rPr>
        <w:t xml:space="preserve">Once we optimize a patentable drug rescue NCE, we intend to develop it internally to establish preclinical POC in established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efficacy and safety models, as well as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After we establish preclinical POC of a patentable drug rescue NCE, we will decide between continuing to develop it internally and out-licensing it to a pharmaceutical company. If we license it to the pharmaceutical company, it will be responsible for all subsequent development, manufacturing, regulatory approval, marketing and sale of the drug rescue NCE and we will generate revenue through payments to us from the license upon signing the license agreement, achievement of development and regulatory milestones, and, if approved and marketed, upon commercial sales, although no assurances can be given that we will seek and complete a partnership, or that the terms of such a beneficial arrangement will be available or offered to us.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Regenerative Medicine and Drug Discovery</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Although we believe the best and most valuable near term commercial application of our stem cell technology platform is for small molecule drug rescue, we also believe stem cell technology-based drug discovery and regenerative medicine has the potential to transform healthcare in the U.S. over the next decade by providing new approaches for treating the fundamental mechanisms of disease. We currently intend to explore opportunities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regenerative medicine purposes, with emphasis on developing novel human disease models for discovery of small molecule drugs with regenerative and therapeutic potential. Among our key objectives will be to assess our regenerative medicine opportunities through exploratory nonclinical POC studies.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Transactions and Relationships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Strategic collaborations are an important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1" w:lineRule="exact"/>
        <w:rPr>
          <w:sz w:val="20"/>
          <w:szCs w:val="20"/>
          <w:color w:val="auto"/>
        </w:rPr>
      </w:pPr>
    </w:p>
    <w:p>
      <w:pPr>
        <w:ind w:left="920" w:hanging="340"/>
        <w:spacing w:after="0"/>
        <w:tabs>
          <w:tab w:leader="none" w:pos="9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academic research institutions, such as the University Health Network for hPSC technology research and development;</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contract medicinal chemistry companies, such as Synterys, Inc., to design, produce and analyze drug rescue NCEs;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contract clinical development and regulatory organizations (“</w:t>
      </w:r>
      <w:r>
        <w:rPr>
          <w:rFonts w:ascii="Arial" w:cs="Arial" w:eastAsia="Arial" w:hAnsi="Arial"/>
          <w:sz w:val="12"/>
          <w:szCs w:val="12"/>
          <w:i w:val="1"/>
          <w:iCs w:val="1"/>
          <w:color w:val="auto"/>
        </w:rPr>
        <w:t>CROs</w:t>
      </w:r>
      <w:r>
        <w:rPr>
          <w:rFonts w:ascii="Arial" w:cs="Arial" w:eastAsia="Arial" w:hAnsi="Arial"/>
          <w:sz w:val="12"/>
          <w:szCs w:val="12"/>
          <w:color w:val="auto"/>
        </w:rPr>
        <w:t>”), such as Cato Research, Ltd., for regulatory expertise and clinical development support.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our CRO for development of AV-101.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Based on our long-term working relationship with Cato Research in connection with the development of AV-101, should we elect to advance development of Drug Rescue Variants internally, as we have done with AV-101, rather than license or sell them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0" w:name="page61"/>
    <w:bookmarkEnd w:id="6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BioVentures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Cato Holding Company, doing business as Cato BioVentures, is the venture capital affiliate of Cato Research. Through strategic CRO service agreements with Cato Research, Cato BioVentures invests in therapeutics and medical devices, as well as platform technologies such as our stem cell technology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As a result of the access Cato Research has to potential drug rescue NCEs from its biotechnology and pharmaceutical industry network, as well as Cato BioVentures’ strategic long term equity interest in the Company,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drug rescue NCEs </w:t>
      </w:r>
      <w:r>
        <w:rPr>
          <w:rFonts w:ascii="Arial" w:cs="Arial" w:eastAsia="Arial" w:hAnsi="Arial"/>
          <w:sz w:val="11"/>
          <w:szCs w:val="11"/>
          <w:i w:val="1"/>
          <w:iCs w:val="1"/>
          <w:color w:val="auto"/>
        </w:rPr>
        <w:t>s</w:t>
      </w:r>
      <w:r>
        <w:rPr>
          <w:rFonts w:ascii="Arial" w:cs="Arial" w:eastAsia="Arial" w:hAnsi="Arial"/>
          <w:sz w:val="11"/>
          <w:szCs w:val="11"/>
          <w:color w:val="auto"/>
        </w:rPr>
        <w:t xml:space="preserve"> internally rather than out-license them to strategic partners.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Health Network, McEwen Centre for Regenerative Medicine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McEwen Centre for Regenerative Medicine (“</w:t>
      </w:r>
      <w:r>
        <w:rPr>
          <w:rFonts w:ascii="Arial" w:cs="Arial" w:eastAsia="Arial" w:hAnsi="Arial"/>
          <w:sz w:val="12"/>
          <w:szCs w:val="12"/>
          <w:i w:val="1"/>
          <w:iCs w:val="1"/>
          <w:color w:val="auto"/>
        </w:rPr>
        <w:t>McEwen Centre”</w:t>
      </w:r>
      <w:r>
        <w:rPr>
          <w:rFonts w:ascii="Arial" w:cs="Arial" w:eastAsia="Arial" w:hAnsi="Arial"/>
          <w:sz w:val="12"/>
          <w:szCs w:val="12"/>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Research Consortium</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joined the Cardiac Safety Research Consortium (“</w:t>
      </w:r>
      <w:r>
        <w:rPr>
          <w:rFonts w:ascii="Arial" w:cs="Arial" w:eastAsia="Arial" w:hAnsi="Arial"/>
          <w:sz w:val="12"/>
          <w:szCs w:val="12"/>
          <w:i w:val="1"/>
          <w:iCs w:val="1"/>
          <w:color w:val="auto"/>
        </w:rPr>
        <w:t>CSRC”</w:t>
      </w:r>
      <w:r>
        <w:rPr>
          <w:rFonts w:ascii="Arial" w:cs="Arial" w:eastAsia="Arial" w:hAnsi="Arial"/>
          <w:sz w:val="12"/>
          <w:szCs w:val="12"/>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Technical Committee of the Health and Environmental Sciences Institute – FDA’s CIPA Initiative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4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1" w:name="page62"/>
    <w:bookmarkEnd w:id="6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Centre for Commercialization of Regenerative Medicine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Toronto-based Centre for Commercialization of Regenerative Medicine (“</w:t>
      </w:r>
      <w:r>
        <w:rPr>
          <w:rFonts w:ascii="Arial" w:cs="Arial" w:eastAsia="Arial" w:hAnsi="Arial"/>
          <w:sz w:val="12"/>
          <w:szCs w:val="12"/>
          <w:i w:val="1"/>
          <w:iCs w:val="1"/>
          <w:color w:val="auto"/>
        </w:rPr>
        <w:t>CCRM”</w:t>
      </w:r>
      <w:r>
        <w:rPr>
          <w:rFonts w:ascii="Arial" w:cs="Arial" w:eastAsia="Arial" w:hAnsi="Arial"/>
          <w:sz w:val="12"/>
          <w:szCs w:val="12"/>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 National Institutes of Health</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Since our inception in 1998,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has awarded us $11.3 million in non-dilutive research and development grants, including $2.3 million to support research and development of our stem cell technology and $8.8 million for nonclinical and Phase 1 clinical development of AV-101.</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 National Institute of Mental Health</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U.S. National Institute of Mental Health (“</w:t>
      </w:r>
      <w:r>
        <w:rPr>
          <w:rFonts w:ascii="Arial" w:cs="Arial" w:eastAsia="Arial" w:hAnsi="Arial"/>
          <w:sz w:val="11"/>
          <w:szCs w:val="11"/>
          <w:i w:val="1"/>
          <w:iCs w:val="1"/>
          <w:color w:val="auto"/>
        </w:rPr>
        <w:t>NIMH”</w:t>
      </w:r>
      <w:r>
        <w:rPr>
          <w:rFonts w:ascii="Arial" w:cs="Arial" w:eastAsia="Arial" w:hAnsi="Arial"/>
          <w:sz w:val="11"/>
          <w:szCs w:val="11"/>
          <w:color w:val="auto"/>
        </w:rPr>
        <w:t>),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In February 2015, we entered into a Cooperative Research and Development Agreement (“</w:t>
      </w:r>
      <w:r>
        <w:rPr>
          <w:rFonts w:ascii="Arial" w:cs="Arial" w:eastAsia="Arial" w:hAnsi="Arial"/>
          <w:sz w:val="11"/>
          <w:szCs w:val="11"/>
          <w:i w:val="1"/>
          <w:iCs w:val="1"/>
          <w:color w:val="auto"/>
        </w:rPr>
        <w:t>CRADA</w:t>
      </w:r>
      <w:r>
        <w:rPr>
          <w:rFonts w:ascii="Arial" w:cs="Arial" w:eastAsia="Arial" w:hAnsi="Arial"/>
          <w:sz w:val="11"/>
          <w:szCs w:val="11"/>
          <w:color w:val="auto"/>
        </w:rPr>
        <w:t>”) with the NIH providing for the initial AV-101 Phase 2 efficacy and safety in Major Derpessive Disorder. The study will be fully funded by the NIH and will be conducted at the NIMH by Dr. Carlos Zarate. Dr. Zarate is the NIMH’s Chief of Experimental Therapeutics &amp; Pathophysiology Branch and Section on Neurobiology and Treatment of Mood and Anxiety Disorders.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Synterys, Inc.</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entered into a strategic medicinal chemistry collaboration agreement with Synterys, Inc., a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drug rescue NCEs.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w:t>
      </w:r>
    </w:p>
    <w:p>
      <w:pPr>
        <w:spacing w:after="0" w:line="16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We have developed a portfolio of intellectual property assets around AV-101 that involves both patents and trade secrets. We obtained a multi-patent license from the University of Maryland to certain pharmaceutical formulations of AV-101 and related compounds when we acquired the original licensee, Artemis Neuroscience, Inc. The license included a composition and therapeutic method patent relevant to AV-101, which was originally issued to Merrell Pharmaceuticals and expired in 2011. In early 2013, we filed a provisional application based on discoveries related to specific dosages and dosage ranges of AV-101, as well as to methods of treating depression and hyperalgesia pain. This corresponding PCT application (WO2014/116739) has recently been filed as a national phase application in the US and other countries. This PCT patent application also presents method-of-use claims associated with such dosages. And it includes other claims based on discoveries related to novel clinical activities that are not limited by dose range. In the course of our research and development prior to our Phase 1 clinical studies, our CROs developed two novel methods of synthesizing AV-101, based on extensive research into a range of synthetic routes. As a result, in 2013, we filed two additional provisional applications to these commercially useful production methods, both of which are also now pending as PCT patent applications (WO2014/152752 and WO2014/152835). One of these two PCT patent applications includes pharmaceutical composition claims to a sulfated derivative of 4-chlorokynurenine. A fourth patent application related to additional and expanded clinical uses of AV-101 was recently filed in the U.S. as a provisional application. We plan to pursue national phase applications broadly for all four cases in appropriate global markets.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2" w:name="page63"/>
    <w:bookmarkEnd w:id="6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addition, among the key components of our commercial protection strategy with respect to AV-101 is the New Drug Product Exclusivity provided by the FDA under section 505(c)(3)(E) and 505(j)(5)(F) of the Federal Food, Drug, and Cosmetic Act (“</w:t>
      </w:r>
      <w:r>
        <w:rPr>
          <w:rFonts w:ascii="Arial" w:cs="Arial" w:eastAsia="Arial" w:hAnsi="Arial"/>
          <w:sz w:val="12"/>
          <w:szCs w:val="12"/>
          <w:i w:val="1"/>
          <w:iCs w:val="1"/>
          <w:color w:val="auto"/>
        </w:rPr>
        <w:t>FDCA”</w:t>
      </w:r>
      <w:r>
        <w:rPr>
          <w:rFonts w:ascii="Arial" w:cs="Arial" w:eastAsia="Arial" w:hAnsi="Arial"/>
          <w:sz w:val="12"/>
          <w:szCs w:val="12"/>
          <w:color w:val="auto"/>
        </w:rPr>
        <w:t>). The FDA’s New Drug Product Exclusivity is available for NCEs such as AV-101, which, by definition, are innovative and have not been approved previously by the FDA, either alone or in combination. The FDA’s New Drug Product Exclusivity protection provides the holder of an FDA-approved new drug application (“</w:t>
      </w:r>
      <w:r>
        <w:rPr>
          <w:rFonts w:ascii="Arial" w:cs="Arial" w:eastAsia="Arial" w:hAnsi="Arial"/>
          <w:sz w:val="12"/>
          <w:szCs w:val="12"/>
          <w:i w:val="1"/>
          <w:iCs w:val="1"/>
          <w:color w:val="auto"/>
        </w:rPr>
        <w:t>NDA”</w:t>
      </w:r>
      <w:r>
        <w:rPr>
          <w:rFonts w:ascii="Arial" w:cs="Arial" w:eastAsia="Arial" w:hAnsi="Arial"/>
          <w:sz w:val="12"/>
          <w:szCs w:val="12"/>
          <w:color w:val="auto"/>
        </w:rPr>
        <w:t>) up to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Arial" w:cs="Arial" w:eastAsia="Arial" w:hAnsi="Arial"/>
          <w:sz w:val="12"/>
          <w:szCs w:val="12"/>
          <w:i w:val="1"/>
          <w:iCs w:val="1"/>
          <w:color w:val="auto"/>
        </w:rPr>
        <w:t>ANDAs”</w:t>
      </w:r>
      <w:r>
        <w:rPr>
          <w:rFonts w:ascii="Arial" w:cs="Arial" w:eastAsia="Arial" w:hAnsi="Arial"/>
          <w:sz w:val="12"/>
          <w:szCs w:val="12"/>
          <w:color w:val="auto"/>
        </w:rPr>
        <w:t>), during the up to five-year exclusivity period, except that such applications may be submitted after four years if they contain a certification of patent invalidity or non-infringement. We will pursue similar types of regulatory exclusivity in other countries.</w:t>
      </w:r>
    </w:p>
    <w:p>
      <w:pPr>
        <w:spacing w:after="0" w:line="1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Our license agreement related to AV-101 with the University of Maryland, mentioned above, requires us to make royalty payments on net sales of products covered by the licensed patent rights, which have expired. There are no up-front license, milestone or maintenance fees under the agreement. The agreement provides that these royalty obligations will remain in force until 10 years after the first commercial sale of the first product even if the licensed patent rights have expired. However, the U.S. Supreme Court’s recent decision in </w:t>
      </w:r>
      <w:r>
        <w:rPr>
          <w:rFonts w:ascii="Arial" w:cs="Arial" w:eastAsia="Arial" w:hAnsi="Arial"/>
          <w:sz w:val="12"/>
          <w:szCs w:val="12"/>
          <w:i w:val="1"/>
          <w:iCs w:val="1"/>
          <w:color w:val="auto"/>
        </w:rPr>
        <w:t>Kimble v. Marvel Entertainment, LLC</w:t>
      </w:r>
      <w:r>
        <w:rPr>
          <w:rFonts w:ascii="Arial" w:cs="Arial" w:eastAsia="Arial" w:hAnsi="Arial"/>
          <w:sz w:val="12"/>
          <w:szCs w:val="12"/>
          <w:color w:val="auto"/>
        </w:rPr>
        <w:t xml:space="preserve"> determined that patent license royalties that extend beyond a patent’s expiration are not enforceable. Management will be reviewing the impact of this court decision on our license.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Technology</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established intellectual property rights to stem cell technology through a combination of exclusive and non-exclusive patent and technology licenses, our own patent properties, and trade secrets. To our knowledge, we are the first stem cell company focused on stem cell technology-based drug rescue. We have assembled an intellectual property portfolio around the use of pluripotent stem cell technologies in drug discovery and development and with specific application to drug rescue. The differentiation protocols we have licensed licenses direct the differentiation of pluripotent stem cells through:</w:t>
      </w:r>
    </w:p>
    <w:p>
      <w:pPr>
        <w:spacing w:after="0" w:line="123" w:lineRule="exact"/>
        <w:rPr>
          <w:sz w:val="20"/>
          <w:szCs w:val="20"/>
          <w:color w:val="auto"/>
        </w:rPr>
      </w:pPr>
    </w:p>
    <w:p>
      <w:pPr>
        <w:ind w:left="920" w:hanging="340"/>
        <w:spacing w:after="0"/>
        <w:tabs>
          <w:tab w:leader="none" w:pos="9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 combination of growth factors (molecules that stimulate the growth of cells);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precise selection of immature cell populations for further growth and development.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By influencing key branch points in the cellular differentiation process, our pluripotent stem cell technologies can produce fully differentiated, non-transformed, highly functional human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an efficient, highly pure and reproducible process.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National Jewish Health (“NJH”) Exclusive License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an exclusive patent license from NJH. The remaining unexpired patent property is a US patent that contains claims covering composition of matter relating to specific immature multipotent cell populations and applications of such cells for ES Cell-derived immature multipotent precursors of all the cells of the mesoderm and endoderm lineages. Among other cell types, this covers cells of the heart, liver, pancreas, blood, connective tissues, vascular system, gut and lung cells.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This license agreement requires us to pay NJH a percentage of our total revenues for sales of products made under the license in each calendar year, together with minimum annual payments. Additionally, this license agreement requires us to make certain royalty payments on sublicensing of such technology. However, the license agreement also includes anti-stacking provisions which reduce our payment obligations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3" w:name="page64"/>
    <w:bookmarkEnd w:id="63"/>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Icahn School of Medicine at Mount Sinai School (MSSM) Exclusive License</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We have an exclusive, field restricted, license to three U.S. patents, three U.S. patent applications, and several foreign counterparts filed by MSSM. Foreign patents have been issued and maintained in Canada, Australia and</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Singapore. These patent properties have claims covering composition of matter relating to specific populations of cells and precursors, methods to produce such cells, and applications of such cells, including:</w:t>
      </w:r>
    </w:p>
    <w:p>
      <w:pPr>
        <w:spacing w:after="0" w:line="141" w:lineRule="exact"/>
        <w:rPr>
          <w:sz w:val="20"/>
          <w:szCs w:val="20"/>
          <w:color w:val="auto"/>
        </w:rPr>
      </w:pPr>
    </w:p>
    <w:p>
      <w:pPr>
        <w:ind w:left="408" w:hanging="408"/>
        <w:spacing w:after="0"/>
        <w:tabs>
          <w:tab w:leader="none" w:pos="4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use of certain growth factors to generate mesoderm (that is, the precursors capable of developing into cells of the heart, blood system, connective tissues, and vascular system) from hESCs;</w:t>
      </w:r>
    </w:p>
    <w:p>
      <w:pPr>
        <w:spacing w:after="0" w:line="150" w:lineRule="exact"/>
        <w:rPr>
          <w:rFonts w:ascii="Arial" w:cs="Arial" w:eastAsia="Arial" w:hAnsi="Arial"/>
          <w:sz w:val="12"/>
          <w:szCs w:val="12"/>
          <w:color w:val="auto"/>
        </w:rPr>
      </w:pPr>
    </w:p>
    <w:p>
      <w:pPr>
        <w:ind w:left="408" w:hanging="408"/>
        <w:spacing w:after="0" w:line="276" w:lineRule="auto"/>
        <w:tabs>
          <w:tab w:leader="none" w:pos="4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14" w:lineRule="exact"/>
        <w:rPr>
          <w:rFonts w:ascii="Arial" w:cs="Arial" w:eastAsia="Arial" w:hAnsi="Arial"/>
          <w:sz w:val="12"/>
          <w:szCs w:val="12"/>
          <w:color w:val="auto"/>
        </w:rPr>
      </w:pPr>
    </w:p>
    <w:p>
      <w:pPr>
        <w:ind w:left="408" w:hanging="408"/>
        <w:spacing w:after="0"/>
        <w:tabs>
          <w:tab w:leader="none" w:pos="4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 xml:space="preserve">applications of cells derived from mesoderm and endoderm precursors, especially those relating to drug discovery and testing for applications in the field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development applications.</w:t>
      </w:r>
    </w:p>
    <w:p>
      <w:pPr>
        <w:spacing w:after="0" w:line="150"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This license agreement requires us to pay annual license fees, patent prosecution and maintenance fees and royalty payments that vary based on product sales and services that are covered by the MSSM patent rights, as well fees for sublicensing. Any drug candidates that we develop, including any drug rescue NCEs, will only require royalty payments to the extent, if any,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Our Patents</w:t>
      </w:r>
    </w:p>
    <w:p>
      <w:pPr>
        <w:spacing w:after="0" w:line="168"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registered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material patents currently related to the generation of human heart and liver cells for use in connection with our drug rescue activities are set forth below:</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Territory</w:t>
            </w:r>
          </w:p>
        </w:tc>
        <w:tc>
          <w:tcPr>
            <w:tcW w:w="320" w:type="dxa"/>
            <w:vAlign w:val="bottom"/>
          </w:tcPr>
          <w:p>
            <w:pPr>
              <w:spacing w:after="0"/>
              <w:rPr>
                <w:sz w:val="13"/>
                <w:szCs w:val="13"/>
                <w:color w:val="auto"/>
              </w:rPr>
            </w:pPr>
          </w:p>
        </w:tc>
        <w:tc>
          <w:tcPr>
            <w:tcW w:w="1760" w:type="dxa"/>
            <w:vAlign w:val="bottom"/>
          </w:tcPr>
          <w:p>
            <w:pPr>
              <w:jc w:val="right"/>
              <w:ind w:right="1160"/>
              <w:spacing w:after="0"/>
              <w:rPr>
                <w:sz w:val="20"/>
                <w:szCs w:val="20"/>
                <w:color w:val="auto"/>
              </w:rPr>
            </w:pPr>
            <w:r>
              <w:rPr>
                <w:rFonts w:ascii="Arial" w:cs="Arial" w:eastAsia="Arial" w:hAnsi="Arial"/>
                <w:sz w:val="12"/>
                <w:szCs w:val="12"/>
                <w:b w:val="1"/>
                <w:bCs w:val="1"/>
                <w:color w:val="auto"/>
                <w:w w:val="87"/>
              </w:rPr>
              <w:t>Patent No.</w:t>
            </w:r>
          </w:p>
        </w:tc>
        <w:tc>
          <w:tcPr>
            <w:tcW w:w="320" w:type="dxa"/>
            <w:vAlign w:val="bottom"/>
          </w:tcPr>
          <w:p>
            <w:pPr>
              <w:spacing w:after="0"/>
              <w:rPr>
                <w:sz w:val="13"/>
                <w:szCs w:val="13"/>
                <w:color w:val="auto"/>
              </w:rPr>
            </w:pPr>
          </w:p>
        </w:tc>
        <w:tc>
          <w:tcPr>
            <w:tcW w:w="5520" w:type="dxa"/>
            <w:vAlign w:val="bottom"/>
          </w:tcPr>
          <w:p>
            <w:pPr>
              <w:spacing w:after="0"/>
              <w:rPr>
                <w:sz w:val="20"/>
                <w:szCs w:val="20"/>
                <w:color w:val="auto"/>
              </w:rPr>
            </w:pPr>
            <w:r>
              <w:rPr>
                <w:rFonts w:ascii="Arial" w:cs="Arial" w:eastAsia="Arial" w:hAnsi="Arial"/>
                <w:sz w:val="12"/>
                <w:szCs w:val="12"/>
                <w:b w:val="1"/>
                <w:bCs w:val="1"/>
                <w:color w:val="auto"/>
              </w:rPr>
              <w:t>General Subject Matter</w:t>
            </w:r>
          </w:p>
        </w:tc>
        <w:tc>
          <w:tcPr>
            <w:tcW w:w="320" w:type="dxa"/>
            <w:vAlign w:val="bottom"/>
          </w:tcPr>
          <w:p>
            <w:pPr>
              <w:spacing w:after="0"/>
              <w:rPr>
                <w:sz w:val="13"/>
                <w:szCs w:val="13"/>
                <w:color w:val="auto"/>
              </w:rPr>
            </w:pPr>
          </w:p>
        </w:tc>
        <w:tc>
          <w:tcPr>
            <w:tcW w:w="2120" w:type="dxa"/>
            <w:vAlign w:val="bottom"/>
          </w:tcPr>
          <w:p>
            <w:pPr>
              <w:spacing w:after="0"/>
              <w:rPr>
                <w:sz w:val="20"/>
                <w:szCs w:val="20"/>
                <w:color w:val="auto"/>
              </w:rPr>
            </w:pPr>
            <w:r>
              <w:rPr>
                <w:rFonts w:ascii="Arial" w:cs="Arial" w:eastAsia="Arial" w:hAnsi="Arial"/>
                <w:sz w:val="12"/>
                <w:szCs w:val="12"/>
                <w:b w:val="1"/>
                <w:bCs w:val="1"/>
                <w:color w:val="auto"/>
              </w:rPr>
              <w:t>Expiration</w:t>
            </w:r>
          </w:p>
        </w:tc>
      </w:tr>
      <w:tr>
        <w:trPr>
          <w:trHeight w:val="142"/>
        </w:trPr>
        <w:tc>
          <w:tcPr>
            <w:tcW w:w="20" w:type="dxa"/>
            <w:vAlign w:val="bottom"/>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US</w:t>
            </w:r>
          </w:p>
        </w:tc>
        <w:tc>
          <w:tcPr>
            <w:tcW w:w="320" w:type="dxa"/>
            <w:vAlign w:val="bottom"/>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right"/>
              <w:ind w:right="920"/>
              <w:spacing w:after="0"/>
              <w:rPr>
                <w:sz w:val="20"/>
                <w:szCs w:val="20"/>
                <w:color w:val="auto"/>
              </w:rPr>
            </w:pPr>
            <w:r>
              <w:rPr>
                <w:rFonts w:ascii="Arial" w:cs="Arial" w:eastAsia="Arial" w:hAnsi="Arial"/>
                <w:sz w:val="12"/>
                <w:szCs w:val="12"/>
                <w:color w:val="auto"/>
              </w:rPr>
              <w:t>7,763,466</w:t>
            </w:r>
          </w:p>
        </w:tc>
        <w:tc>
          <w:tcPr>
            <w:tcW w:w="320" w:type="dxa"/>
            <w:vAlign w:val="bottom"/>
            <w:shd w:val="clear" w:color="auto" w:fill="CCEEFF"/>
          </w:tcPr>
          <w:p>
            <w:pPr>
              <w:spacing w:after="0"/>
              <w:rPr>
                <w:sz w:val="12"/>
                <w:szCs w:val="12"/>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Method to produce endoderm cells</w:t>
            </w:r>
          </w:p>
        </w:tc>
        <w:tc>
          <w:tcPr>
            <w:tcW w:w="320" w:type="dxa"/>
            <w:vAlign w:val="bottom"/>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May 2025</w:t>
            </w: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US</w:t>
            </w:r>
          </w:p>
        </w:tc>
        <w:tc>
          <w:tcPr>
            <w:tcW w:w="2080" w:type="dxa"/>
            <w:vAlign w:val="bottom"/>
            <w:gridSpan w:val="2"/>
          </w:tcPr>
          <w:p>
            <w:pPr>
              <w:jc w:val="right"/>
              <w:ind w:right="920"/>
              <w:spacing w:after="0"/>
              <w:rPr>
                <w:sz w:val="20"/>
                <w:szCs w:val="20"/>
                <w:color w:val="auto"/>
              </w:rPr>
            </w:pPr>
            <w:r>
              <w:rPr>
                <w:rFonts w:ascii="Arial" w:cs="Arial" w:eastAsia="Arial" w:hAnsi="Arial"/>
                <w:sz w:val="12"/>
                <w:szCs w:val="12"/>
                <w:color w:val="auto"/>
              </w:rPr>
              <w:t>7,955,849</w:t>
            </w:r>
          </w:p>
        </w:tc>
        <w:tc>
          <w:tcPr>
            <w:tcW w:w="3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Method of enriching population of mesoderm cells</w:t>
            </w:r>
          </w:p>
        </w:tc>
        <w:tc>
          <w:tcPr>
            <w:tcW w:w="3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May 2023</w:t>
            </w: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US</w:t>
            </w:r>
          </w:p>
        </w:tc>
        <w:tc>
          <w:tcPr>
            <w:tcW w:w="20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8,143,009</w:t>
            </w:r>
          </w:p>
        </w:tc>
        <w:tc>
          <w:tcPr>
            <w:tcW w:w="320" w:type="dxa"/>
            <w:vAlign w:val="bottom"/>
            <w:shd w:val="clear" w:color="auto" w:fill="CCEEFF"/>
          </w:tcPr>
          <w:p>
            <w:pPr>
              <w:spacing w:after="0"/>
              <w:rPr>
                <w:sz w:val="12"/>
                <w:szCs w:val="1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Toxicity typing using liver stem cells</w:t>
            </w:r>
          </w:p>
        </w:tc>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June 2023</w:t>
            </w: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US</w:t>
            </w:r>
          </w:p>
        </w:tc>
        <w:tc>
          <w:tcPr>
            <w:tcW w:w="2080" w:type="dxa"/>
            <w:vAlign w:val="bottom"/>
            <w:gridSpan w:val="2"/>
          </w:tcPr>
          <w:p>
            <w:pPr>
              <w:jc w:val="right"/>
              <w:ind w:right="920"/>
              <w:spacing w:after="0"/>
              <w:rPr>
                <w:sz w:val="20"/>
                <w:szCs w:val="20"/>
                <w:color w:val="auto"/>
              </w:rPr>
            </w:pPr>
            <w:r>
              <w:rPr>
                <w:rFonts w:ascii="Arial" w:cs="Arial" w:eastAsia="Arial" w:hAnsi="Arial"/>
                <w:sz w:val="12"/>
                <w:szCs w:val="12"/>
                <w:color w:val="auto"/>
              </w:rPr>
              <w:t>8,512,957</w:t>
            </w:r>
          </w:p>
        </w:tc>
        <w:tc>
          <w:tcPr>
            <w:tcW w:w="3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Toxicity typing using liver stem cells</w:t>
            </w:r>
          </w:p>
        </w:tc>
        <w:tc>
          <w:tcPr>
            <w:tcW w:w="3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June 2021</w:t>
            </w: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US</w:t>
            </w:r>
          </w:p>
        </w:tc>
        <w:tc>
          <w:tcPr>
            <w:tcW w:w="20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8,748,171</w:t>
            </w:r>
          </w:p>
        </w:tc>
        <w:tc>
          <w:tcPr>
            <w:tcW w:w="320" w:type="dxa"/>
            <w:vAlign w:val="bottom"/>
            <w:shd w:val="clear" w:color="auto" w:fill="CCEEFF"/>
          </w:tcPr>
          <w:p>
            <w:pPr>
              <w:spacing w:after="0"/>
              <w:rPr>
                <w:sz w:val="12"/>
                <w:szCs w:val="1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Cell population enriched for endoderm cells</w:t>
            </w:r>
          </w:p>
        </w:tc>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November 2023</w:t>
            </w:r>
          </w:p>
        </w:tc>
      </w:tr>
    </w:tbl>
    <w:p>
      <w:pPr>
        <w:spacing w:after="0" w:line="15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With respect to AV-101, we have filed four new patent applications, as noted above.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Trade Secrets</w:t>
      </w:r>
    </w:p>
    <w:p>
      <w:pPr>
        <w:spacing w:after="0" w:line="168"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Sponsored Research Collaborations and Intellectual Property Rights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University Health Network, McEwen Centre for Regenerative Medicine, Toronto, Ontario</w:t>
      </w:r>
    </w:p>
    <w:p>
      <w:pPr>
        <w:spacing w:after="0" w:line="168"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Our strategic relationship with our co-founder, Dr. Gordon Keller, Director of the UHN’s McEwen Centre, is focused on, among other things, developing improved methods for differentiation of cardiomyocytes (heart cells) from hPSCs, and their uses in bioassay systems for drug discovery and drug development, including drug rescue. Pursuant to our sponsored research collaboration agreement with UHN, we have acquired exclusive worldwide rights to patent applications in the U.S. and foreign countries on multiple inventions arising from studies we have sponsored, under pre-negotiated license terms. Such pre-negotiated terms provide for royalty payments based on product sales that incorporate the licensed technology and milestone payments based on the achievement of certain events. Any drug rescue NCEs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23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4" w:name="page65"/>
    <w:bookmarkEnd w:id="6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sponsored research collaboration agreement (“</w:t>
      </w:r>
      <w:r>
        <w:rPr>
          <w:rFonts w:ascii="Arial" w:cs="Arial" w:eastAsia="Arial" w:hAnsi="Arial"/>
          <w:sz w:val="12"/>
          <w:szCs w:val="12"/>
          <w:i w:val="1"/>
          <w:iCs w:val="1"/>
          <w:color w:val="auto"/>
        </w:rPr>
        <w:t>SRCA</w:t>
      </w:r>
      <w:r>
        <w:rPr>
          <w:rFonts w:ascii="Arial" w:cs="Arial" w:eastAsia="Arial" w:hAnsi="Arial"/>
          <w:sz w:val="12"/>
          <w:szCs w:val="12"/>
          <w:color w:val="auto"/>
        </w:rPr>
        <w:t>”) with UHN, as amended, has a term of ten years, ending on September 18, 2017. We are currently in discussions with Dr. Keller and UHN regarding the scope of potential new sponsored research projects under the SRCA.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UHN Licenses for Stem Cell Culture Technology</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In October 2011, we licensed stem cell culture technology from UHN’s McEwen Centre pursuant to the SCRA. This exclusive license conveyed rights to a patent application entitled “Methods for enriching pluripotent stem cell derived cardiomyocyte progenitor cells and cardiomyocyte (heart) cells based on SIRPA expression” covered by U.S. Provisional 61/377,665 and PCT patent application WO/2012/024782, and any related patent application claiming priority from these. This technology involves a heretofore unknown cell surface protein, SIRPA (signal-regulatory protein alpha) that is expressed by early immature precursors for cardiomyocytes. Antibodies specific to SIRPA allow the identification and enrichment of these early cardiomyocyte precursors, which we believe will provide benefits in terms of purity, functionality and reproducibility for not only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safety assays for drug screening and development, but also potentially for production of cardiomyocytes for cell therapy and regenerative medicine applications.</w:t>
      </w:r>
    </w:p>
    <w:p>
      <w:pPr>
        <w:spacing w:after="0" w:line="126"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In April 2012, we licensed stem cell culture technology from UHN’s McEwen Centre pursuant to the SCRA. The licensed technology may be used to develop hematopoietic precursor stem cells from human pluripotent stem cells, with the goal of developing drug discovery screening and regenerative medicine applications for human blood system disorders. This technology is covered by U.S. Provisional US61/562,094 and PCT patent application WO/2013/075222, and any related patent application claiming priority from these. We believe this stem cell technology dramatically advances our ability to produce and purify this important blood stem cell precursor for both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we are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In December 2014, we licensed stem cell culture technology from UHN’s McEwen Centre pursuant to the SCRA. This exclusive license conveyed rights to a patent application entitled “Methods for generating hepatocytes and cholangiocytes from pluripotent stem cells” covered by PCT patent application WO/2014/124527, and any future patent application claiming priority from it. The licensed technology describes advanced methods for the production of mature hepatocytes and cholangiocytes, the primary cell types of the liver. The liver plays an important role in many bodily functions including protein production, blood clotting, as well as glucose, iron and lipid metabolism. Hepatocytes are the major cells responsible for metabolizing drugs, drug-drug interactions, and are the target for a variety of liver diseases including drug-induced liver failure, Cirrhosis, and viral infections. Cholangiocytes are the precursors for the biliary system found in the liver, i.e. bile ducts and gallbladder. The biliary system is a significant target for many conditions, including drug toxicities, cholecystitis, and liver-related abnormal function associated with the cystic fibrosis mutation. The licensed technology now enables us to more efficiently produce, human hepatocytes and cholangiocytes with more adult-like functions for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toxicity assays to support our drug rescue programs, as well as the therapeutic potential for cell-based therapies.</w:t>
      </w:r>
    </w:p>
    <w:p>
      <w:pPr>
        <w:spacing w:after="0" w:line="13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December 2014, we licensed stem cell culture technology from UHN’s McEwen Centre pursuant to the SCRA. This exclusive license conveyed rights to patent application entitled “Methods and Compositions for Generating Epicardium Cells” covered by PCT patent application WO/2015/035506 application, and any future patent application claiming priority from it. The epicardium is the outer cell layer on top of the heart muscle (cardiomyocytes), and is essential for proper development of the heart and plays an important role in cardiac recovery during disease. The epicardium plays a critical role in the differentiation, expansion, and maturation of cardiomyocytes during development, or during cardiac repair responses. This technology will be important to developing the next generation of engineered cardiac tissue, or their function in cell therapy approaches.</w:t>
      </w:r>
    </w:p>
    <w:p>
      <w:pPr>
        <w:spacing w:after="0" w:line="10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December 2014, we licensed stem cell culture technology from UHN’s McEwen Centre pursuant to the SCRA. This exclusive license conveyed rights to patent application entitled “Methods and compositions for generating chondrocyte lineage cells and/or cartilage like tissue” covered by PCT patent application WO/2014/161075 application, and any future patent application claiming priority from it. There are two type of chondrocytes, “articular” and “growth plate”. Articular chondrocytes are responsible for cartilage that lines our joints, whereas growth plate chondrocytes are involved with new bone formation. Osteoarthritis is debilitating joint diseases resulting from the degeneration of articular cartilage leading to inappropriate bone development (spurs) in the joint. These technologies will allow us to develop in vitro assays to study the process of the degeneration of articular cartilage, and provides novel tools for testing drugs that have the potential to reduce this degeneration. These cells also provide the necessary cells for developing cell therapy approaches for treating osteoarthritis.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2"/>
          <w:szCs w:val="12"/>
          <w:b w:val="1"/>
          <w:bCs w:val="1"/>
          <w:i w:val="1"/>
          <w:iCs w:val="1"/>
          <w:color w:val="auto"/>
        </w:rPr>
        <w:t>U.S. Government Rights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NIMH or other federal grants.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5" w:name="page66"/>
    <w:bookmarkEnd w:id="6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antidepressant medications to treat patients with MDD.</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the field of new generation antidepressants focused on modulation of the NMDAR, our principal competitor is Naurex, Inc., which is developing GLYX-13 and NRX-1074 for treatment-resistant MDD. On July 26, 2015, Allergan plc, a global pharmaceutical company, announced that it will acquire GLYX-13 and NRX-1074 from Naurex, Inc. for a $560 million up front payment, as well as potential research and development success-based and sales threshold milestone payments. Although each of these drug candidates is a peptide and may not be orally active (GLYX-13 is only administered intravenously and, we believe, NRX-1074 has not yet been administered orally to human subjects), both are new generation NMDAR modulators focused on the GyB site of the NMDAR.</w:t>
      </w:r>
    </w:p>
    <w:p>
      <w:pPr>
        <w:spacing w:after="0" w:line="125"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companies have programs to develop small molecule drug candidates for the treatment of depression, including MDD, epilepsy, neuropathic pain, Parkinson’s disease and other neurological conditions and diseases, including, but not limited to, Abbott Laboratories, Allergan, AstraZeneca, Eli Lilly, GlaxoSmithKline, Johnson &amp; Johnson, Lundbeck, Merck, Novartis, Otsuka, Pfizer, Roche,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pacing w:after="0" w:line="12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We believe that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safety testing, contract predictive toxicology drug screening services for third parties, internal drug discovery, drug development and drug rescue of new , and regenerative medicine, including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cell therapy research and development. A representative list of such biopharmaceutical companies pursuing one or more of these potential applications of adult and/or hPSCl technology includes the following: Acea Biosciences, Advanced Cell Technology, Athersys, BioCardia, BioTime, Cellectis Bioresearch, Cellerant Therapeutics, Cytori Therapeutics, Fujifilm Holdings,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6" w:name="page67"/>
    <w:bookmarkEnd w:id="6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Drug Development</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the United States, the FDA regulates drugs under the Federal Food, Drug, and Cosmetic Act, or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115" w:lineRule="exact"/>
        <w:rPr>
          <w:sz w:val="20"/>
          <w:szCs w:val="20"/>
          <w:color w:val="auto"/>
        </w:rPr>
      </w:pPr>
    </w:p>
    <w:p>
      <w:pPr>
        <w:ind w:left="920" w:hanging="340"/>
        <w:spacing w:after="0" w:line="276" w:lineRule="auto"/>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Completion of extensive non-clinical, sometimes referred to as non-clinical laboratory tests, non-clinical animal studies and formulation studies in accordance with applicable regulations, including the FDA’s current Good Laboratory Practice, or GLP, regulations;</w:t>
      </w:r>
    </w:p>
    <w:p>
      <w:pPr>
        <w:spacing w:after="0" w:line="114" w:lineRule="exact"/>
        <w:rPr>
          <w:rFonts w:ascii="Arial" w:cs="Arial" w:eastAsia="Arial" w:hAnsi="Arial"/>
          <w:sz w:val="12"/>
          <w:szCs w:val="12"/>
          <w:color w:val="auto"/>
        </w:rPr>
      </w:pPr>
    </w:p>
    <w:p>
      <w:pPr>
        <w:ind w:left="920" w:hanging="340"/>
        <w:spacing w:after="0"/>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Submission to the FDA of an IND application, which must become effective before human clinical trials may begin;</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Approval by an independent institutional review board, or IRB, or ethics committee at each clinical trial site before each trial may be initiated;</w:t>
      </w:r>
    </w:p>
    <w:p>
      <w:pPr>
        <w:spacing w:after="0" w:line="168" w:lineRule="exact"/>
        <w:rPr>
          <w:rFonts w:ascii="Arial" w:cs="Arial" w:eastAsia="Arial" w:hAnsi="Arial"/>
          <w:sz w:val="12"/>
          <w:szCs w:val="12"/>
          <w:color w:val="auto"/>
        </w:rPr>
      </w:pPr>
    </w:p>
    <w:p>
      <w:pPr>
        <w:ind w:left="920" w:right="20" w:hanging="340"/>
        <w:spacing w:after="0" w:line="276" w:lineRule="auto"/>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each proposed indication;</w:t>
      </w:r>
    </w:p>
    <w:p>
      <w:pPr>
        <w:spacing w:after="0" w:line="114" w:lineRule="exact"/>
        <w:rPr>
          <w:rFonts w:ascii="Arial" w:cs="Arial" w:eastAsia="Arial" w:hAnsi="Arial"/>
          <w:sz w:val="12"/>
          <w:szCs w:val="12"/>
          <w:color w:val="auto"/>
        </w:rPr>
      </w:pPr>
    </w:p>
    <w:p>
      <w:pPr>
        <w:ind w:left="920" w:hanging="340"/>
        <w:spacing w:after="0"/>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Submission to the FDA of an NDA, for a new drug;</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 determination by the FDA within 60 days of its receipt of an NDA to file the NDA for review;</w:t>
      </w:r>
    </w:p>
    <w:p>
      <w:pPr>
        <w:spacing w:after="0" w:line="150"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Satisfactory completion of an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14" w:lineRule="exact"/>
        <w:rPr>
          <w:rFonts w:ascii="Arial" w:cs="Arial" w:eastAsia="Arial" w:hAnsi="Arial"/>
          <w:sz w:val="12"/>
          <w:szCs w:val="12"/>
          <w:color w:val="auto"/>
        </w:rPr>
      </w:pPr>
    </w:p>
    <w:p>
      <w:pPr>
        <w:ind w:left="920" w:hanging="340"/>
        <w:spacing w:after="0"/>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Potential FDA audit of the non-clinical and/or clinical trial sites that generated the data in support of the NDA;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FDA review and approval of the NDA, including consideration of the views of any FDA advisory committee, prior to any commercial marketing or sale of the drug in the United States.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non-clinical and clinical testing and approval process requires substantial time, effort and financial resources, and we cannot be certain that any approvals for our product candidates will be granted on a timely basis, if at all.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Non-clinical tests include laboratory evaluation of product chemistry, formulation, stability and toxicity, as well as animal studies to assess the characteristics and potential safety and efficacy of the product.</w:t>
      </w:r>
    </w:p>
    <w:p>
      <w:pPr>
        <w:spacing w:after="0" w:line="14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7" w:name="page68"/>
    <w:bookmarkEnd w:id="6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4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Clinical Trials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Clinical trials are generally conducted in three sequential phases that may overlap, known as Phase 1, Phase 2 and Phase 3 clinical trials.</w:t>
      </w:r>
    </w:p>
    <w:p>
      <w:pPr>
        <w:spacing w:after="0" w:line="150" w:lineRule="exact"/>
        <w:rPr>
          <w:sz w:val="20"/>
          <w:szCs w:val="20"/>
          <w:color w:val="auto"/>
        </w:rPr>
      </w:pPr>
    </w:p>
    <w:p>
      <w:pPr>
        <w:ind w:left="920" w:hanging="340"/>
        <w:spacing w:after="0" w:line="276" w:lineRule="auto"/>
        <w:tabs>
          <w:tab w:leader="none" w:pos="9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132"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132" w:lineRule="exact"/>
        <w:rPr>
          <w:rFonts w:ascii="Arial" w:cs="Arial" w:eastAsia="Arial" w:hAnsi="Arial"/>
          <w:sz w:val="12"/>
          <w:szCs w:val="12"/>
          <w:color w:val="auto"/>
        </w:rPr>
      </w:pPr>
    </w:p>
    <w:p>
      <w:pPr>
        <w:jc w:val="both"/>
        <w:ind w:left="920" w:hanging="340"/>
        <w:spacing w:after="0" w:line="263" w:lineRule="auto"/>
        <w:tabs>
          <w:tab w:leader="none" w:pos="9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Phase 3 clinical trials generally involve large numbers of patients at multiple sites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1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Progress reports detailing the results of the clinical trials must be submitted at least annually to the FDA and written IND safety reports must be submitted to the FDA and the investigators for serious and unexpected suspected adverse events, finding from other studies, or any finding from animal or in vitro testing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8" w:name="page69"/>
    <w:bookmarkEnd w:id="6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NDA and FDA review process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United States.</w:t>
      </w:r>
    </w:p>
    <w:p>
      <w:pPr>
        <w:spacing w:after="0" w:line="12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Under the Prescription Drug User Fee Act, or PDUFA, as amended, each NDA must be accompanied by a user fee. The FDA adjusts the PDUFA user fees on an annual basis. According to the FDA’s fee schedule, effective through December 31, 2014, the user fee for an application requiring clinical data, such as an NDA, is $2.2 million. PDUFA also imposes an annual product fee for human drugs of $0.1 million and an annual establishment fee of $0.6 million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43"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25"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9" w:name="page70"/>
    <w:bookmarkEnd w:id="6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involves clinical trials designed to further assess a drug’s safety and efficacy and may require testing and surveillance programs to monitor the safety of approved products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Orphan Drug Designation</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0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Expedited Development and Review Programs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as a Fast Track product at any time during the clinical development of the product. Unique to a Fast Track product,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2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offers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 product may also be eligible for accelerated approval. Drugs studied for their safety and efficacy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134" w:lineRule="exact"/>
        <w:rPr>
          <w:sz w:val="20"/>
          <w:szCs w:val="20"/>
          <w:color w:val="auto"/>
        </w:rPr>
      </w:pPr>
    </w:p>
    <w:p>
      <w:pPr>
        <w:ind w:left="920" w:hanging="340"/>
        <w:spacing w:after="0"/>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distribution restricted to certain facilities or physicians with special training or experience; or</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distribution conditioned on the performance of specified medical procedures.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0" w:name="page71"/>
    <w:bookmarkEnd w:id="7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Additionally, a drug may be eligible for designation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indications. The benefits of breakthrough therapy designation includes the same benefits as fast track designation, plus intensive guidance from FDA to ensure an efficient drug development program. Fast Track designation, priority review, accelerated approval and breakthrough designation do not change the standards for approval, but may expedite the development or approval process.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Pediatric Trials</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Food and Drug Administration Safety and Innovation Act, or FDASIA,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Post-Marketing Requirements</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or the PDMA, a part of the FDCA.</w:t>
      </w:r>
    </w:p>
    <w:p>
      <w:pPr>
        <w:spacing w:after="0" w:line="135"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1" w:name="page72"/>
    <w:bookmarkEnd w:id="7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Regulatory Matters</w:t>
      </w:r>
    </w:p>
    <w:p>
      <w:pPr>
        <w:spacing w:after="0" w:line="16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United States Department of Justice,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Patient Protection and Affordable Health Care Act, as amended by the Health Care and Education Reconciliation Act of 2010, or collectively the ACA, among other things, amends the intent requirement of the federal Anti-Kickback Statute and criminal healthcare fraud statutes created by the federal Health Insurance Portability and Accountability Act of 1996, or HIPAA. A person or entity no longer needs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36"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Although we would not submit claims directly to payors, drug manufacturers can be held liable under the federal False Claims Act, which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Pricing and rebate programs must comply with the Medicaid rebate requirements of the U.S. Omnibus Budget Reconciliation Act of 1990 and more recent requirements in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43"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2" w:name="page73"/>
    <w:bookmarkEnd w:id="7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Patent Term Restoration and Marketing Exclusivity</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49"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 Drug Development</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15"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2"/>
          <w:szCs w:val="12"/>
          <w:color w:val="auto"/>
        </w:rPr>
        <w:t>Similar to the United States, the various phases of non-clinical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4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EU clinical trials legislation is currently undergoing a revision process mainly aimed at harmonizing and streamlining the clinical trials authorization process, simplifying adverse event reporting procedures, improving the supervision of clinical trials, and increasing their transparency.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3" w:name="page74"/>
    <w:bookmarkEnd w:id="7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 Drug Review and Approval</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4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 New Chemical Entity Exclusivity</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 Orphan Designation and Exclusivity</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12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4" w:name="page75"/>
    <w:bookmarkEnd w:id="7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 of the World Regulation</w:t>
      </w:r>
    </w:p>
    <w:p>
      <w:pPr>
        <w:spacing w:after="0" w:line="16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In all cases, the clinical trials must be conducted in accordance with cGCP requirements and the applicable regulatory requirements and the ethical principles that have their origin in the Declaration of Helsinki.</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Reimbursement</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4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5" w:name="page76"/>
    <w:bookmarkEnd w:id="7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1"/>
          <w:szCs w:val="11"/>
          <w:color w:val="auto"/>
        </w:rPr>
        <w:t>The ACA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full impact of the ACA on our business as many of the ACA reforms require the promulgation of detailed regulations implementing the statutory provisions that has not yet occurred. For example, the ACA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were required to submit reports to CMS by March 31, 2014 (and by the 90th day of each subsequent calendar year). In addition, many states have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federal and state regulation of payments made to physicians. Certain states mandate implementation of compliance programs, impose restrictions on drug manufacturers’ marketing practices and/or require the tracking and reporting of gifts, compensation and other remuneration to physicians.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or the ATRA,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Technology - United States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w:t>
      </w:r>
      <w:r>
        <w:rPr>
          <w:rFonts w:ascii="Arial" w:cs="Arial" w:eastAsia="Arial" w:hAnsi="Arial"/>
          <w:sz w:val="12"/>
          <w:szCs w:val="12"/>
          <w:i w:val="1"/>
          <w:iCs w:val="1"/>
          <w:color w:val="auto"/>
        </w:rPr>
        <w:t>ISSCR”</w:t>
      </w:r>
      <w:r>
        <w:rPr>
          <w:rFonts w:ascii="Arial" w:cs="Arial" w:eastAsia="Arial" w:hAnsi="Arial"/>
          <w:sz w:val="12"/>
          <w:szCs w:val="12"/>
          <w:color w:val="auto"/>
        </w:rPr>
        <w:t>), or the NIH. These procedures and documentation have been reviewed by an external Stem Cell Research Oversight Committee, and all cell lines we use have been approved under one or more of these guidelines.</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6" w:name="page77"/>
    <w:bookmarkEnd w:id="7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Technology - Canada</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2"/>
          <w:szCs w:val="12"/>
          <w:i w:val="1"/>
          <w:iCs w:val="1"/>
          <w:color w:val="auto"/>
        </w:rPr>
        <w:t>Guidelines</w:t>
      </w:r>
      <w:r>
        <w:rPr>
          <w:rFonts w:ascii="Arial" w:cs="Arial" w:eastAsia="Arial" w:hAnsi="Arial"/>
          <w:sz w:val="12"/>
          <w:szCs w:val="12"/>
          <w:color w:val="auto"/>
        </w:rPr>
        <w:t>) issued by the Canadian Institutes of Health Research; the Tri-Council Statement: Ethical Conduct for Research Involving Humans (“</w:t>
      </w:r>
      <w:r>
        <w:rPr>
          <w:rFonts w:ascii="Arial" w:cs="Arial" w:eastAsia="Arial" w:hAnsi="Arial"/>
          <w:sz w:val="12"/>
          <w:szCs w:val="12"/>
          <w:i w:val="1"/>
          <w:iCs w:val="1"/>
          <w:color w:val="auto"/>
        </w:rPr>
        <w:t>TCPS”</w:t>
      </w:r>
      <w:r>
        <w:rPr>
          <w:rFonts w:ascii="Arial" w:cs="Arial" w:eastAsia="Arial" w:hAnsi="Arial"/>
          <w:sz w:val="12"/>
          <w:szCs w:val="12"/>
          <w:color w:val="auto"/>
        </w:rPr>
        <w:t>); and the Assisted Human Reproduction Act (</w:t>
      </w:r>
      <w:r>
        <w:rPr>
          <w:rFonts w:ascii="Arial" w:cs="Arial" w:eastAsia="Arial" w:hAnsi="Arial"/>
          <w:sz w:val="12"/>
          <w:szCs w:val="12"/>
          <w:i w:val="1"/>
          <w:iCs w:val="1"/>
          <w:color w:val="auto"/>
        </w:rPr>
        <w:t>Act</w:t>
      </w:r>
      <w:r>
        <w:rPr>
          <w:rFonts w:ascii="Arial" w:cs="Arial" w:eastAsia="Arial" w:hAnsi="Arial"/>
          <w:sz w:val="12"/>
          <w:szCs w:val="12"/>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Act subjects all research conducted in Canada involving the human embryo, including hESC derivation (but not the stem cells once derived), to a licensing process overseen by a federal licensing agency. However, as of the date of this prospectus, the provisions of the Act regarding the licensing of hESC derivation were not in force</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not currently conducting stem cell research in Canada. We have, however, sponsored pluripotent stem cell research in Canada by Dr. Gordon Keller at UHN’s McEwen Centre. We anticipate conducting additional hPSC research (with both hESCs and hiPSCs), in collaboration with Dr. Keller and his research team, at UHN’s McEwen Centre during 2015 and beyond. Should the provisions of the Act come into force, we may have to apply for a license for all hESC research we may sponsor or conduct in Canada and ensure compliance of such research with the provisions of the Act.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Subsidiaries and Inter-Corporate Relationships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Canada should we elect to expand our U.S. operations into Canada; and Artemis Neuroscience, Inc., a corporation incorporated pursuant to the laws of the State of Maryland. The operations of VistaGen Therapeutics, Inc., a California corporation, and each of its two wholly owned subsidiaries are managed by our senior management team based in South San Francisco, California.</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As of August 15, 2015, we employed nine full-time employees, three of whom have doctorate degrees. Six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stock plan administration, investor relations and website maintenance, regulatory affairs, and FDA program management.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never had a work stoppage, and none of our employees is represented by a labor organization or under any collective bargaining agreement. We consider our employee relations to be is good.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lease our office and laboratory space, which consists of approximately 10,000 square feet located in South San Francisco, California. Our lease expires on July 31,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Regulation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business does not require us to comply with any particular unique environmental regulations.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7" w:name="page78"/>
    <w:bookmarkEnd w:id="7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PRICE OF COMMON STOCK AND OTHER STOCKHOLDER MATTERS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June 21, 2011, our common stock began trading on the OTC Marketplace (“</w:t>
      </w:r>
      <w:r>
        <w:rPr>
          <w:rFonts w:ascii="Arial" w:cs="Arial" w:eastAsia="Arial" w:hAnsi="Arial"/>
          <w:sz w:val="12"/>
          <w:szCs w:val="12"/>
          <w:i w:val="1"/>
          <w:iCs w:val="1"/>
          <w:color w:val="auto"/>
        </w:rPr>
        <w:t>OTCQB”</w:t>
      </w:r>
      <w:r>
        <w:rPr>
          <w:rFonts w:ascii="Arial" w:cs="Arial" w:eastAsia="Arial" w:hAnsi="Arial"/>
          <w:sz w:val="12"/>
          <w:szCs w:val="12"/>
          <w:color w:val="auto"/>
        </w:rPr>
        <w:t>), under the symbol “VSTA”. There was no established trading market for our common stock prior to that date.</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Shown below is the range of high and low sales prices for our common stock for the periods indicated as reported by the OTCQB. The market quotations reflect inter-dealer prices, without retail mark-up, mark-down or commissions and may not necessarily represent actual transactions. Effective August 14, 2014, we consummated a 1-for-20 reverse split of our authorized, and issued and outstanding shares of common stock (the </w:t>
      </w:r>
      <w:r>
        <w:rPr>
          <w:rFonts w:ascii="Arial" w:cs="Arial" w:eastAsia="Arial" w:hAnsi="Arial"/>
          <w:sz w:val="11"/>
          <w:szCs w:val="11"/>
          <w:i w:val="1"/>
          <w:iCs w:val="1"/>
          <w:color w:val="auto"/>
        </w:rPr>
        <w:t>Stock Consolidation</w:t>
      </w:r>
      <w:r>
        <w:rPr>
          <w:rFonts w:ascii="Arial" w:cs="Arial" w:eastAsia="Arial" w:hAnsi="Arial"/>
          <w:sz w:val="11"/>
          <w:szCs w:val="11"/>
          <w:color w:val="auto"/>
        </w:rPr>
        <w:t>). Each reference to the price per share of common stock in the table below is on a post-Stock Consolidation basis, and reflects the 1-for-20 adjustment as a result of the Stock Consolidation.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400"/>
              <w:spacing w:after="0"/>
              <w:rPr>
                <w:sz w:val="20"/>
                <w:szCs w:val="20"/>
                <w:color w:val="auto"/>
              </w:rPr>
            </w:pPr>
            <w:r>
              <w:rPr>
                <w:rFonts w:ascii="Arial" w:cs="Arial" w:eastAsia="Arial" w:hAnsi="Arial"/>
                <w:sz w:val="12"/>
                <w:szCs w:val="12"/>
                <w:b w:val="1"/>
                <w:bCs w:val="1"/>
                <w:color w:val="auto"/>
              </w:rPr>
              <w:t>High</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Low</w:t>
            </w:r>
          </w:p>
        </w:tc>
        <w:tc>
          <w:tcPr>
            <w:tcW w:w="0" w:type="dxa"/>
            <w:vAlign w:val="bottom"/>
          </w:tcPr>
          <w:p>
            <w:pPr>
              <w:spacing w:after="0"/>
              <w:rPr>
                <w:sz w:val="1"/>
                <w:szCs w:val="1"/>
                <w:color w:val="auto"/>
              </w:rPr>
            </w:pPr>
          </w:p>
        </w:tc>
      </w:tr>
      <w:tr>
        <w:trPr>
          <w:trHeight w:val="133"/>
        </w:trPr>
        <w:tc>
          <w:tcPr>
            <w:tcW w:w="8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Year Ending March 31, 2015</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First quarter ending June 30, 2015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1460" w:type="dxa"/>
            <w:vAlign w:val="bottom"/>
            <w:gridSpan w:val="2"/>
          </w:tcPr>
          <w:p>
            <w:pPr>
              <w:spacing w:after="0"/>
              <w:rPr>
                <w:sz w:val="12"/>
                <w:szCs w:val="12"/>
                <w:color w:val="auto"/>
              </w:rPr>
            </w:pPr>
          </w:p>
        </w:tc>
        <w:tc>
          <w:tcPr>
            <w:tcW w:w="7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Year Ending March 31, 2015</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7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First quarter ending June 30, 2014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14.80</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quarter ending September 30, 2014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Third quarter ending December 31, 2014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10.50</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Fourth quarter ending March 31, 2015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144"/>
        </w:trPr>
        <w:tc>
          <w:tcPr>
            <w:tcW w:w="1460" w:type="dxa"/>
            <w:vAlign w:val="bottom"/>
            <w:gridSpan w:val="2"/>
          </w:tcPr>
          <w:p>
            <w:pPr>
              <w:spacing w:after="0"/>
              <w:rPr>
                <w:sz w:val="12"/>
                <w:szCs w:val="12"/>
                <w:color w:val="auto"/>
              </w:rPr>
            </w:pPr>
          </w:p>
        </w:tc>
        <w:tc>
          <w:tcPr>
            <w:tcW w:w="7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Year Ending March 31, 2014</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7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First quarter ending June 30,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18.00</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quarter ending September 30, 2013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Third quarter ending December 31,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12.20</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Fourth quarter ending March 31, 2014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On August 24, 2015 the closing price of our common stock on the OTCQB was $10.00 per share.</w:t>
      </w:r>
    </w:p>
    <w:p>
      <w:pPr>
        <w:spacing w:after="0" w:line="150" w:lineRule="exact"/>
        <w:rPr>
          <w:sz w:val="20"/>
          <w:szCs w:val="20"/>
          <w:color w:val="auto"/>
        </w:rPr>
      </w:pPr>
    </w:p>
    <w:p>
      <w:pPr>
        <w:jc w:val="both"/>
        <w:ind w:firstLine="528"/>
        <w:spacing w:after="0" w:line="263" w:lineRule="auto"/>
        <w:rPr>
          <w:sz w:val="20"/>
          <w:szCs w:val="20"/>
          <w:color w:val="auto"/>
        </w:rPr>
      </w:pPr>
      <w:r>
        <w:rPr>
          <w:rFonts w:ascii="Arial" w:cs="Arial" w:eastAsia="Arial" w:hAnsi="Arial"/>
          <w:sz w:val="12"/>
          <w:szCs w:val="12"/>
          <w:color w:val="auto"/>
        </w:rPr>
        <w:t>As of August 24, 2015, we had 1,594,461 shares of common stock outstanding and approximately 300 stockholders of record. On the same date, two stockholders held all 500,000 outstanding restricted shares of our Series A Preferred Stock, which shares are convertible into 750,000 shares of common stock, and 62 stockholders held 3,491,465 outstanding shares of Series B 10% Convertible Preferred Stock, which shares are convertible into 3,491,465 shares of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never paid or declared any cash dividends on our common stock, and we do not anticipate paying any cash dividends on our common stock in the foreseeable future. Covenants in certain of our debt agreements prohibit us from paying dividends while the debt remains outstanding. Our Series B Preferred accrues dividends at a rate of 10% per annum, which dividends are payable solely in unregistered shares of our common stock at the time the Series B Preferred is converted into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Transfer Agent for our Common Stock is ComputerShare. The transfer agent’s address is 480 Washington Boulevard, 29</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Floor, Jersey City, NJ 07310.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8" w:name="page79"/>
    <w:bookmarkEnd w:id="7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SELECTED CONSOLIDATED FINANCIAL DATA</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smaller reporting company is not required to provide the information required by this item.</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72"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i w:val="1"/>
          <w:iCs w:val="1"/>
          <w:color w:val="auto"/>
        </w:rPr>
        <w:t>This prospectus includes forward-looking statements. All statements contained in this prospectus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prospectus.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1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prospectus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are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2"/>
          <w:szCs w:val="12"/>
          <w:i w:val="1"/>
          <w:iCs w:val="1"/>
          <w:color w:val="auto"/>
        </w:rPr>
        <w:t>CNS</w:t>
      </w:r>
      <w:r>
        <w:rPr>
          <w:rFonts w:ascii="Arial" w:cs="Arial" w:eastAsia="Arial" w:hAnsi="Arial"/>
          <w:sz w:val="12"/>
          <w:szCs w:val="12"/>
          <w:color w:val="auto"/>
        </w:rPr>
        <w:t>”), as well as cancer.</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More than one billion people worldwide suffer from CNS disorders. Recently, the economic burden of these disorders was estimated at $2.0 trillion in the U.S. and European Union alone, a figure that is expected to triple by 2030. The World Health Organization estimates that 350 million people worldwide are affected by depression. According to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major depression is one of the most common mental disorders in the U.S. In 2012, the NIH estimated 16 million adults aged 18 or older in the U.S. had at least one major depressive episode. This represented 6.7 percent of all U.S. adults.</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lead product candidate, AV-101, is an orally available small molecule prodrug in Phase 2 clinical development for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 AV-101’s mechanism of action (“</w:t>
      </w:r>
      <w:r>
        <w:rPr>
          <w:rFonts w:ascii="Arial" w:cs="Arial" w:eastAsia="Arial" w:hAnsi="Arial"/>
          <w:sz w:val="12"/>
          <w:szCs w:val="12"/>
          <w:i w:val="1"/>
          <w:iCs w:val="1"/>
          <w:color w:val="auto"/>
        </w:rPr>
        <w:t>MOA</w:t>
      </w:r>
      <w:r>
        <w:rPr>
          <w:rFonts w:ascii="Arial" w:cs="Arial" w:eastAsia="Arial" w:hAnsi="Arial"/>
          <w:sz w:val="12"/>
          <w:szCs w:val="12"/>
          <w:color w:val="auto"/>
        </w:rPr>
        <w:t>”), as an N-methyl-D-aspartate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 from all antidepressants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 In four preclinical studies utilizing well-validated animal models of depression, AV-101 was shown to induce fast-acting, dose-dependent, persistent and statistically significant antidepressant-like responses, following a single treatment, which was equivalent to responses seen with a control single sub-anesthetic dose of ketamine (sometimes used by clinicians off-label to treat suicidal behavior). In the same studies, fluoxetine (Prozac)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9" w:name="page80"/>
    <w:bookmarkEnd w:id="7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U.S.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NIH. Under the CRADA, we will collaborate with the NIMH on the initial Phase 2 clinical study of AV-101 in subjects with treatment-resistant MDD. Pursuant to the CRADA, the study will be conducted at the NIMH and be fully funded by the NIMH. It is contemplated that this clinical study will begin in Fall 2015 under the direction of Dr. Carlos Zarate, Jr., the NIMH’s Chief of Experimental Therapeutics &amp; Pathophysiology Branch and of the Section on Neurobiology and Treatment of Mood and Anxiety Disorders.</w:t>
      </w:r>
    </w:p>
    <w:p>
      <w:pPr>
        <w:spacing w:after="0" w:line="14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addition to developing AV-101 for MDD and other CNS indications, we apply our stem cell technology for drug rescue programs intended to identify and develop proprietary new chemical entities (“</w:t>
      </w:r>
      <w:r>
        <w:rPr>
          <w:rFonts w:ascii="Arial" w:cs="Arial" w:eastAsia="Arial" w:hAnsi="Arial"/>
          <w:sz w:val="12"/>
          <w:szCs w:val="12"/>
          <w:i w:val="1"/>
          <w:iCs w:val="1"/>
          <w:color w:val="auto"/>
        </w:rPr>
        <w:t>NCEs</w:t>
      </w:r>
      <w:r>
        <w:rPr>
          <w:rFonts w:ascii="Arial" w:cs="Arial" w:eastAsia="Arial" w:hAnsi="Arial"/>
          <w:sz w:val="12"/>
          <w:szCs w:val="12"/>
          <w:color w:val="auto"/>
        </w:rPr>
        <w:t xml:space="preserve">”) for our internal drug candidate pipeline. Drug rescue involves (1) using our customized </w:t>
      </w:r>
      <w:r>
        <w:rPr>
          <w:rFonts w:ascii="Arial" w:cs="Arial" w:eastAsia="Arial" w:hAnsi="Arial"/>
          <w:sz w:val="12"/>
          <w:szCs w:val="12"/>
          <w:i w:val="1"/>
          <w:iCs w:val="1"/>
          <w:color w:val="auto"/>
        </w:rPr>
        <w:t>invitro</w:t>
      </w:r>
      <w:r>
        <w:rPr>
          <w:rFonts w:ascii="Arial" w:cs="Arial" w:eastAsia="Arial" w:hAnsi="Arial"/>
          <w:sz w:val="12"/>
          <w:szCs w:val="12"/>
          <w:color w:val="auto"/>
        </w:rPr>
        <w:t xml:space="preserve"> bioassay systems to predict potential heart and liver toxicity of NCEs, (2) leveraging prior investments by pharmaceutical companies and others related to screening large-scale compound libraries, optimizing and testing for efficacy NCEs that were terminated before FDA approval due to heart or liver toxicity and are now available in the public domain, and (3) applying modern medicinal chemistry to produce safer NCEs for our internal development pipeline.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bioassay system uses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”)-derived cardiomyocytes, or human heart cells.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more comprehensive and clinically predictive than the hERG assay, which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We use our hPSC-derived hepatocytes, or human liver cells, in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bioassay system to predict potential liver toxicity of NCEs, including potential drug metabolism issues and adverse drug-drug interactions.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NCEs we produce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Merger</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VistaGen Therapeutics, Inc., a California corporation incorporated on May 26, 1998 (“</w:t>
      </w:r>
      <w:r>
        <w:rPr>
          <w:rFonts w:ascii="Arial" w:cs="Arial" w:eastAsia="Arial" w:hAnsi="Arial"/>
          <w:sz w:val="11"/>
          <w:szCs w:val="11"/>
          <w:i w:val="1"/>
          <w:iCs w:val="1"/>
          <w:color w:val="auto"/>
        </w:rPr>
        <w:t>VistaGen California”</w:t>
      </w:r>
      <w:r>
        <w:rPr>
          <w:rFonts w:ascii="Arial" w:cs="Arial" w:eastAsia="Arial" w:hAnsi="Arial"/>
          <w:sz w:val="11"/>
          <w:szCs w:val="11"/>
          <w:color w:val="auto"/>
        </w:rPr>
        <w:t>), is our wholly-owned subsidiary. Excaliber Enterprises, Ltd. (</w:t>
      </w:r>
      <w:r>
        <w:rPr>
          <w:rFonts w:ascii="Arial" w:cs="Arial" w:eastAsia="Arial" w:hAnsi="Arial"/>
          <w:sz w:val="11"/>
          <w:szCs w:val="11"/>
          <w:i w:val="1"/>
          <w:iCs w:val="1"/>
          <w:color w:val="auto"/>
        </w:rPr>
        <w:t>“Excaliber”</w:t>
      </w:r>
      <w:r>
        <w:rPr>
          <w:rFonts w:ascii="Arial" w:cs="Arial" w:eastAsia="Arial" w:hAnsi="Arial"/>
          <w:sz w:val="11"/>
          <w:szCs w:val="11"/>
          <w:color w:val="auto"/>
        </w:rPr>
        <w:t>), a publicly-held company (formerly OTCBB: EXCA) was incorporated under the laws of the State of Nevada on October 6, 2005. Pursuant to a strategic merger transaction on May 11, 2011, Excaliber acquired all outstanding shares of VistaGen California in exchange for 341,823 shares of our common stock and assumed all of VistaGen California’s pre-Merger obligations (the “</w:t>
      </w:r>
      <w:r>
        <w:rPr>
          <w:rFonts w:ascii="Arial" w:cs="Arial" w:eastAsia="Arial" w:hAnsi="Arial"/>
          <w:sz w:val="11"/>
          <w:szCs w:val="11"/>
          <w:i w:val="1"/>
          <w:iCs w:val="1"/>
          <w:color w:val="auto"/>
        </w:rPr>
        <w:t>Merger”</w:t>
      </w:r>
      <w:r>
        <w:rPr>
          <w:rFonts w:ascii="Arial" w:cs="Arial" w:eastAsia="Arial" w:hAnsi="Arial"/>
          <w:sz w:val="11"/>
          <w:szCs w:val="11"/>
          <w:color w:val="auto"/>
        </w:rPr>
        <w:t>). Shortly after the Merger, Excaliber’s name was changed to “VistaGen Therapeutics, Inc.” (a Nevada corporation).</w:t>
      </w:r>
    </w:p>
    <w:p>
      <w:pPr>
        <w:spacing w:after="0" w:line="105"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and effected for a post-Merger two-for-one (2:1) stock split, have been reflected as outstanding for all periods presented in the Consolidated Financial Statements for the years ended March 31, 2015 and 2014 of the Company included elsewhere in this prospectus. Additionally, the Consolidated Balance Sheets reflect the $0.001 par value of Excaliber’s common stock.</w:t>
      </w:r>
    </w:p>
    <w:p>
      <w:pPr>
        <w:spacing w:after="0" w:line="10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Consolidated Financial Statements for the years ended March 31, 2015 and 2014 included elsewhere in this prospectus represent the activity of VistaGen California from May 26, 1998, and the consolidated activity of VistaGen California and Excaliber (now VistaGen Therapeutics, Inc., a Nevada corporation), from May 11, 2011 (the date of the Merger). The Consolidated Financial Statements for the years ended March 31, 2015 and 2014 also include the accounts of VistaGen California’s two inactive wholly-owned subsidiaries, Artemis Neuroscience, Inc., a Maryland corporation (“</w:t>
      </w:r>
      <w:r>
        <w:rPr>
          <w:rFonts w:ascii="Arial" w:cs="Arial" w:eastAsia="Arial" w:hAnsi="Arial"/>
          <w:sz w:val="12"/>
          <w:szCs w:val="12"/>
          <w:i w:val="1"/>
          <w:iCs w:val="1"/>
          <w:color w:val="auto"/>
        </w:rPr>
        <w:t>Artemis</w:t>
      </w:r>
      <w:r>
        <w:rPr>
          <w:rFonts w:ascii="Arial" w:cs="Arial" w:eastAsia="Arial" w:hAnsi="Arial"/>
          <w:sz w:val="12"/>
          <w:szCs w:val="12"/>
          <w:color w:val="auto"/>
        </w:rPr>
        <w:t>”), and VistaStem Canada, Inc., a corporation organized under the laws of Ontario, Canada (“</w:t>
      </w:r>
      <w:r>
        <w:rPr>
          <w:rFonts w:ascii="Arial" w:cs="Arial" w:eastAsia="Arial" w:hAnsi="Arial"/>
          <w:sz w:val="12"/>
          <w:szCs w:val="12"/>
          <w:i w:val="1"/>
          <w:iCs w:val="1"/>
          <w:color w:val="auto"/>
        </w:rPr>
        <w:t>VistaStem Canada”</w:t>
      </w:r>
      <w:r>
        <w:rPr>
          <w:rFonts w:ascii="Arial" w:cs="Arial" w:eastAsia="Arial" w:hAnsi="Arial"/>
          <w:sz w:val="12"/>
          <w:szCs w:val="12"/>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have not yet achieved revenue-generating status from any of our potential products. Since inception, we have devoted substantially all of our time and efforts to development of AV-101 through its Phase 1 clinical trials and to hPSC research and bioassay development, small molecule drug development, and creating, protecting and patenting intellectual property in support of our drug rescue model, with the corollary initiatives of recruiting personnel and raising working capital. We had an accumulated deficit of approximately $84.5 million and $114.0 million at March 31, 2015 and June 30, 2015, respectively. Our net loss for the quarters ended June 30, 2015 and 2014 was $29.5 million and $4.6 million, respectively, including a non-cash loss of approximately $25.1 million attributable to converting over $15.4 million of our indebtedness into equity securities during our quarter ended June 30, 2015. Our net loss for the years ended March 31, 2015 and 2014 was $13.9 million and $3.0 million, respectively. We expect such losses to continue for the foreseeable future as we engage in Phase 2 clinical trials of AV-101 and its further development and expand our drug rescue activities and the capabilities of our stem cell technology.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0" w:name="page81"/>
    <w:bookmarkEnd w:id="8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of Fiscal Year 2015 and Quarter Ended June 30, 2015</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Throughout our fiscal years ended March 31, 2015 and 2014, as well as during the quarter ended June 30, 2015, with very limited resources, our scientific personnel have successfully continued to expand the drug rescue capabilities of our novel, customized bioassay systems,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and advance our internal review and assessment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of multiple prospective drug rescue opportunities. Additionally, as indicated previously, we have entered into a CRADA with the NIH providing for an NIH-sponsored Phase 2 clinical study of AV-101 in Major Depressive Disorder beginning in 2015.</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Throughout all of fiscal 2014 and 2015 and the quarter ended June 30, 2015, through self-placed private placement transactions and other corporate finance initiatives, our executive management has been focused on raising sufficient operating capital to continue to advance clinical development of AV-101 and other research and development objectives, while meeting our continuing operational needs.</w:t>
      </w:r>
    </w:p>
    <w:p>
      <w:pPr>
        <w:spacing w:after="0" w:line="13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To meet our working capital needs during fiscal 2015, between late-March 2014 and March 31, 2015, we entered into securities purchase agreements with accredited investors pursuant to which we sold units to such accredited investors, in self-placed private placement transactions, for aggregate cash proceeds of $3,113,500, consisting of (i) convertible promissory notes in the aggregate face amount of $3,113,500 which matured between March 31, 2015 and April 30, 2015, or were automatically convertible into securities we might issue upon the consummation of a Qualified Financing, as defined therein, (ii) an aggregate of 282,850 restricted shares of our common stock; and (iii) warrants exercisable through December 31, 2016 to purchase an aggregate of 282,850 restricted shares of our common stock at an exercise price of $10.00 per share. Through May 2015, we sold an additional $280,000 of such units to accredited investors in self-placed private placement transactions. Between May 26, 2015 and the date of the filing of the registration statement, of which this prospectus forms a part, we received gross proceeds of $2,222,781 from the sale of shares of our Series B Preferred and Warrants in a series of self-placed private plaement transactions, as more fully described under “</w:t>
      </w:r>
      <w:r>
        <w:rPr>
          <w:rFonts w:ascii="Arial" w:cs="Arial" w:eastAsia="Arial" w:hAnsi="Arial"/>
          <w:sz w:val="11"/>
          <w:szCs w:val="11"/>
          <w:i w:val="1"/>
          <w:iCs w:val="1"/>
          <w:color w:val="auto"/>
        </w:rPr>
        <w:t>Description of Securities to be Registered</w:t>
      </w:r>
      <w:r>
        <w:rPr>
          <w:rFonts w:ascii="Arial" w:cs="Arial" w:eastAsia="Arial" w:hAnsi="Arial"/>
          <w:sz w:val="11"/>
          <w:szCs w:val="11"/>
          <w:color w:val="auto"/>
        </w:rPr>
        <w:t>” on page 113 of this prospectus.</w:t>
      </w:r>
    </w:p>
    <w:p>
      <w:pPr>
        <w:spacing w:after="0" w:line="1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Given our working capital constraints, we have attempted to minimize cash commitments and expenditures for both internal and external research and development and general and administrative services to the greatest extent possible. As a consequence, during our fiscal year ended March 31, 2015, Shawn Singh, our CEO, voluntarily elected to receive cash compensation equal to only 24% of his contractual salary. In addition, during fiscal 2015, Ralph Snodgrass, PhD, our President and CSO, and Jerrold Dotson, our CFO, voluntarily elected to receive only 52% and 62% of his contractual salary, respectively. Such unpaid compensation has been accrued for accounting purposes, but, aside from a minimal partial repayment received by each executive during August 2015, a majority of the amounts owed remain unpaid at the date of this prospectus. Additionally, the conversion of substantial portion of our outstanding debt into equity securities during the three months ended June 30, 2015 and thereafter, much of which was either past due or would have matured within the next twelve months, materially reduces our cash requirement for debt service.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reported no revenue for the fiscal years ended March 31, 2015 or 2014, or for the quarter ended June 30, 2015. We have successfully completed our Phase 1 clinical development of AV-101, our orally available, new generation prodrug candidate in clinical development for the treatment of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 with additional potential as a new therapy for neuropathic pain, epilepsy, Parkinson’s disease and Huntington’s disease. Additionally, as indicated previously, we have entered into a CRADA with the NIH providing for an NIH-sponsored Phase 2 clinical study of AV-101 in Major Depressive Disorder beginning in Fall 2015. We presently have no revenue generating arrangements.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1" w:name="page82"/>
    <w:bookmarkEnd w:id="8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50"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Research and development expense represented approximately 36% and 49% of our operating expenses for the fiscal years ended March 31, 2015 and 2014, respectively, and approximately 20% and 37% of our operating expenses for the quarters ended June 30, 2015 and 2014, respectively. Research and development costs are expensed as incurred. Research and development expense consists of both internal and external expenses incurred in drug development activities, costs associated with the development of AV-101, sponsored stem cell research and costs related to the licensing, application and prosecution of our intellectual property. These expenses primarily consist of the following:</w:t>
      </w:r>
    </w:p>
    <w:p>
      <w:pPr>
        <w:spacing w:after="0" w:line="88" w:lineRule="exact"/>
        <w:rPr>
          <w:sz w:val="20"/>
          <w:szCs w:val="20"/>
          <w:color w:val="auto"/>
        </w:rPr>
      </w:pPr>
    </w:p>
    <w:p>
      <w:pPr>
        <w:ind w:left="920" w:hanging="340"/>
        <w:spacing w:after="0"/>
        <w:tabs>
          <w:tab w:leader="none" w:pos="9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salaries and benefits, including stock-based compensation costs, travel and related expense for personnel associated with internal research and development activities;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fees to contract research organizations and other professional service providers for services related to the conduct and analysis of clinical trials and other drug development activities;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fees to third parties for access to licensed technology and costs associated with securing and maintaining patents related to our internally generated inventions: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laboratory supplies and materials;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leasing and depreciation of laboratory equipment;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allocated costs of facilities and infrastructure.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General and administrative expense consists primarily of salaries and benefits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both fiscal 2015 and 2014, we incurred interest expense, including significant amounts of non-cash discount amortization attributable to certain notes, on the outstanding balances of our Senior Secured Convertible Promissory Notes issued to Platinum between October 2012 and July 2013, on subordinated convertible promissory notes issued between March 2013 and March 2015 as components of our Unit Private Placements and on unsecured promissory notes issued to various contract research organizations, technology licensors and other professional service providers since fiscal 2011. In fiscal 2015 and 2014, we recorded non-cash expense and income, respectively, related to changes in the fair values of the warrants issued or issuable to Platinum in connection with the various Senior Secured Convertible Promissory Notes we issued to Platinum between October 2012 and July 2013. In fiscal 2015, we incurred non-cash losses on extinguishment of debt resulting from settlements or modifications of indebtedness to Platinum, to various holders of promissory notes issued in connection with our 2013 Unit Private Placement and scheduled to mature on July 30, 2014, and to a technology licensor and a professional service provider. Additionally, in fiscal 2015 we incurred non-cash expense related to the settlement of a note receivable we accepted in fiscal 2012.</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2"/>
          <w:szCs w:val="12"/>
          <w:i w:val="1"/>
          <w:iCs w:val="1"/>
          <w:color w:val="auto"/>
        </w:rPr>
        <w:t>GAAP</w:t>
      </w:r>
      <w:r>
        <w:rPr>
          <w:rFonts w:ascii="Arial" w:cs="Arial" w:eastAsia="Arial" w:hAnsi="Arial"/>
          <w:sz w:val="12"/>
          <w:szCs w:val="12"/>
          <w:color w:val="auto"/>
        </w:rPr>
        <w:t>) requires us to make estimates and assumptions that affect the amounts reported in the financial statements and accompanying notes to the Consolidated Financial Statements for the years ended March 31, 2015 and 2014. These estimates include useful lives for property and equipment and related depreciation calculations, and assumptions for valuing options, warrants and other stock-based compensation. Our actual results could differ from these estimates.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1"/>
          <w:szCs w:val="11"/>
          <w:i w:val="1"/>
          <w:iCs w:val="1"/>
          <w:color w:val="auto"/>
        </w:rPr>
        <w:t>Revenue Recognition Revised and Updated</w:t>
      </w:r>
      <w:r>
        <w:rPr>
          <w:rFonts w:ascii="Arial" w:cs="Arial" w:eastAsia="Arial" w:hAnsi="Arial"/>
          <w:sz w:val="11"/>
          <w:szCs w:val="11"/>
          <w:color w:val="auto"/>
        </w:rPr>
        <w:t xml:space="preserve"> (</w:t>
      </w:r>
      <w:r>
        <w:rPr>
          <w:rFonts w:ascii="Arial" w:cs="Arial" w:eastAsia="Arial" w:hAnsi="Arial"/>
          <w:sz w:val="11"/>
          <w:szCs w:val="11"/>
          <w:i w:val="1"/>
          <w:iCs w:val="1"/>
          <w:color w:val="auto"/>
        </w:rPr>
        <w:t>SAB 104</w:t>
      </w:r>
      <w:r>
        <w:rPr>
          <w:rFonts w:ascii="Arial" w:cs="Arial" w:eastAsia="Arial" w:hAnsi="Arial"/>
          <w:sz w:val="11"/>
          <w:szCs w:val="11"/>
          <w:color w:val="auto"/>
        </w:rPr>
        <w:t>) and Accounting Standards Codification (</w:t>
      </w:r>
      <w:r>
        <w:rPr>
          <w:rFonts w:ascii="Arial" w:cs="Arial" w:eastAsia="Arial" w:hAnsi="Arial"/>
          <w:sz w:val="11"/>
          <w:szCs w:val="11"/>
          <w:i w:val="1"/>
          <w:iCs w:val="1"/>
          <w:color w:val="auto"/>
        </w:rPr>
        <w:t>ASC</w:t>
      </w:r>
      <w:r>
        <w:rPr>
          <w:rFonts w:ascii="Arial" w:cs="Arial" w:eastAsia="Arial" w:hAnsi="Arial"/>
          <w:sz w:val="11"/>
          <w:szCs w:val="11"/>
          <w:color w:val="auto"/>
        </w:rPr>
        <w:t xml:space="preserve">) 605-25, </w:t>
      </w:r>
      <w:r>
        <w:rPr>
          <w:rFonts w:ascii="Arial" w:cs="Arial" w:eastAsia="Arial" w:hAnsi="Arial"/>
          <w:sz w:val="11"/>
          <w:szCs w:val="11"/>
          <w:i w:val="1"/>
          <w:iCs w:val="1"/>
          <w:color w:val="auto"/>
        </w:rPr>
        <w:t xml:space="preserve">Revenue Arrangements-Multiple Element Arrangements </w:t>
      </w:r>
      <w:r>
        <w:rPr>
          <w:rFonts w:ascii="Arial" w:cs="Arial" w:eastAsia="Arial" w:hAnsi="Arial"/>
          <w:sz w:val="11"/>
          <w:szCs w:val="11"/>
          <w:color w:val="auto"/>
        </w:rPr>
        <w:t>(</w:t>
      </w:r>
      <w:r>
        <w:rPr>
          <w:rFonts w:ascii="Arial" w:cs="Arial" w:eastAsia="Arial" w:hAnsi="Arial"/>
          <w:sz w:val="11"/>
          <w:szCs w:val="11"/>
          <w:i w:val="1"/>
          <w:iCs w:val="1"/>
          <w:color w:val="auto"/>
        </w:rPr>
        <w:t>ASC 605-25</w:t>
      </w:r>
      <w:r>
        <w:rPr>
          <w:rFonts w:ascii="Arial" w:cs="Arial" w:eastAsia="Arial" w:hAnsi="Arial"/>
          <w:sz w:val="11"/>
          <w:szCs w:val="11"/>
          <w:color w:val="auto"/>
        </w:rPr>
        <w:t>). Revenue for arrangements not having multiple deliverables, as outlined in ASC 605-25, is recognized once costs are incurred and collectability is reasonably assured.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2" w:name="page83"/>
    <w:bookmarkEnd w:id="8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2"/>
          <w:szCs w:val="12"/>
          <w:i w:val="1"/>
          <w:iCs w:val="1"/>
          <w:color w:val="auto"/>
        </w:rPr>
        <w:t>VSOE</w:t>
      </w:r>
      <w:r>
        <w:rPr>
          <w:rFonts w:ascii="Arial" w:cs="Arial" w:eastAsia="Arial" w:hAnsi="Arial"/>
          <w:sz w:val="12"/>
          <w:szCs w:val="12"/>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920" w:hanging="340"/>
        <w:spacing w:after="0" w:line="281" w:lineRule="auto"/>
        <w:tabs>
          <w:tab w:leader="none" w:pos="9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920" w:hanging="340"/>
        <w:spacing w:after="0" w:line="263" w:lineRule="auto"/>
        <w:tabs>
          <w:tab w:leader="none" w:pos="9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0" w:lineRule="exact"/>
        <w:rPr>
          <w:rFonts w:ascii="Arial" w:cs="Arial" w:eastAsia="Arial" w:hAnsi="Arial"/>
          <w:sz w:val="12"/>
          <w:szCs w:val="12"/>
          <w:color w:val="auto"/>
        </w:rPr>
      </w:pPr>
    </w:p>
    <w:p>
      <w:pPr>
        <w:ind w:left="920" w:right="20" w:hanging="340"/>
        <w:spacing w:after="0" w:line="276" w:lineRule="auto"/>
        <w:tabs>
          <w:tab w:leader="none" w:pos="9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accordance with ASC 360-10</w:t>
      </w:r>
      <w:r>
        <w:rPr>
          <w:rFonts w:ascii="Arial" w:cs="Arial" w:eastAsia="Arial" w:hAnsi="Arial"/>
          <w:sz w:val="11"/>
          <w:szCs w:val="11"/>
          <w:i w:val="1"/>
          <w:iCs w:val="1"/>
          <w:color w:val="auto"/>
        </w:rPr>
        <w:t>, Property, Plant &amp; Equipment -Overall</w:t>
      </w:r>
      <w:r>
        <w:rPr>
          <w:rFonts w:ascii="Arial" w:cs="Arial" w:eastAsia="Arial" w:hAnsi="Arial"/>
          <w:sz w:val="11"/>
          <w:szCs w:val="11"/>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3" w:name="page84"/>
    <w:bookmarkEnd w:id="8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Warrant Liability</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have issued to Platinum Long Term Growth VII, LLC, our largest investor (“</w:t>
      </w:r>
      <w:r>
        <w:rPr>
          <w:rFonts w:ascii="Arial" w:cs="Arial" w:eastAsia="Arial" w:hAnsi="Arial"/>
          <w:sz w:val="11"/>
          <w:szCs w:val="11"/>
          <w:i w:val="1"/>
          <w:iCs w:val="1"/>
          <w:color w:val="auto"/>
        </w:rPr>
        <w:t>Platinum”</w:t>
      </w:r>
      <w:r>
        <w:rPr>
          <w:rFonts w:ascii="Arial" w:cs="Arial" w:eastAsia="Arial" w:hAnsi="Arial"/>
          <w:sz w:val="11"/>
          <w:szCs w:val="11"/>
          <w:color w:val="auto"/>
        </w:rPr>
        <w:t>),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1"/>
          <w:szCs w:val="11"/>
          <w:i w:val="1"/>
          <w:iCs w:val="1"/>
          <w:color w:val="auto"/>
        </w:rPr>
        <w:t>Platinum Warrants”</w:t>
      </w:r>
      <w:r>
        <w:rPr>
          <w:rFonts w:ascii="Arial" w:cs="Arial" w:eastAsia="Arial" w:hAnsi="Arial"/>
          <w:sz w:val="11"/>
          <w:szCs w:val="11"/>
          <w:color w:val="auto"/>
        </w:rPr>
        <w:t>). The Platinum Warrants contain an exercise price adjustment feature that will reduce the exercise price of the warrants in the event we subsequently issue equity instruments at a price lower than the exercise price of the Platinum Warrants. We account for the Platinum Warrants as non-cash liabilities and estimate their fair value at the end of each financial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w:t>
      </w:r>
    </w:p>
    <w:p>
      <w:pPr>
        <w:spacing w:after="0" w:line="116"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 xml:space="preserve">Notwithstanding the foregoing, and as described in Note 16, </w:t>
      </w:r>
      <w:r>
        <w:rPr>
          <w:rFonts w:ascii="Arial" w:cs="Arial" w:eastAsia="Arial" w:hAnsi="Arial"/>
          <w:sz w:val="10"/>
          <w:szCs w:val="10"/>
          <w:i w:val="1"/>
          <w:iCs w:val="1"/>
          <w:color w:val="auto"/>
        </w:rPr>
        <w:t>Subsequent Events</w:t>
      </w:r>
      <w:r>
        <w:rPr>
          <w:rFonts w:ascii="Arial" w:cs="Arial" w:eastAsia="Arial" w:hAnsi="Arial"/>
          <w:sz w:val="10"/>
          <w:szCs w:val="10"/>
          <w:color w:val="auto"/>
        </w:rPr>
        <w:t>, to the Consolidated Financial Statements for the fiscal years ended March 31, 2015 and 2014 included in this prospectus, on May 12, 2015, we entered into an agreement with Platinum pursuant to which Platinum agreed to amend the Platinum Warrants to (A) fix the exercise price thereof at $7.00 per share, (B) eliminate the exercise price reset features and (C) fix the number of shares of our common stock issuable thereunder. This agreement and the related amendments to the Platinum Warrants resulted in the elimination of the warrant liability with respect to the Platinum Warrants during the quarter ending June 30, 2015.</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i w:val="1"/>
                <w:iCs w:val="1"/>
                <w:color w:val="auto"/>
              </w:rPr>
              <w:t>Recent Accounting Pronouncements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2"/>
                <w:szCs w:val="12"/>
                <w:color w:val="auto"/>
              </w:rPr>
              <w:t>See Note 3 to the Consolidated Financial Statements included in Item 8 in this prospectus for information on recent accounting pronouncements.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Results of Operations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8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Comparison of Years Ended March 31, 2015 and 2014</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2"/>
                <w:szCs w:val="12"/>
                <w:color w:val="auto"/>
              </w:rPr>
              <w:t>The following table summarizes the results of our operations for the fiscal years ended March 31, 2015 and 2014 (amounts in $000):</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2"/>
                <w:szCs w:val="12"/>
                <w:b w:val="1"/>
                <w:bCs w:val="1"/>
                <w:color w:val="auto"/>
              </w:rPr>
              <w:t>Fiscal Years Ended March 31,</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Research and development</w:t>
            </w:r>
          </w:p>
        </w:tc>
        <w:tc>
          <w:tcPr>
            <w:tcW w:w="740" w:type="dxa"/>
            <w:vAlign w:val="bottom"/>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2,433</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40"/>
              <w:spacing w:after="0"/>
              <w:rPr>
                <w:sz w:val="20"/>
                <w:szCs w:val="20"/>
                <w:color w:val="auto"/>
              </w:rPr>
            </w:pPr>
            <w:r>
              <w:rPr>
                <w:rFonts w:ascii="Arial" w:cs="Arial" w:eastAsia="Arial" w:hAnsi="Arial"/>
                <w:sz w:val="12"/>
                <w:szCs w:val="12"/>
                <w:color w:val="auto"/>
              </w:rPr>
              <w:t>General and administrative</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4,344</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operating expenses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6,777</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from operations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(6,777)</w:t>
            </w: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40"/>
              <w:spacing w:after="0"/>
              <w:rPr>
                <w:sz w:val="20"/>
                <w:szCs w:val="20"/>
                <w:color w:val="auto"/>
              </w:rPr>
            </w:pPr>
            <w:r>
              <w:rPr>
                <w:rFonts w:ascii="Arial" w:cs="Arial" w:eastAsia="Arial" w:hAnsi="Arial"/>
                <w:sz w:val="12"/>
                <w:szCs w:val="12"/>
                <w:color w:val="auto"/>
              </w:rPr>
              <w:t>Interest expense, net</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(4,549)</w:t>
            </w: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Change in warrant liabilities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40"/>
              <w:spacing w:after="0"/>
              <w:rPr>
                <w:sz w:val="20"/>
                <w:szCs w:val="20"/>
                <w:color w:val="auto"/>
              </w:rPr>
            </w:pPr>
            <w:r>
              <w:rPr>
                <w:rFonts w:ascii="Arial" w:cs="Arial" w:eastAsia="Arial" w:hAnsi="Arial"/>
                <w:sz w:val="12"/>
                <w:szCs w:val="12"/>
                <w:color w:val="auto"/>
              </w:rPr>
              <w:t>Loss on extinguishment of debt</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(2,388)</w:t>
            </w: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expense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(13,884)</w:t>
            </w: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loss</w:t>
            </w:r>
          </w:p>
        </w:tc>
        <w:tc>
          <w:tcPr>
            <w:tcW w:w="740" w:type="dxa"/>
            <w:vAlign w:val="bottom"/>
          </w:tcPr>
          <w:p>
            <w:pPr>
              <w:jc w:val="right"/>
              <w:ind w:right="625"/>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(13,886)</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reported no revenue for the fiscal years ended March 31, 2015 or 2014. We have successfully completed our Phase 1 development of AV-101. Additionally, as indicated previously, we have entered into a CRADA with the NIH providing for an NIH-sponsored Phase 2 clinical study of AV-101 in Major Depressive Disorder beginning in the second half of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4" w:name="page85"/>
    <w:bookmarkEnd w:id="8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Research and development expense decreased by 2% in fiscal 2015 compared to fiscal 2014. The following table compares the primary components of research and development expense between the periods (in $000):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889</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849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UHN research under SRCA</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Consulting services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Technology licenses and royalties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Project-related third-party research and supplies: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AV-101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All other including CardioSafe and LiverSafe</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Rent</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All other</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 Research and Development Expense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2,433</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To conserve cash resources, during fiscal 2015 and 2014, Ralph Snodgrass, PhD, our Chief Scientific Officer (</w:t>
      </w:r>
      <w:r>
        <w:rPr>
          <w:rFonts w:ascii="Arial" w:cs="Arial" w:eastAsia="Arial" w:hAnsi="Arial"/>
          <w:sz w:val="11"/>
          <w:szCs w:val="11"/>
          <w:i w:val="1"/>
          <w:iCs w:val="1"/>
          <w:color w:val="auto"/>
        </w:rPr>
        <w:t>CSO</w:t>
      </w:r>
      <w:r>
        <w:rPr>
          <w:rFonts w:ascii="Arial" w:cs="Arial" w:eastAsia="Arial" w:hAnsi="Arial"/>
          <w:sz w:val="11"/>
          <w:szCs w:val="11"/>
          <w:color w:val="auto"/>
        </w:rPr>
        <w:t>), accepted a voluntary cash pay reduction to substantially less than his contractual pay rate. For fiscal 2015, the CSO’s actual cash pay represented approximately 52% of his contractual pay rate. In fiscal 2014, the CSO voluntarily agreed to accept a cash pay rate of approximately 82% of his contractual rate, not all of which amount was paid. In fiscal 2015, we have accrued the difference between the CSO’s contractual pay rate and his actual cash pay, $147,700, for future payment. In fiscal 2014, we accrued the difference between the CSO’s reduced pay rate and his actual cash pay, $100,400, for future payment. Aside from a minimal partial repayment received by the CSO during August 2015, a majority of such accrued amounts for both fiscal 2014 and fiscal 2015 remains unpaid. Pay rates for other scientific personnel remained constant between years. One member of our scientific staff voluntarily resigned at the end of September 2014 and another member has voluntarily reduced her work hours and pay since September 2014.</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January 2015, we granted five-year fully vested warrants to purchase an aggregate of 115,000 restricted shares of our common stock at an exercise price of $8.00 per share to our CSO and other scientific consultants and service providers, recognizing approximately $528,000 in stock-based compensation expense. Stock based compensation expense for fiscal 2015 and fiscal 2014 also reflects approximately $176,000 and $297,000, respectively, related to the ratable four-year amortization of option grants made to scientific staff and consultants in October 2013 and March 2014 and earlier. The ratable amortization of stock compensation expense related to certain options granted in October 2012 with a two-year vesting period ceased when the options became fully-vested in October 2014. An additional component of stock compensation expense is the amortization attributable to grants of warrants made to our CSO in March 2014 and March 2013, amounting to $145,000 in fiscal 2015 and $156,000 in fiscal 2014. The warrants are being amortized over a two-year vesting period, but are subject to certain vesting acceleration events. No further expense will be recognized with respect to the warrants granted in March 2013.</w:t>
      </w:r>
    </w:p>
    <w:p>
      <w:pPr>
        <w:spacing w:after="0" w:line="1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most recent sponsored research project budget under the collaboration agreement with Dr. Gordon Keller’s laboratory at UHN ended on September 30, 2013, and we have incurred no sponsored research expense under the agreement since that date. We are engaged in discussions with Dr. Keller and UHN regarding the scope of subsequent sponsored research projects and budget under the agreement, but have not yet finalized such project definitions and budgets.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Consulting services reflects fees paid or accrued for scientific services rendered to us by third-parties, primarily by members of our scientific advisory board.</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 Certain of our technology licensors invoiced us for significant legal fees for patent protection and prosecution during fiscal 2014.</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AV-101 expenses in both fiscal years 2015 and 2014 primarily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increase in rent expense versus FY 2014 reflects the full-year impact of rental costs related to our relocation to our current facilities in late-July 2013.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General and administrative expense increased by 70% in fiscal 2015 compared to fiscal 2014. The following table compares the primary components of general and administrative expense between the periods (in $000):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2"/>
                <w:szCs w:val="12"/>
                <w:color w:val="auto"/>
              </w:rPr>
              <w:t>Fiscal Years Ended March 31,</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2015</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color w:val="auto"/>
              </w:rPr>
              <w:t>2014</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1,611</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684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1,197</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Insurance</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136</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Rent and utilities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155</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All other expenses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118</w:t>
            </w: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574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4,344</w:t>
            </w:r>
          </w:p>
        </w:tc>
        <w:tc>
          <w:tcPr>
            <w:tcW w:w="240" w:type="dxa"/>
            <w:vAlign w:val="bottom"/>
          </w:tcPr>
          <w:p>
            <w:pPr>
              <w:spacing w:after="0"/>
              <w:rPr>
                <w:sz w:val="12"/>
                <w:szCs w:val="12"/>
                <w:color w:val="auto"/>
              </w:rPr>
            </w:pP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940" w:type="dxa"/>
            <w:vAlign w:val="bottom"/>
            <w:vMerge w:val="restart"/>
          </w:tcPr>
          <w:p>
            <w:pPr>
              <w:jc w:val="right"/>
              <w:ind w:right="2940"/>
              <w:spacing w:after="0"/>
              <w:rPr>
                <w:sz w:val="20"/>
                <w:szCs w:val="20"/>
                <w:color w:val="auto"/>
              </w:rPr>
            </w:pPr>
            <w:r>
              <w:rPr>
                <w:rFonts w:ascii="Arial" w:cs="Arial" w:eastAsia="Arial" w:hAnsi="Arial"/>
                <w:sz w:val="12"/>
                <w:szCs w:val="12"/>
                <w:color w:val="auto"/>
              </w:rPr>
              <w:t>-81-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49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5" w:name="page86"/>
    <w:bookmarkEnd w:id="8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To conserve cash resources, during fiscal 2015 and 2014, both Shawn Singh, our Chief Executive Officer (“</w:t>
      </w:r>
      <w:r>
        <w:rPr>
          <w:rFonts w:ascii="Arial" w:cs="Arial" w:eastAsia="Arial" w:hAnsi="Arial"/>
          <w:sz w:val="12"/>
          <w:szCs w:val="12"/>
          <w:i w:val="1"/>
          <w:iCs w:val="1"/>
          <w:color w:val="auto"/>
        </w:rPr>
        <w:t>CEO”</w:t>
      </w:r>
      <w:r>
        <w:rPr>
          <w:rFonts w:ascii="Arial" w:cs="Arial" w:eastAsia="Arial" w:hAnsi="Arial"/>
          <w:sz w:val="12"/>
          <w:szCs w:val="12"/>
          <w:color w:val="auto"/>
        </w:rPr>
        <w:t>), and Jerrold Dotson, our Chief Financial Officer (“</w:t>
      </w:r>
      <w:r>
        <w:rPr>
          <w:rFonts w:ascii="Arial" w:cs="Arial" w:eastAsia="Arial" w:hAnsi="Arial"/>
          <w:sz w:val="12"/>
          <w:szCs w:val="12"/>
          <w:i w:val="1"/>
          <w:iCs w:val="1"/>
          <w:color w:val="auto"/>
        </w:rPr>
        <w:t>CFO”</w:t>
      </w:r>
      <w:r>
        <w:rPr>
          <w:rFonts w:ascii="Arial" w:cs="Arial" w:eastAsia="Arial" w:hAnsi="Arial"/>
          <w:sz w:val="12"/>
          <w:szCs w:val="12"/>
          <w:color w:val="auto"/>
        </w:rPr>
        <w:t>), accepted voluntary cash pay reductions to substantially less than their contractual pay rates. For fiscal 2015, the CEO’s and CFO’s actual cash pay represented approximately 24% and 62%, respectively, of contractual rates. In fiscal 2014, the CEO and CFO voluntarily agreed to accept cash pay rates of approximately 72% and 80%, respectively, of their contractual rates, not all of which amounts were paid. In fiscal 2015, we accrued the difference between the CEO’s and CFO’s contractual pay rate and his actual cash pay, $264,700 and $96,100, respectively, for future payment. In fiscal 2014, we accrued the difference between the CEO’s and CFO’s reduced pay rates and his actual cash pay, $125,000 and $56,700, respectively, for future payment. Aside from a minimal partial repayment received by each executive during August 2015, a majority of such accrued amounts for both fiscal 2014 and fiscal 2015 remain unpaid and owing. Offsetting the impact of the accrual to contractual pay rates for the CEO and CFO for fiscal 2015 is the annual impact of the voluntary resignations of two administrative employees in August and November 2013 who have not been replaced. Pay rates for other administrative employees remained stable between the periods presented.</w:t>
      </w:r>
    </w:p>
    <w:p>
      <w:pPr>
        <w:spacing w:after="0" w:line="14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January 2015, we granted five-year fully vested warrants to purchase an aggregate of 271,715 restricted shares of our common stock at an exercise price of $8.00 per share to our CEO and CFO, independent members of our Board of Directors and other consultants and service providers, recognizing approximately $1,229,000 in stock-based compensation expense. Stock based compensation expense for fiscal 2015 and fiscal 2014 also reflects approximately $99,000 and $385,000, respectively, related to the ratable four-year amortization of option grants made to employees and consultants in October 2013 and March 2014 and earlier. The ratable amortization of stock compensation expense related to certain options granted in October 2012 with a two-year vesting period ceased when the options became fully-vested in October 2014. An additional component of stock compensation expense is the amortization attributable to grants of warrants made to our CEO, CFO and independent members of our Board of Directors in March 2014 and March 2013, amounting to $283,000 in fiscal 2015 and $299,000 in fiscal 2014. The warrants are being amortized over a two-year vesting period, but are subject to certain vesting acceleration events. No further expense will be recognized with respect to the warrants granted in March 2013.</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Consulting services primarily reflects fees paid or accrued for the services of the independent members of our Board of Directors.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increase in legal, accounting and other professional fees results primarily from the impact of (i) two consulting agreements for strategic advisory and business development services pursuant to which we issued an aggregate of 55,000 restricted shares of our common stock valued at $469,000 at the date of issuance and paid $100,000 as cash compensation for such professional services during fiscal 2015; (ii) direct legal fees aggregating $150,000 related to services provided with respect to our prospective public offering of our equity securities and a proposed private offering of our equity securities; (iii) the expensing of approximately $102,000 of investment banker, banker’s counsel, accounting and other fees and costs related to the cancellation of our prospective public offering; (iv) legal and other costs related to the 1:20 reverse split of our common stock in August 2014 and legal and filing fees for our private placement Unit financing offerings; and (v) costs related to temporary employee fees for part-time administrative services.</w:t>
      </w:r>
    </w:p>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Outsourced investor relations service expenses are essentially flat between periods; we have conducted no special awareness or other initiatives during either fiscal 2015 or 2014. Travel expenses related to meetings with potential investors in our attempted registered public offering account for the increase compared to fiscal 2014.</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fiscal 2015 increase in rent and utilities expense reflects the full-year impact of increased costs related to our relocation to expanded facilities in late-July 2013.</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Warrant modification expense in fiscal 2015 reflects the extension by one year of the term of outstanding warrants otherwise scheduled to expire during calendar 2015, as approved by our Board of Directors in January 2015. Warrant modification expense in fiscal 2014 reflects the impact of October 2013 and December 2013 reductions in the exercise price of certain outstanding warrants, generally from $35.00 per share or $30.00 per share, to $10.00 per share, and in limited cases, the extension of the term of certain outstanding warrants, and from which we used the proceeds of the warrant exercises as a source of short-term working capital.</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fiscal 2015 decrease in other expenses is attributable to one-time relocation costs incurred in fiscal 2014 in connection with our relocation to expanded facilities in late-July 2013.</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both fiscal 2015 and 2014, other expenses, net includes interest expense, including non-cash discount amortization, on our outstanding promissory notes, as well as the non-cash impact of changes in the fair value of the warrant liabilities related to warrants issued or issuable to Platinum between October 2012 and July 2013. In fiscal 2015, other expenses, net also includes the non-cash loss on extinguishment of debt resulting from the modification of indebtedness to Platinum, holders of convertible promissory notes originally scheduled to mature on July 30, 2014, and to a technology licensor and a professional service provider. Additionally, in fiscal 2015 we incurred non-cash expense related to the settlement of a note receivable we accepted in fiscal 2012.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26"/>
        </w:trPr>
        <w:tc>
          <w:tcPr>
            <w:tcW w:w="8840" w:type="dxa"/>
            <w:vAlign w:val="bottom"/>
            <w:gridSpan w:val="3"/>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8820" w:type="dxa"/>
            <w:vAlign w:val="bottom"/>
            <w:gridSpan w:val="2"/>
          </w:tcPr>
          <w:p>
            <w:pPr>
              <w:ind w:left="400"/>
              <w:spacing w:after="0"/>
              <w:rPr>
                <w:sz w:val="20"/>
                <w:szCs w:val="20"/>
                <w:color w:val="auto"/>
              </w:rPr>
            </w:pPr>
            <w:r>
              <w:rPr>
                <w:rFonts w:ascii="Arial" w:cs="Arial" w:eastAsia="Arial" w:hAnsi="Arial"/>
                <w:sz w:val="12"/>
                <w:szCs w:val="12"/>
                <w:color w:val="auto"/>
              </w:rPr>
              <w:t>The following table compares the primary components of net interest expense between the periods (in $000):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 on promissory notes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Amortization of discount on promissory notes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3,372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4,617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1,562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Interest income</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Interest expense, net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4,549</w:t>
            </w:r>
          </w:p>
        </w:tc>
        <w:tc>
          <w:tcPr>
            <w:tcW w:w="2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increase in interest expense between the periods is primarily attributable to the accrued interest recorded for the issuances between August 2013 and March 2015 of an aggregate of approximately $4.1 million of unsecured 10% convertible promissory notes pursuant to the 2013 Unit Private Placement and the 2014 Unit Private Placement. As a result of the significant inception-date discounts recorded in connection with the Unit Notes, approximately $2.7 million in fiscal 2015; the relatively short period between issuance and maturity over which the discount on the Unit Notes must be amortized, generally less than 12 months; and the accelerating amount of discount amortization recorded using the effective interest rate method as the notes approach maturity, discount amortization expense increased by approximately $2.7 million between the periods shown in the preceding table.</w:t>
      </w:r>
    </w:p>
    <w:p>
      <w:pPr>
        <w:spacing w:after="0" w:line="12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Under the terms of the October 2012 Note Exchange and Purchase Agreement we entered with Platinum, we issued Senior Secured Convertible Promissory Notes and a related Exchange Warrant and Investment Warrants between October 2012 and March 2013. We issued a similar senior secured promissory note and related warrant to Platinum in July 2013. Upon Platinum’s exchange of the shares of our Series A preferred stock it holds into shares of our common stock, we will also be required to issue a Series A Exchange Warrant to Platinum. We determined that certain exercise price and share adjustment features contained in the various warrants require us to treat the warrants as liabilities. Accordingly, we recorded a non-cash warrant liability at its estimated fair value as of the date the warrant was issued or the contract executed. During fiscal 2015, we recognized a non-cash loss of $34,600 related to the net increase in the estimated fair value of these non-cash liabilities since March 31, 2014, which resulted primarily from the change in the market price of our common stock in relation to the exercise price of the warrants and an additional year elapsed in the remaining term for all but the Series A Exchange Warrant. During fiscal 2014, we recognized a non-cash gain of $3,556,900 related to the net decrease in the estimated fair value of the warrant liabilities since March 31, 2013, which resulted primarily from the decrease in the market price of our common stock in relation to the exercise price of the warrants.</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As described more fully in Note 8,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 the Consolidated Financial Statements for the Years Ended March 31, 2015 and 2014 included in Item 8 of this prospectus, effective May 31, 2014, we entered into agreements with substantially all holders of our 2013 Unit Notes and 2013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to the Consolidated Financial Statements for the fiscal years Ended March 31, 2015 and 2014 included in Item 8 of this prospectus. We recognized a further $16,700 non-cash loss on extinguishment of debt as a result of the shares of our unregistered common stock issued to a professional services provider in settlement of fees for prior services rendered, as also described more completely in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to the Consolidated Financial Statements for the fiscal years Ended March 31, 2015 and 2014 included in Item 8 of this prospectus.</w:t>
      </w:r>
    </w:p>
    <w:p>
      <w:pPr>
        <w:spacing w:after="0" w:line="1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As described more completely in Note 8,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to the Consolidated Financial Statements for the fiscal years Ended March 31, 2015 and 2014 included in this prospectus,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(the “</w:t>
      </w:r>
      <w:r>
        <w:rPr>
          <w:rFonts w:ascii="Arial" w:cs="Arial" w:eastAsia="Arial" w:hAnsi="Arial"/>
          <w:sz w:val="12"/>
          <w:szCs w:val="12"/>
          <w:i w:val="1"/>
          <w:iCs w:val="1"/>
          <w:color w:val="auto"/>
        </w:rPr>
        <w:t>Closing Date</w:t>
      </w:r>
      <w:r>
        <w:rPr>
          <w:rFonts w:ascii="Arial" w:cs="Arial" w:eastAsia="Arial" w:hAnsi="Arial"/>
          <w:sz w:val="12"/>
          <w:szCs w:val="12"/>
          <w:color w:val="auto"/>
        </w:rPr>
        <w:t>”) of either (i) a Private Financing or a Public Offering, each as defined in the agreement.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was treated as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87" w:name="page88"/>
    <w:bookmarkEnd w:id="8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As described in Note 9, </w:t>
      </w:r>
      <w:r>
        <w:rPr>
          <w:rFonts w:ascii="Arial" w:cs="Arial" w:eastAsia="Arial" w:hAnsi="Arial"/>
          <w:sz w:val="12"/>
          <w:szCs w:val="12"/>
          <w:i w:val="1"/>
          <w:iCs w:val="1"/>
          <w:color w:val="auto"/>
        </w:rPr>
        <w:t>Capital Stock</w:t>
      </w:r>
      <w:r>
        <w:rPr>
          <w:rFonts w:ascii="Arial" w:cs="Arial" w:eastAsia="Arial" w:hAnsi="Arial"/>
          <w:sz w:val="12"/>
          <w:szCs w:val="12"/>
          <w:color w:val="auto"/>
        </w:rPr>
        <w:t>, to the Consolidated Financial Statements for the fiscal years Ended March 31, 2015 and 2014 included elsewhere in this Prospectus, in October 2014, we accepted a cash payment of $60,000 as settlement in full for a promissory note issued to us in May 2011 for the purchase of shares of our common stock. At the time of the payment, the principal and accrued interest due to us under the note receivable was $194,900, resulting in a recognized loss of $134,900 related to the settlement.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Comparison of Three Months Ended June 30, 2015 and 2014</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320" w:type="dxa"/>
            <w:vAlign w:val="bottom"/>
          </w:tcPr>
          <w:p>
            <w:pPr>
              <w:ind w:left="400"/>
              <w:spacing w:after="0"/>
              <w:rPr>
                <w:sz w:val="20"/>
                <w:szCs w:val="20"/>
                <w:color w:val="auto"/>
              </w:rPr>
            </w:pPr>
            <w:r>
              <w:rPr>
                <w:rFonts w:ascii="Arial" w:cs="Arial" w:eastAsia="Arial" w:hAnsi="Arial"/>
                <w:sz w:val="12"/>
                <w:szCs w:val="12"/>
                <w:color w:val="auto"/>
                <w:w w:val="94"/>
              </w:rPr>
              <w:t>The following table summarizes the results of our operations for the three months ended June 30, 2015 and 2014 (amounts in thousands).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b w:val="1"/>
                <w:bCs w:val="1"/>
                <w:color w:val="auto"/>
                <w:w w:val="98"/>
              </w:rPr>
              <w:t>Three Months Ended June 30,</w:t>
            </w:r>
          </w:p>
        </w:tc>
        <w:tc>
          <w:tcPr>
            <w:tcW w:w="9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2014</w:t>
            </w:r>
          </w:p>
        </w:tc>
        <w:tc>
          <w:tcPr>
            <w:tcW w:w="4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734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373</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900" w:type="dxa"/>
            <w:vAlign w:val="bottom"/>
          </w:tcPr>
          <w:p>
            <w:pPr>
              <w:spacing w:after="0"/>
              <w:rPr>
                <w:sz w:val="12"/>
                <w:szCs w:val="12"/>
                <w:color w:val="auto"/>
              </w:rPr>
            </w:pPr>
          </w:p>
        </w:tc>
        <w:tc>
          <w:tcPr>
            <w:tcW w:w="1400" w:type="dxa"/>
            <w:vAlign w:val="bottom"/>
            <w:gridSpan w:val="2"/>
          </w:tcPr>
          <w:p>
            <w:pPr>
              <w:jc w:val="right"/>
              <w:ind w:right="940"/>
              <w:spacing w:after="0"/>
              <w:rPr>
                <w:sz w:val="20"/>
                <w:szCs w:val="20"/>
                <w:color w:val="auto"/>
              </w:rPr>
            </w:pPr>
            <w:r>
              <w:rPr>
                <w:rFonts w:ascii="Arial" w:cs="Arial" w:eastAsia="Arial" w:hAnsi="Arial"/>
                <w:sz w:val="12"/>
                <w:szCs w:val="12"/>
                <w:color w:val="auto"/>
              </w:rPr>
              <w:t>1,448</w:t>
            </w:r>
          </w:p>
        </w:tc>
        <w:tc>
          <w:tcPr>
            <w:tcW w:w="440" w:type="dxa"/>
            <w:vAlign w:val="bottom"/>
          </w:tcPr>
          <w:p>
            <w:pPr>
              <w:spacing w:after="0"/>
              <w:rPr>
                <w:sz w:val="12"/>
                <w:szCs w:val="12"/>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2"/>
                <w:szCs w:val="12"/>
                <w:color w:val="auto"/>
              </w:rPr>
              <w:t>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32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operating expenses</w:t>
            </w:r>
          </w:p>
        </w:tc>
        <w:tc>
          <w:tcPr>
            <w:tcW w:w="9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1,821</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1,271</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32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9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(1,821)</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(1,271)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9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(755)</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(785)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Change in warrant liabilities</w:t>
            </w:r>
          </w:p>
        </w:tc>
        <w:tc>
          <w:tcPr>
            <w:tcW w:w="900" w:type="dxa"/>
            <w:vAlign w:val="bottom"/>
          </w:tcPr>
          <w:p>
            <w:pPr>
              <w:spacing w:after="0"/>
              <w:rPr>
                <w:sz w:val="12"/>
                <w:szCs w:val="12"/>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2"/>
                <w:szCs w:val="12"/>
                <w:color w:val="auto"/>
              </w:rPr>
              <w:t>(1,895)</w:t>
            </w:r>
          </w:p>
        </w:tc>
        <w:tc>
          <w:tcPr>
            <w:tcW w:w="440" w:type="dxa"/>
            <w:vAlign w:val="bottom"/>
          </w:tcPr>
          <w:p>
            <w:pPr>
              <w:spacing w:after="0"/>
              <w:rPr>
                <w:sz w:val="12"/>
                <w:szCs w:val="12"/>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2"/>
                <w:szCs w:val="12"/>
                <w:color w:val="auto"/>
              </w:rPr>
              <w:t>(1,727)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9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(25,051)</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9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(29,522)</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(4,551)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Income taxes</w:t>
            </w:r>
          </w:p>
        </w:tc>
        <w:tc>
          <w:tcPr>
            <w:tcW w:w="900" w:type="dxa"/>
            <w:vAlign w:val="bottom"/>
          </w:tcPr>
          <w:p>
            <w:pPr>
              <w:spacing w:after="0"/>
              <w:rPr>
                <w:sz w:val="12"/>
                <w:szCs w:val="12"/>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2"/>
                <w:szCs w:val="12"/>
                <w:color w:val="auto"/>
              </w:rPr>
              <w:t>(2)</w:t>
            </w:r>
          </w:p>
        </w:tc>
        <w:tc>
          <w:tcPr>
            <w:tcW w:w="440" w:type="dxa"/>
            <w:vAlign w:val="bottom"/>
          </w:tcPr>
          <w:p>
            <w:pPr>
              <w:spacing w:after="0"/>
              <w:rPr>
                <w:sz w:val="12"/>
                <w:szCs w:val="12"/>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2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Net loss</w:t>
            </w: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900"/>
              <w:spacing w:after="0"/>
              <w:rPr>
                <w:sz w:val="20"/>
                <w:szCs w:val="20"/>
                <w:color w:val="auto"/>
              </w:rPr>
            </w:pPr>
            <w:r>
              <w:rPr>
                <w:rFonts w:ascii="Arial" w:cs="Arial" w:eastAsia="Arial" w:hAnsi="Arial"/>
                <w:sz w:val="12"/>
                <w:szCs w:val="12"/>
                <w:color w:val="auto"/>
              </w:rPr>
              <w:t>(29,524)</w:t>
            </w: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40"/>
              <w:spacing w:after="0"/>
              <w:rPr>
                <w:sz w:val="20"/>
                <w:szCs w:val="20"/>
                <w:color w:val="auto"/>
              </w:rPr>
            </w:pPr>
            <w:r>
              <w:rPr>
                <w:rFonts w:ascii="Arial" w:cs="Arial" w:eastAsia="Arial" w:hAnsi="Arial"/>
                <w:sz w:val="12"/>
                <w:szCs w:val="12"/>
                <w:color w:val="auto"/>
              </w:rPr>
              <w:t>(4,553)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dividend on Series B Preferred Stock</w:t>
            </w:r>
          </w:p>
        </w:tc>
        <w:tc>
          <w:tcPr>
            <w:tcW w:w="9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(213)</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ind w:left="40"/>
              <w:spacing w:after="0"/>
              <w:rPr>
                <w:sz w:val="20"/>
                <w:szCs w:val="20"/>
                <w:color w:val="auto"/>
              </w:rPr>
            </w:pPr>
            <w:r>
              <w:rPr>
                <w:rFonts w:ascii="Arial" w:cs="Arial" w:eastAsia="Arial" w:hAnsi="Arial"/>
                <w:sz w:val="12"/>
                <w:szCs w:val="12"/>
                <w:color w:val="auto"/>
              </w:rPr>
              <w:t>Deemed dividend on Series B Preferred Stock</w:t>
            </w:r>
          </w:p>
        </w:tc>
        <w:tc>
          <w:tcPr>
            <w:tcW w:w="900" w:type="dxa"/>
            <w:vAlign w:val="bottom"/>
          </w:tcPr>
          <w:p>
            <w:pPr>
              <w:spacing w:after="0"/>
              <w:rPr>
                <w:sz w:val="12"/>
                <w:szCs w:val="12"/>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2"/>
                <w:szCs w:val="12"/>
                <w:color w:val="auto"/>
              </w:rPr>
              <w:t>(256)</w:t>
            </w:r>
          </w:p>
        </w:tc>
        <w:tc>
          <w:tcPr>
            <w:tcW w:w="440" w:type="dxa"/>
            <w:vAlign w:val="bottom"/>
          </w:tcPr>
          <w:p>
            <w:pPr>
              <w:spacing w:after="0"/>
              <w:rPr>
                <w:sz w:val="12"/>
                <w:szCs w:val="12"/>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(29,993)</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(4,553)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reported no revenue for the quarters ended June 30, 2015 or 2014. We have successfully completed our Phase 1 clinical development of AV-101, our orally available, new generation prodrug candidate in Phase 2 clinical development for the treatment of Major Depressive Disorder (“</w:t>
      </w:r>
      <w:r>
        <w:rPr>
          <w:rFonts w:ascii="Arial" w:cs="Arial" w:eastAsia="Arial" w:hAnsi="Arial"/>
          <w:sz w:val="11"/>
          <w:szCs w:val="11"/>
          <w:i w:val="1"/>
          <w:iCs w:val="1"/>
          <w:color w:val="auto"/>
        </w:rPr>
        <w:t>MDD”</w:t>
      </w:r>
      <w:r>
        <w:rPr>
          <w:rFonts w:ascii="Arial" w:cs="Arial" w:eastAsia="Arial" w:hAnsi="Arial"/>
          <w:sz w:val="11"/>
          <w:szCs w:val="11"/>
          <w:color w:val="auto"/>
        </w:rPr>
        <w:t>), with additional therapeutic potential in neuropathic pain, epilepsy, Parkinson’s disease and Huntington’s disease. Additionally, as indicated previously, we have entered into a CRADA with the NIH providing for an NIH-sponsored Phase 2 clinical study of AV-101 in Major Depressive Disorder beginning in 2015. We presently have no revenue generating arrangements.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8" w:name="page89"/>
    <w:bookmarkEnd w:id="88"/>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Research and development expense totaled $373,000 for the quarter ended June 30, 2015, a decrease of 21% compared to $474,000 for the quarter ended June 30, 2014. The following table indicates the primary components of research and development expense for each of the periods (amounts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color w:val="auto"/>
              </w:rPr>
              <w:t>Three Months Ended June 30,</w:t>
            </w:r>
          </w:p>
        </w:tc>
        <w:tc>
          <w:tcPr>
            <w:tcW w:w="96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2015</w:t>
            </w:r>
          </w:p>
        </w:tc>
        <w:tc>
          <w:tcPr>
            <w:tcW w:w="9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2014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202</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18</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3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22</w:t>
            </w: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Technology licenses and royalties</w:t>
            </w: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53</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Project-related research and supplies:</w:t>
            </w: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ind w:left="260"/>
              <w:spacing w:after="0"/>
              <w:rPr>
                <w:sz w:val="20"/>
                <w:szCs w:val="20"/>
                <w:color w:val="auto"/>
              </w:rPr>
            </w:pPr>
            <w:r>
              <w:rPr>
                <w:rFonts w:ascii="Arial" w:cs="Arial" w:eastAsia="Arial" w:hAnsi="Arial"/>
                <w:sz w:val="12"/>
                <w:szCs w:val="12"/>
                <w:color w:val="auto"/>
              </w:rPr>
              <w:t>AV-101</w:t>
            </w: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11</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Stem cell and all other</w:t>
            </w:r>
          </w:p>
        </w:tc>
        <w:tc>
          <w:tcPr>
            <w:tcW w:w="30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w:t>
            </w:r>
          </w:p>
        </w:tc>
        <w:tc>
          <w:tcPr>
            <w:tcW w:w="4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gridSpan w:val="2"/>
          </w:tcPr>
          <w:p>
            <w:pPr>
              <w:jc w:val="right"/>
              <w:ind w:right="940"/>
              <w:spacing w:after="0" w:line="120" w:lineRule="exact"/>
              <w:rPr>
                <w:sz w:val="20"/>
                <w:szCs w:val="20"/>
                <w:color w:val="auto"/>
              </w:rPr>
            </w:pPr>
            <w:r>
              <w:rPr>
                <w:rFonts w:ascii="Arial" w:cs="Arial" w:eastAsia="Arial" w:hAnsi="Arial"/>
                <w:sz w:val="12"/>
                <w:szCs w:val="12"/>
                <w:color w:val="auto"/>
              </w:rPr>
              <w:t>13</w:t>
            </w:r>
          </w:p>
        </w:tc>
        <w:tc>
          <w:tcPr>
            <w:tcW w:w="400" w:type="dxa"/>
            <w:vAlign w:val="bottom"/>
          </w:tcPr>
          <w:p>
            <w:pPr>
              <w:spacing w:after="0"/>
              <w:rPr>
                <w:sz w:val="10"/>
                <w:szCs w:val="10"/>
                <w:color w:val="auto"/>
              </w:rPr>
            </w:pPr>
          </w:p>
        </w:tc>
        <w:tc>
          <w:tcPr>
            <w:tcW w:w="1440" w:type="dxa"/>
            <w:vAlign w:val="bottom"/>
            <w:gridSpan w:val="2"/>
          </w:tcPr>
          <w:p>
            <w:pPr>
              <w:jc w:val="right"/>
              <w:ind w:right="480"/>
              <w:spacing w:after="0" w:line="120" w:lineRule="exact"/>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32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Rent</w:t>
            </w:r>
          </w:p>
        </w:tc>
        <w:tc>
          <w:tcPr>
            <w:tcW w:w="300" w:type="dxa"/>
            <w:vAlign w:val="bottom"/>
            <w:shd w:val="clear" w:color="auto" w:fill="CCEEFF"/>
          </w:tcPr>
          <w:p>
            <w:pPr>
              <w:spacing w:after="0"/>
              <w:rPr>
                <w:sz w:val="10"/>
                <w:szCs w:val="10"/>
                <w:color w:val="auto"/>
              </w:rPr>
            </w:pPr>
          </w:p>
        </w:tc>
        <w:tc>
          <w:tcPr>
            <w:tcW w:w="2000" w:type="dxa"/>
            <w:vAlign w:val="bottom"/>
            <w:gridSpan w:val="2"/>
            <w:shd w:val="clear" w:color="auto" w:fill="CCEEFF"/>
          </w:tcPr>
          <w:p>
            <w:pPr>
              <w:jc w:val="right"/>
              <w:ind w:right="940"/>
              <w:spacing w:after="0" w:line="120" w:lineRule="exact"/>
              <w:rPr>
                <w:sz w:val="20"/>
                <w:szCs w:val="20"/>
                <w:color w:val="auto"/>
              </w:rPr>
            </w:pPr>
            <w:r>
              <w:rPr>
                <w:rFonts w:ascii="Arial" w:cs="Arial" w:eastAsia="Arial" w:hAnsi="Arial"/>
                <w:sz w:val="12"/>
                <w:szCs w:val="12"/>
                <w:color w:val="auto"/>
              </w:rPr>
              <w:t>53</w:t>
            </w:r>
          </w:p>
        </w:tc>
        <w:tc>
          <w:tcPr>
            <w:tcW w:w="40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480"/>
              <w:spacing w:after="0" w:line="120" w:lineRule="exact"/>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Depreciation</w:t>
            </w: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11</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All other</w:t>
            </w:r>
          </w:p>
        </w:tc>
        <w:tc>
          <w:tcPr>
            <w:tcW w:w="30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3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Total Research and Development Expense</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373</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 conserve cash resources, during 2014, Ralph Snodgrass, Ph.D., our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voluntarily accepted a temporary salary reduction to substantially less than his contractual pay rate. During the quarter ended June 30, 2015, Dr. Snodgrass has received cash compensation at his contractual base salary rate. Offsetting this increase is the impact of the voluntary resignation of one member of our scientific staff at the end of September 2014 and the voluntary reduction of work hours and pay by another member of our scientific staff beginning in the last quarter of calendar 2014.</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Stock based compensation expense for both 2015 and 2014 reflects the ratable amortization of option grants made to scientific staff and consultants most recently in March 2014 and October 2013 as well as amortization of grants of warrants made to our CSO in March 2014. Our stock options are generally amortized over a two-year or four-year vesting period, and warrants granted to the CSO are being amortized over a three-year vesting period. Essentially all of the option grants made prior to October 2013 and a warrant grant made to our CSO in March 2013 are now fully-vested and fully-expensed, resulting in the decrease in expense between the periods reported.</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Consulting services reflects fees paid or accrued for scientific services rendered to us by third-parties, primarily by members of our scientific and clinical advisory board.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9" w:name="page90"/>
    <w:bookmarkEnd w:id="89"/>
    <w:p>
      <w:pPr>
        <w:jc w:val="both"/>
        <w:ind w:firstLine="432"/>
        <w:spacing w:after="0" w:line="276" w:lineRule="auto"/>
        <w:rPr>
          <w:sz w:val="20"/>
          <w:szCs w:val="20"/>
          <w:color w:val="auto"/>
        </w:rPr>
      </w:pPr>
      <w:r>
        <w:rPr>
          <w:rFonts w:ascii="Arial" w:cs="Arial" w:eastAsia="Arial" w:hAnsi="Arial"/>
          <w:sz w:val="12"/>
          <w:szCs w:val="12"/>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Expenses in the quarter ended June 30, 2015 additionally include costs related to updating AV-101 documentation in preparation for the Phase 2 clinical trial to be conducted by the NIH.</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General and administrative expense was $1,448,000 for the quarter ended June 30, 2015, an 82% increase from the $797,000 reported for the quarter ended June 30, 2014. The following table indicates the primary components of general and administrative expenses for each of the periods (amounts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color w:val="auto"/>
                <w:w w:val="99"/>
              </w:rPr>
              <w:t>Three Months Ended June 30,</w:t>
            </w:r>
          </w:p>
        </w:tc>
        <w:tc>
          <w:tcPr>
            <w:tcW w:w="96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4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color w:val="auto"/>
              </w:rPr>
              <w:t>2015</w:t>
            </w:r>
          </w:p>
        </w:tc>
        <w:tc>
          <w:tcPr>
            <w:tcW w:w="42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2014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959</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Insurance</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38</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Rent and utilities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All other expenses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2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940" w:type="dxa"/>
            <w:vAlign w:val="bottom"/>
          </w:tcPr>
          <w:p>
            <w:pPr>
              <w:jc w:val="right"/>
              <w:ind w:right="8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1,448</w:t>
            </w:r>
          </w:p>
        </w:tc>
        <w:tc>
          <w:tcPr>
            <w:tcW w:w="9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 conserve cash resources, during 2014, Shawn Singh, our Chief Executive Officer, and Jerrold Dotson, our Chief Financial Officer, each voluntarily accepted a temporary salary reduction to substantially less than his contractual or agreed pay rate. During the quarter ended June 30, 2015, both Messrs. Singh and Dotson have received cash compensation at their respective contractual base salary rate. Pay rates and administrative employee headcount have otherwise remained stable between the periods reported.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0" w:name="page91"/>
    <w:bookmarkEnd w:id="90"/>
    <w:p>
      <w:pPr>
        <w:jc w:val="both"/>
        <w:ind w:firstLine="432"/>
        <w:spacing w:after="0" w:line="259" w:lineRule="auto"/>
        <w:rPr>
          <w:sz w:val="20"/>
          <w:szCs w:val="20"/>
          <w:color w:val="auto"/>
        </w:rPr>
      </w:pPr>
      <w:r>
        <w:rPr>
          <w:rFonts w:ascii="Arial" w:cs="Arial" w:eastAsia="Arial" w:hAnsi="Arial"/>
          <w:sz w:val="12"/>
          <w:szCs w:val="12"/>
          <w:color w:val="auto"/>
        </w:rPr>
        <w:t>Stock based compensation expense for both 2015 and 2014 reflects the ratable amortization of option grants made to administrative employees and consultants most recently in March 2014 and October 2013 as well as amortization of grants of warrants made to our officers and independent members of our Board of Directors in March 2014. Our stock options are generally amortized over a two-year or four-year vesting period, and warrants granted to the officers and Board members are being amortized over a three-year vesting period. Essentially all of the option grants made prior to October 2013 and a warrant grant made to an officer and our Board members in March 2013 are now fully-vested and fully-expensed, resulting in the decrease in expense between the periods reported.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Consulting services primarily includes fees accrued for the services of independent members of our Board of Directors.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increase in legal, accounting and other professional fees is primarily the result of the grant of an aggregate of 50,000 shares of our common stock having a fair value of $500,000 pursuant to two corporate development contracts initiated during the quarter ended June 30, 2015 and the grant of 25,000 shares of our Series B Preferred having a fair value of $250,000 to legal counsel as compensation for services in connection with our debt restructuring and other corporate finance matters. In both years, professional services fees include the expense related to the annual audit of the prior year financial statements. Expense for 2014 also includes $169,000 attributable to a consulting agreement for strategic advisory and business development services that has now expired.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Outsourced investor relations service expenses are essentially flat between periods.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both periods, travel expense reflects costs associated with presentations to potential investors in connection with the self-placed private placement offerings of our securities.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Warrant modification expense in 2015 reflects the impact of June 2015 strategic reductions in the exercise price of certain outstanding warrants, generally from $30.00 per share to $10.00 per share.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Interest expense, net totaled $755,000 for the quarter ended June 30, 2015, a decrease of 4% compared to the $785,000 reported for the quarter ended June 30, 2014. The following table summarizes the primary components of interest expense for each of the periods (amounts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color w:val="auto"/>
              </w:rPr>
              <w:t>Three Months Ended June 30,</w:t>
            </w:r>
          </w:p>
        </w:tc>
        <w:tc>
          <w:tcPr>
            <w:tcW w:w="96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2015</w:t>
            </w:r>
          </w:p>
        </w:tc>
        <w:tc>
          <w:tcPr>
            <w:tcW w:w="9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2014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on promissory notes</w:t>
            </w:r>
          </w:p>
        </w:tc>
        <w:tc>
          <w:tcPr>
            <w:tcW w:w="3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193</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Amortization of discount on promissory notes</w:t>
            </w: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551</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482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2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w:t>
            </w: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745</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2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10</w:t>
            </w: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Interest income</w:t>
            </w: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Interest expense, net</w:t>
            </w:r>
          </w:p>
        </w:tc>
        <w:tc>
          <w:tcPr>
            <w:tcW w:w="3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755</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760" w:type="dxa"/>
            <w:vAlign w:val="bottom"/>
            <w:vMerge w:val="restart"/>
          </w:tcPr>
          <w:p>
            <w:pPr>
              <w:jc w:val="right"/>
              <w:ind w:right="1440"/>
              <w:spacing w:after="0"/>
              <w:rPr>
                <w:sz w:val="20"/>
                <w:szCs w:val="20"/>
                <w:color w:val="auto"/>
              </w:rPr>
            </w:pPr>
            <w:r>
              <w:rPr>
                <w:rFonts w:ascii="Arial" w:cs="Arial" w:eastAsia="Arial" w:hAnsi="Arial"/>
                <w:sz w:val="12"/>
                <w:szCs w:val="12"/>
                <w:color w:val="auto"/>
              </w:rPr>
              <w:t>-87-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60" w:type="dxa"/>
            <w:vAlign w:val="bottom"/>
            <w:tcBorders>
              <w:bottom w:val="single" w:sz="8" w:color="808080"/>
            </w:tcBorders>
          </w:tcPr>
          <w:p>
            <w:pPr>
              <w:spacing w:after="0"/>
              <w:rPr>
                <w:sz w:val="6"/>
                <w:szCs w:val="6"/>
                <w:color w:val="auto"/>
              </w:rPr>
            </w:pPr>
          </w:p>
        </w:tc>
        <w:tc>
          <w:tcPr>
            <w:tcW w:w="276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1" w:name="page92"/>
    <w:bookmarkEnd w:id="91"/>
    <w:p>
      <w:pPr>
        <w:jc w:val="both"/>
        <w:ind w:right="20" w:firstLine="432"/>
        <w:spacing w:after="0" w:line="263" w:lineRule="auto"/>
        <w:rPr>
          <w:sz w:val="20"/>
          <w:szCs w:val="20"/>
          <w:color w:val="auto"/>
        </w:rPr>
      </w:pPr>
      <w:r>
        <w:rPr>
          <w:rFonts w:ascii="Arial" w:cs="Arial" w:eastAsia="Arial" w:hAnsi="Arial"/>
          <w:sz w:val="12"/>
          <w:szCs w:val="12"/>
          <w:color w:val="auto"/>
        </w:rPr>
        <w:t>The overall decrease in interest expense on promissory notes and the related amortization of discounts on such notes between the periods primarily reflects the impact of the accrued interest recorded for the issuances between July 2014 and May 2015 of an aggregate of approximately $1.8 million of 10% convertible promissory notes (2014 Unit Notes), offset by the cessation of interest accrual and discount amortization upon the conversion of all outstanding 2014 Unit Notes as well as the Senior Secured Convertible Notes and other outstanding promissory notes into shares of our Series B Preferred in May and June 2015.</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Under the terms of the October 2012 Note Exchange and Purchase Agreement we entered with Platinum,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8,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and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to the Condensed Consolidated Financial Statements for the three months ended June 30, 2015 included elsewhere in this Prospectus, on May 12, 2015, we entered into an agreement with Platinum pursuant to which Platinum agreed to amend the warrants to fix the exercise price thereof and eliminate the anti-dilution reset features that had previously required the warrants to be treated as liabilities and carried at fair value. Accordingly, we adjusted the Platinum Warrants to their fair value, estimated to be $4,903,200, reflecting an increase of $1,894,700 since March 31, 2015, resulting primarily from the increase in the market price of our common stock in relation to the exercise price of the warrants, and we subsequently eliminated the entire warrant liability with respect to the warrants. During the quarter ended June 30, 2014, we recognized non-cash expense of $1,727,200 related to the net increase in the estimated fair value of the warrant liabilities since March 31, 2014, which again resulted primarily from the increase in the market price of our common stock in relation to the exercise price of the warrants.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2" w:name="page93"/>
    <w:bookmarkEnd w:id="92"/>
    <w:p>
      <w:pPr>
        <w:jc w:val="both"/>
        <w:ind w:firstLine="432"/>
        <w:spacing w:after="0" w:line="279" w:lineRule="auto"/>
        <w:rPr>
          <w:sz w:val="20"/>
          <w:szCs w:val="20"/>
          <w:color w:val="auto"/>
        </w:rPr>
      </w:pPr>
      <w:r>
        <w:rPr>
          <w:rFonts w:ascii="Arial" w:cs="Arial" w:eastAsia="Arial" w:hAnsi="Arial"/>
          <w:sz w:val="11"/>
          <w:szCs w:val="11"/>
          <w:color w:val="auto"/>
        </w:rPr>
        <w:t xml:space="preserve">As described more completely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xml:space="preserve">, and Note 8, </w:t>
      </w:r>
      <w:r>
        <w:rPr>
          <w:rFonts w:ascii="Arial" w:cs="Arial" w:eastAsia="Arial" w:hAnsi="Arial"/>
          <w:sz w:val="11"/>
          <w:szCs w:val="11"/>
          <w:i w:val="1"/>
          <w:iCs w:val="1"/>
          <w:color w:val="auto"/>
        </w:rPr>
        <w:t>Capital Stock</w:t>
      </w:r>
      <w:r>
        <w:rPr>
          <w:rFonts w:ascii="Arial" w:cs="Arial" w:eastAsia="Arial" w:hAnsi="Arial"/>
          <w:sz w:val="11"/>
          <w:szCs w:val="11"/>
          <w:color w:val="auto"/>
        </w:rPr>
        <w:t>, to the accompanying Condensed Consolidated Financial Statements for the three months ended June 30, 2015 included elsewhere in this Prospectus, between May 12, 2015 and June 30, 2015, we have eliminated the outstanding balances of approximately $15.4 million of promissory notes, including our Senior Secured Notes, our 2014 Unit Notes and other debt and certain adjustments thereto that were either already due and payable or would have otherwise matured prior to March 31, 2016 by converting such balances into shares of our Series B Preferred. We treated the conversion of the debts into Series B Preferred as extinguishments of debt for accounting purposes. Since the fair value of the Series B Preferred we negotiated in settlement of the promissory notes and other debts exceeded the carrying value of the debts, we incurred losses on each of the extinguishments. Additionally, under the terms of the Platinum Agreement, we issued to Platinum 400,000 shares of Series B Preferred having an aggregate fair value of $4.0 million and Series B Warrants to purchase 1.2 million shares of our common stock having an aggregate of fair value of $8,270,900. We recognized this aggregate fair value as an additional non-cash component of loss on debt extinguishment. Many of the 2014 Unit Notes that were converted into Series B Preferred contained a beneficial conversion feature at the time they were originally issued. We have accounted for the repurchase of the beneficial conversion feature at the time the 2014 Unit Notes were extinguished and converted, an aggregate of $2,237,100, as a reduction to the loss on extinguishment of debt. We recorded an aggregate net non-cash loss of $25.1 million attributable to the extinguishment of the debt converted into Series B Preferred.</w:t>
      </w:r>
    </w:p>
    <w:p>
      <w:pPr>
        <w:spacing w:after="0" w:line="11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w:t>
      </w:r>
    </w:p>
    <w:p>
      <w:pPr>
        <w:spacing w:after="0" w:line="12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allocated the proceeds from the self-placed private placement sales of Series B Preferred Units to the Series B Preferred and the Series B Warrants based on their relative fair values on the dates of the sales. The difference between the relative fair value per share of the Series B Preferred, approximately $4.05 per share, and its Conversion Price (or stated value) of $7.00 per share represents a deemed dividend to the purchasers of the Series B Preferred Units. Accordingly, we have recognized a deemed dividend in the aggregate amount of $256,200 in arriving at net loss attributable to common stockholders for the quarter ended June 30, 2015 in the accompanying Condensed Consolidated Statement of Operations and Comprehensive Loss included in Part I of this Report. Further, we have recognized $213,300 representing the 10% cumulative dividend payable on our Series B Preferred as an additional deduction in arriving at net loss attributable to common stockholders in the accompanying Condensed Consolidated Statement of Operations and Comprehensive Loss.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3" w:name="page94"/>
    <w:bookmarkEnd w:id="93"/>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Since our inception in May 1998 through June 30, 2015, we have financed our operations and technology acquisitions through (1) the issuance and sale of our common stock, preferred stock, warrants for common stock, and promissory notes for aggregate cash proceeds of approximately $30.0 million, (2) issuance of common stock and preferred stock with an approximate value at issuance of $25.2 million as consideration for, among other things, technology license payments, sponsored research, contract research, development, manufacturing and regulatory services, and legal, corporate development and financial advisory services; and (3) receipt of aggregate non-dilutive cash proceeds of approximately $16.4 million from government research and development grant awards and strategic collaborations.</w:t>
      </w:r>
    </w:p>
    <w:p>
      <w:pPr>
        <w:spacing w:after="0" w:line="1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To meet our operational needs and fund our working capital requirements during fiscal 2015 and thereafter, between late March 2014 and May 14, 2015, in self-placed private placement transactions, we entered into securities purchase agreements with accredited investors, including Platinum, for the 2014 Unit Private Placement pursuant to which we sold Units to such accredited investors for aggregate cash proceeds of $3,393,500, consisting of (i) 10% convertible notes in the aggregate face amount of $3,393,500 due between March 31, 2015 and May 15, 2015 or automatically convertible into securities issuable upon our consummation of a Qualified Financing, as defined in the note (“</w:t>
      </w:r>
      <w:r>
        <w:rPr>
          <w:rFonts w:ascii="Arial" w:cs="Arial" w:eastAsia="Arial" w:hAnsi="Arial"/>
          <w:sz w:val="11"/>
          <w:szCs w:val="11"/>
          <w:i w:val="1"/>
          <w:iCs w:val="1"/>
          <w:color w:val="auto"/>
        </w:rPr>
        <w:t>2014 Unit Notes</w:t>
      </w:r>
      <w:r>
        <w:rPr>
          <w:rFonts w:ascii="Arial" w:cs="Arial" w:eastAsia="Arial" w:hAnsi="Arial"/>
          <w:sz w:val="11"/>
          <w:szCs w:val="11"/>
          <w:color w:val="auto"/>
        </w:rPr>
        <w:t>”); (ii) an aggregate of 315,850 restricted shares of our common stock; and (iii) warrants exercisable through December 31, 2016 to purchase an aggregate of 307,100 restricted shares of our common stock at an exercise price of $10.00 per share. As of the date of this prospectus, all of the 2014 Unit Notes have been extinguished by conversion into shares of our Series B Preferred and Series B Warrants (see below).</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At March 31, 2015, we did not have sufficient cash and cash equivalents to enable us to fund our planned operations, including expected cash expenditures of approximately $6.0 million through the next twelve months. To address this requirement, between May 26, 2015 and August 24, 2015, we sold to accredited investors an aggregate of $2,222,781 of units in our Series B Preferred Unit offering, which units consist of shares of our newly-created Series B 10%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and Series B Warrants (together Series B Preferred Units), including $1,000,000 to Platinum. We issued 317,548 shares of Series B Preferred and Series B Warrants to purchase 317,548 shares of our common stock and we have received an aggregate of $2,222,781 in cash proceeds from the sale of the Series B Preferred Units. Each share of Series B Preferred is convertible into one share of our common stock and the Series B Warrants are exercisable at a fixed price of $7.00 per share for a term of five years following issuance.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Additionally effective May 12, 2015, we entered into an agreement with Platinum (“</w:t>
      </w:r>
      <w:r>
        <w:rPr>
          <w:rFonts w:ascii="Arial" w:cs="Arial" w:eastAsia="Arial" w:hAnsi="Arial"/>
          <w:sz w:val="12"/>
          <w:szCs w:val="12"/>
          <w:i w:val="1"/>
          <w:iCs w:val="1"/>
          <w:color w:val="auto"/>
        </w:rPr>
        <w:t>Platinum Agreement”</w:t>
      </w:r>
      <w:r>
        <w:rPr>
          <w:rFonts w:ascii="Arial" w:cs="Arial" w:eastAsia="Arial" w:hAnsi="Arial"/>
          <w:sz w:val="12"/>
          <w:szCs w:val="12"/>
          <w:color w:val="auto"/>
        </w:rPr>
        <w:t>), pursuant to which Platinum:</w:t>
      </w:r>
    </w:p>
    <w:p>
      <w:pPr>
        <w:spacing w:after="0" w:line="168" w:lineRule="exact"/>
        <w:rPr>
          <w:sz w:val="20"/>
          <w:szCs w:val="20"/>
          <w:color w:val="auto"/>
        </w:rPr>
      </w:pPr>
    </w:p>
    <w:p>
      <w:pPr>
        <w:ind w:left="960" w:hanging="357"/>
        <w:spacing w:after="0" w:line="276" w:lineRule="auto"/>
        <w:tabs>
          <w:tab w:leader="none" w:pos="9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Converted the approximately $4.5 million outstanding balance (principal and accrued but unpaid interest) of the Senior Notes we issued to Platinum into 641,335 shares of our Series B Preferred, thereby cancelling approximately $4.5 million of our outstanding indebtedness;</w:t>
      </w:r>
    </w:p>
    <w:p>
      <w:pPr>
        <w:spacing w:after="0" w:line="132" w:lineRule="exact"/>
        <w:rPr>
          <w:rFonts w:ascii="Arial" w:cs="Arial" w:eastAsia="Arial" w:hAnsi="Arial"/>
          <w:sz w:val="12"/>
          <w:szCs w:val="12"/>
          <w:color w:val="auto"/>
        </w:rPr>
      </w:pPr>
    </w:p>
    <w:p>
      <w:pPr>
        <w:ind w:left="960" w:hanging="357"/>
        <w:spacing w:after="0" w:line="276" w:lineRule="auto"/>
        <w:tabs>
          <w:tab w:leader="none" w:pos="9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132" w:lineRule="exact"/>
        <w:rPr>
          <w:rFonts w:ascii="Arial" w:cs="Arial" w:eastAsia="Arial" w:hAnsi="Arial"/>
          <w:sz w:val="12"/>
          <w:szCs w:val="12"/>
          <w:color w:val="auto"/>
        </w:rPr>
      </w:pPr>
    </w:p>
    <w:p>
      <w:pPr>
        <w:jc w:val="both"/>
        <w:ind w:left="960" w:hanging="357"/>
        <w:spacing w:after="0" w:line="263" w:lineRule="auto"/>
        <w:tabs>
          <w:tab w:leader="none" w:pos="9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Converted the approximately $1.3 million outstanding balance (principal and accrued but unpaid interest) of the convertible promissory Notes we issued to Platinum in our 2014 Unit Private Placement (“</w:t>
      </w:r>
      <w:r>
        <w:rPr>
          <w:rFonts w:ascii="Arial" w:cs="Arial" w:eastAsia="Arial" w:hAnsi="Arial"/>
          <w:sz w:val="12"/>
          <w:szCs w:val="12"/>
          <w:i w:val="1"/>
          <w:iCs w:val="1"/>
          <w:color w:val="auto"/>
        </w:rPr>
        <w:t>2014 Unit</w:t>
      </w:r>
      <w:r>
        <w:rPr>
          <w:rFonts w:ascii="Arial" w:cs="Arial" w:eastAsia="Arial" w:hAnsi="Arial"/>
          <w:sz w:val="12"/>
          <w:szCs w:val="12"/>
          <w:color w:val="auto"/>
        </w:rPr>
        <w:t xml:space="preserve"> </w:t>
      </w:r>
      <w:r>
        <w:rPr>
          <w:rFonts w:ascii="Arial" w:cs="Arial" w:eastAsia="Arial" w:hAnsi="Arial"/>
          <w:sz w:val="12"/>
          <w:szCs w:val="12"/>
          <w:i w:val="1"/>
          <w:iCs w:val="1"/>
          <w:color w:val="auto"/>
        </w:rPr>
        <w:t>Notes”</w:t>
      </w:r>
      <w:r>
        <w:rPr>
          <w:rFonts w:ascii="Arial" w:cs="Arial" w:eastAsia="Arial" w:hAnsi="Arial"/>
          <w:sz w:val="12"/>
          <w:szCs w:val="12"/>
          <w:color w:val="auto"/>
        </w:rPr>
        <w:t>) into 240,305 shares of Series B Preferred and five-year warrants to purchase 240,305 shares of our common stock at a fixed exercise price of $7.00 per share (“</w:t>
      </w:r>
      <w:r>
        <w:rPr>
          <w:rFonts w:ascii="Arial" w:cs="Arial" w:eastAsia="Arial" w:hAnsi="Arial"/>
          <w:sz w:val="12"/>
          <w:szCs w:val="12"/>
          <w:i w:val="1"/>
          <w:iCs w:val="1"/>
          <w:color w:val="auto"/>
        </w:rPr>
        <w:t>Series B Warrants”</w:t>
      </w:r>
      <w:r>
        <w:rPr>
          <w:rFonts w:ascii="Arial" w:cs="Arial" w:eastAsia="Arial" w:hAnsi="Arial"/>
          <w:sz w:val="12"/>
          <w:szCs w:val="12"/>
          <w:color w:val="auto"/>
        </w:rPr>
        <w:t>), thereby cancelling</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$1.3 million of our outstanding indebtedness;</w:t>
      </w:r>
    </w:p>
    <w:p>
      <w:pPr>
        <w:spacing w:after="0" w:line="140" w:lineRule="exact"/>
        <w:rPr>
          <w:rFonts w:ascii="Arial" w:cs="Arial" w:eastAsia="Arial" w:hAnsi="Arial"/>
          <w:sz w:val="12"/>
          <w:szCs w:val="12"/>
          <w:color w:val="auto"/>
        </w:rPr>
      </w:pPr>
    </w:p>
    <w:p>
      <w:pPr>
        <w:jc w:val="both"/>
        <w:ind w:left="960" w:hanging="357"/>
        <w:spacing w:after="0" w:line="263" w:lineRule="auto"/>
        <w:tabs>
          <w:tab w:leader="none" w:pos="9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and converted the entire outstanding balance of the Investor 2014 Unit Notes into 265,699 shares of Series B Preferred and Series B Warrants to purchase 265,699 shares of our common stock, thereby cancelling approximately $1.5 million of our outstanding indebtedness;</w:t>
      </w:r>
    </w:p>
    <w:p>
      <w:pPr>
        <w:spacing w:after="0" w:line="140" w:lineRule="exact"/>
        <w:rPr>
          <w:rFonts w:ascii="Arial" w:cs="Arial" w:eastAsia="Arial" w:hAnsi="Arial"/>
          <w:sz w:val="12"/>
          <w:szCs w:val="12"/>
          <w:color w:val="auto"/>
        </w:rPr>
      </w:pPr>
    </w:p>
    <w:p>
      <w:pPr>
        <w:ind w:left="960" w:hanging="357"/>
        <w:spacing w:after="0" w:line="276" w:lineRule="auto"/>
        <w:tabs>
          <w:tab w:leader="none" w:pos="9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Signed and delivered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to purchase, for $1.0 million in a self-placed private placement transaction, a total of 142,857 shares of Series B Preferred and a Series B Warrant to purchase 142,857 shares of our common stock, on or before June 11, 2015 (a portion of which purchase has been consummated);</w:t>
      </w:r>
    </w:p>
    <w:p>
      <w:pPr>
        <w:spacing w:after="0" w:line="132" w:lineRule="exact"/>
        <w:rPr>
          <w:rFonts w:ascii="Arial" w:cs="Arial" w:eastAsia="Arial" w:hAnsi="Arial"/>
          <w:sz w:val="12"/>
          <w:szCs w:val="12"/>
          <w:color w:val="auto"/>
        </w:rPr>
      </w:pPr>
    </w:p>
    <w:p>
      <w:pPr>
        <w:ind w:left="960" w:hanging="357"/>
        <w:spacing w:after="0"/>
        <w:tabs>
          <w:tab w:leader="none" w:pos="9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Amended the Platinum Warrants (all warrants previously issued by us to Platinum in connection with the Senior Notes) and the Series A Exchange Warrant to:</w:t>
      </w:r>
    </w:p>
    <w:p>
      <w:pPr>
        <w:spacing w:after="0" w:line="168" w:lineRule="exact"/>
        <w:rPr>
          <w:rFonts w:ascii="Arial" w:cs="Arial" w:eastAsia="Arial" w:hAnsi="Arial"/>
          <w:sz w:val="12"/>
          <w:szCs w:val="12"/>
          <w:color w:val="auto"/>
        </w:rPr>
      </w:pPr>
    </w:p>
    <w:p>
      <w:pPr>
        <w:ind w:left="1300" w:hanging="310"/>
        <w:spacing w:after="0"/>
        <w:tabs>
          <w:tab w:leader="none" w:pos="1300" w:val="left"/>
        </w:tabs>
        <w:numPr>
          <w:ilvl w:val="1"/>
          <w:numId w:val="39"/>
        </w:numPr>
        <w:rPr>
          <w:rFonts w:ascii="Arial" w:cs="Arial" w:eastAsia="Arial" w:hAnsi="Arial"/>
          <w:sz w:val="12"/>
          <w:szCs w:val="12"/>
          <w:color w:val="auto"/>
        </w:rPr>
      </w:pPr>
      <w:r>
        <w:rPr>
          <w:rFonts w:ascii="Arial" w:cs="Arial" w:eastAsia="Arial" w:hAnsi="Arial"/>
          <w:sz w:val="12"/>
          <w:szCs w:val="12"/>
          <w:color w:val="auto"/>
        </w:rPr>
        <w:t>fix the exercise price of Platinum Warrants and the Series A Exchange Warrant at $7.00 per share;</w:t>
      </w:r>
    </w:p>
    <w:p>
      <w:pPr>
        <w:spacing w:after="0" w:line="14" w:lineRule="exact"/>
        <w:rPr>
          <w:rFonts w:ascii="Arial" w:cs="Arial" w:eastAsia="Arial" w:hAnsi="Arial"/>
          <w:sz w:val="12"/>
          <w:szCs w:val="12"/>
          <w:color w:val="auto"/>
        </w:rPr>
      </w:pPr>
    </w:p>
    <w:p>
      <w:pPr>
        <w:ind w:left="1300" w:hanging="310"/>
        <w:spacing w:after="0"/>
        <w:tabs>
          <w:tab w:leader="none" w:pos="1300" w:val="left"/>
        </w:tabs>
        <w:numPr>
          <w:ilvl w:val="1"/>
          <w:numId w:val="39"/>
        </w:numPr>
        <w:rPr>
          <w:rFonts w:ascii="Arial" w:cs="Arial" w:eastAsia="Arial" w:hAnsi="Arial"/>
          <w:sz w:val="12"/>
          <w:szCs w:val="12"/>
          <w:color w:val="auto"/>
        </w:rPr>
      </w:pPr>
      <w:r>
        <w:rPr>
          <w:rFonts w:ascii="Arial" w:cs="Arial" w:eastAsia="Arial" w:hAnsi="Arial"/>
          <w:sz w:val="12"/>
          <w:szCs w:val="12"/>
          <w:color w:val="auto"/>
        </w:rPr>
        <w:t>eliminate the exercise price reset features and fix the number of shares of our common stock issuable under the Platinum Warrants; and</w:t>
      </w:r>
    </w:p>
    <w:p>
      <w:pPr>
        <w:spacing w:after="0" w:line="6" w:lineRule="exact"/>
        <w:rPr>
          <w:rFonts w:ascii="Arial" w:cs="Arial" w:eastAsia="Arial" w:hAnsi="Arial"/>
          <w:sz w:val="12"/>
          <w:szCs w:val="12"/>
          <w:color w:val="auto"/>
        </w:rPr>
      </w:pPr>
    </w:p>
    <w:p>
      <w:pPr>
        <w:ind w:left="1300" w:hanging="310"/>
        <w:spacing w:after="0"/>
        <w:tabs>
          <w:tab w:leader="none" w:pos="1300" w:val="left"/>
        </w:tabs>
        <w:numPr>
          <w:ilvl w:val="1"/>
          <w:numId w:val="39"/>
        </w:numPr>
        <w:rPr>
          <w:rFonts w:ascii="Arial" w:cs="Arial" w:eastAsia="Arial" w:hAnsi="Arial"/>
          <w:sz w:val="12"/>
          <w:szCs w:val="12"/>
          <w:color w:val="auto"/>
        </w:rPr>
      </w:pPr>
      <w:r>
        <w:rPr>
          <w:rFonts w:ascii="Arial" w:cs="Arial" w:eastAsia="Arial" w:hAnsi="Arial"/>
          <w:sz w:val="12"/>
          <w:szCs w:val="12"/>
          <w:color w:val="auto"/>
        </w:rPr>
        <w:t>eliminate the cashless exercise provisions from the Platinum Warrants and the Series A Exchange Warrant; and</w:t>
      </w:r>
    </w:p>
    <w:p>
      <w:pPr>
        <w:spacing w:after="0" w:line="159" w:lineRule="exact"/>
        <w:rPr>
          <w:rFonts w:ascii="Arial" w:cs="Arial" w:eastAsia="Arial" w:hAnsi="Arial"/>
          <w:sz w:val="12"/>
          <w:szCs w:val="12"/>
          <w:color w:val="auto"/>
        </w:rPr>
      </w:pPr>
    </w:p>
    <w:p>
      <w:pPr>
        <w:ind w:left="960" w:right="20" w:hanging="357"/>
        <w:spacing w:after="0" w:line="276" w:lineRule="auto"/>
        <w:tabs>
          <w:tab w:leader="none" w:pos="9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94" w:name="page95"/>
    <w:bookmarkEnd w:id="9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 additional consideration for the agreements of Platinum under the Platinum Agreement, we issued to Platinum 400,000 shares of Series B Preferred and Warrants to purchase 1.2 million shares of our common stock and exchanged 30,000 shares of our common stock currently beneficially owned or controlled by Platinum for 30,000 shares of Series B Preferred.</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Effective May 20, 2015, holders of the remaining approximately $1.8 million outstanding balance (principal and accrued but unpaid interest) of unsecured 2014 Unit Notes converted such notes into 327,016 shares of Series B Preferred and Series B Warrants to purchase 327,016 shares of our common stock, thereby cancelling an additional approximately $1.8 million of our outstanding indebtedness.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Between May 26, 2015 and August 24, 2015, we sold to accredited investors in a series of self-placed private placement transactions an aggregate of $2,222,781 of units in our Series B Preferred Unit offering, which units consist of Series B Preferred and Series B Warrants (together </w:t>
      </w:r>
      <w:r>
        <w:rPr>
          <w:rFonts w:ascii="Arial" w:cs="Arial" w:eastAsia="Arial" w:hAnsi="Arial"/>
          <w:sz w:val="12"/>
          <w:szCs w:val="12"/>
          <w:i w:val="1"/>
          <w:iCs w:val="1"/>
          <w:color w:val="auto"/>
        </w:rPr>
        <w:t>Series B Preferred Units</w:t>
      </w:r>
      <w:r>
        <w:rPr>
          <w:rFonts w:ascii="Arial" w:cs="Arial" w:eastAsia="Arial" w:hAnsi="Arial"/>
          <w:sz w:val="12"/>
          <w:szCs w:val="12"/>
          <w:color w:val="auto"/>
        </w:rPr>
        <w:t>), including $1,000,000 to Platinum. We have issued 317,548 shares of Series B Preferred and Series B Warrants to purchase 317,548 shares of our common stock and we have received an aggregate of $2,222,781 in cash proceeds from the sale of the Series B Preferred Units. Each share of Series B Preferred is convertible into one share of our common stock and the Series B Warrants are exercisable at a fixed price of $7.00 per share for a term of five years following issuance.</w:t>
      </w:r>
    </w:p>
    <w:p>
      <w:pPr>
        <w:spacing w:after="0" w:line="125"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Additionally, between May 29, 2015 and August 17, 2015, holders of certain of our promissory notes outstanding at March 31, 2015 and thereafter, accounts payable and other liabilities, including Morrison &amp; Foerster, University Health Network, Cato BioVentures, Cato Research Ltd., McCarthy Tetrault, Icahn School of Medicine at Mount Sinai, National Jewish Health, Desjardins Securities, Burr Pilger Mayer, and certain other service providers converted notes payable or accounts payable having an aggregate balance of approximately $7.35 million (principal and accrued but unpaid interest and certain strategic adjustments) into 1,144,562 shares of Series B Preferred.</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Between May 12, 2015 and August 24, 2015, we have eliminated approximately $17.2 million of promissory notes, other debt and certain adjustments thereto that was either already due and payable or would have otherwise matured prior to March 31, 2016, through conversion into our Series B Preferred and, with respect to a portion of the indebtedness converted, warrants to purchase common stock. Together with the cash proceeds from our self-placed private Series B Preferred Unit offering, our working capital position has improved significantly since the end of fiscal 2015. We will, however, need to raise additional capital to fund our operations and execute our business plan over the next year and thereafter.</w:t>
      </w:r>
    </w:p>
    <w:p>
      <w:pPr>
        <w:spacing w:after="0" w:line="125"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We believe that our participation in potential strategic collaborations, including potential transactions involving AV-101 such as our February 2015 CRADA with the NIH for an NIH-funded and sponsored Phase 2 study of AV-101 in MDD, may provide resources to support a portion of our future cash needs and working capital requirements, however, no assurances can be provided.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MDD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consulting, contract research and development, legal, accounting, public company compliance and other professional services and working capital costs.</w:t>
      </w:r>
    </w:p>
    <w:p>
      <w:pPr>
        <w:spacing w:after="0" w:line="11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ind w:left="400"/>
              <w:spacing w:after="0"/>
              <w:rPr>
                <w:sz w:val="20"/>
                <w:szCs w:val="20"/>
                <w:color w:val="auto"/>
              </w:rPr>
            </w:pPr>
            <w:r>
              <w:rPr>
                <w:rFonts w:ascii="Arial" w:cs="Arial" w:eastAsia="Arial" w:hAnsi="Arial"/>
                <w:sz w:val="12"/>
                <w:szCs w:val="12"/>
                <w:color w:val="auto"/>
              </w:rPr>
              <w:t>The following table summarizes changes in cash and cash equivalents for the periods stated (in thousands):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gridSpan w:val="3"/>
          </w:tcPr>
          <w:p>
            <w:pPr>
              <w:jc w:val="center"/>
              <w:ind w:right="287"/>
              <w:spacing w:after="0"/>
              <w:rPr>
                <w:sz w:val="20"/>
                <w:szCs w:val="20"/>
                <w:color w:val="auto"/>
              </w:rPr>
            </w:pPr>
            <w:r>
              <w:rPr>
                <w:rFonts w:ascii="Arial" w:cs="Arial" w:eastAsia="Arial" w:hAnsi="Arial"/>
                <w:sz w:val="12"/>
                <w:szCs w:val="12"/>
                <w:b w:val="1"/>
                <w:bCs w:val="1"/>
                <w:color w:val="auto"/>
                <w:w w:val="89"/>
              </w:rPr>
              <w:t>Fiscal Years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307"/>
              <w:spacing w:after="0"/>
              <w:rPr>
                <w:sz w:val="20"/>
                <w:szCs w:val="20"/>
                <w:color w:val="auto"/>
              </w:rPr>
            </w:pPr>
            <w:r>
              <w:rPr>
                <w:rFonts w:ascii="Arial" w:cs="Arial" w:eastAsia="Arial" w:hAnsi="Arial"/>
                <w:sz w:val="12"/>
                <w:szCs w:val="12"/>
                <w:b w:val="1"/>
                <w:bCs w:val="1"/>
                <w:color w:val="auto"/>
                <w:w w:val="93"/>
              </w:rPr>
              <w:t>March 31,</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(2,769)</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2,839</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Borders>
              <w:bottom w:val="single" w:sz="8" w:color="auto"/>
            </w:tcBorders>
          </w:tcPr>
          <w:p>
            <w:pPr>
              <w:jc w:val="right"/>
              <w:ind w:right="626"/>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627"/>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2140" w:type="dxa"/>
            <w:vAlign w:val="bottom"/>
            <w:tcBorders>
              <w:bottom w:val="single" w:sz="8" w:color="auto"/>
            </w:tcBorders>
            <w:gridSpan w:val="4"/>
          </w:tcPr>
          <w:p>
            <w:pPr>
              <w:jc w:val="center"/>
              <w:ind w:left="346"/>
              <w:spacing w:after="0"/>
              <w:rPr>
                <w:sz w:val="20"/>
                <w:szCs w:val="20"/>
                <w:color w:val="auto"/>
              </w:rPr>
            </w:pPr>
            <w:r>
              <w:rPr>
                <w:rFonts w:ascii="Arial" w:cs="Arial" w:eastAsia="Arial" w:hAnsi="Arial"/>
                <w:sz w:val="12"/>
                <w:szCs w:val="12"/>
                <w:b w:val="1"/>
                <w:bCs w:val="1"/>
                <w:color w:val="auto"/>
                <w:w w:val="90"/>
              </w:rPr>
              <w:t>Three Months Ended June 30,</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(823)</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cash and cash equivalents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2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Pr>
          <w:p>
            <w:pPr>
              <w:jc w:val="right"/>
              <w:ind w:right="626"/>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121</w:t>
            </w:r>
          </w:p>
        </w:tc>
        <w:tc>
          <w:tcPr>
            <w:tcW w:w="240" w:type="dxa"/>
            <w:vAlign w:val="bottom"/>
          </w:tcPr>
          <w:p>
            <w:pPr>
              <w:spacing w:after="0"/>
              <w:rPr>
                <w:sz w:val="12"/>
                <w:szCs w:val="12"/>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6" w:name="page97"/>
    <w:bookmarkEnd w:id="9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ind w:left="2780"/>
        <w:spacing w:after="0"/>
        <w:rPr>
          <w:sz w:val="20"/>
          <w:szCs w:val="20"/>
          <w:color w:val="auto"/>
        </w:rPr>
      </w:pPr>
      <w:r>
        <w:rPr>
          <w:rFonts w:ascii="Arial" w:cs="Arial" w:eastAsia="Arial" w:hAnsi="Arial"/>
          <w:sz w:val="12"/>
          <w:szCs w:val="12"/>
          <w:b w:val="1"/>
          <w:bCs w:val="1"/>
          <w:color w:val="auto"/>
        </w:rPr>
        <w:t>CHANGES IN AND DISAGREEMENTS WITH ACCOUNTANTS ON ACCOUNTING AND FINANCIAL DISCLOSURE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ind w:left="3500"/>
        <w:spacing w:after="0"/>
        <w:rPr>
          <w:sz w:val="20"/>
          <w:szCs w:val="20"/>
          <w:color w:val="auto"/>
        </w:rPr>
      </w:pPr>
      <w:r>
        <w:rPr>
          <w:rFonts w:ascii="Arial" w:cs="Arial" w:eastAsia="Arial" w:hAnsi="Arial"/>
          <w:sz w:val="12"/>
          <w:szCs w:val="12"/>
          <w:b w:val="1"/>
          <w:bCs w:val="1"/>
          <w:color w:val="auto"/>
        </w:rPr>
        <w:t>DIRECTORS, EXECUTIVE OFFICERS, PROMOTERS AND CONTROL PERSONS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senior management is composed of individuals with significant management experience. Our directors and executive officers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00" w:type="dxa"/>
            <w:vAlign w:val="bottom"/>
          </w:tcPr>
          <w:p>
            <w:pPr>
              <w:spacing w:after="0"/>
              <w:rPr>
                <w:sz w:val="13"/>
                <w:szCs w:val="13"/>
                <w:color w:val="auto"/>
              </w:rPr>
            </w:pPr>
          </w:p>
        </w:tc>
        <w:tc>
          <w:tcPr>
            <w:tcW w:w="1340" w:type="dxa"/>
            <w:vAlign w:val="bottom"/>
          </w:tcPr>
          <w:p>
            <w:pPr>
              <w:jc w:val="right"/>
              <w:ind w:right="520"/>
              <w:spacing w:after="0"/>
              <w:rPr>
                <w:sz w:val="20"/>
                <w:szCs w:val="20"/>
                <w:color w:val="auto"/>
              </w:rPr>
            </w:pPr>
            <w:r>
              <w:rPr>
                <w:rFonts w:ascii="Arial" w:cs="Arial" w:eastAsia="Arial" w:hAnsi="Arial"/>
                <w:sz w:val="12"/>
                <w:szCs w:val="12"/>
                <w:b w:val="1"/>
                <w:bCs w:val="1"/>
                <w:color w:val="auto"/>
              </w:rPr>
              <w:t>Age</w:t>
            </w:r>
          </w:p>
        </w:tc>
        <w:tc>
          <w:tcPr>
            <w:tcW w:w="14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2"/>
                <w:szCs w:val="12"/>
                <w:b w:val="1"/>
                <w:bCs w:val="1"/>
                <w:color w:val="auto"/>
              </w:rPr>
              <w:t>Position</w:t>
            </w:r>
          </w:p>
        </w:tc>
      </w:tr>
      <w:tr>
        <w:trPr>
          <w:trHeight w:val="142"/>
        </w:trPr>
        <w:tc>
          <w:tcPr>
            <w:tcW w:w="20" w:type="dxa"/>
            <w:vAlign w:val="bottom"/>
          </w:tcPr>
          <w:p>
            <w:pPr>
              <w:spacing w:after="0"/>
              <w:rPr>
                <w:sz w:val="12"/>
                <w:szCs w:val="12"/>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300" w:type="dxa"/>
            <w:vAlign w:val="bottom"/>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rPr>
              <w:t>52</w:t>
            </w:r>
          </w:p>
        </w:tc>
        <w:tc>
          <w:tcPr>
            <w:tcW w:w="140" w:type="dxa"/>
            <w:vAlign w:val="bottom"/>
            <w:shd w:val="clear" w:color="auto" w:fill="CCEEFF"/>
          </w:tcPr>
          <w:p>
            <w:pPr>
              <w:spacing w:after="0"/>
              <w:rPr>
                <w:sz w:val="12"/>
                <w:szCs w:val="12"/>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Chief Executive Officer and Director</w:t>
            </w:r>
          </w:p>
        </w:tc>
      </w:tr>
      <w:tr>
        <w:trPr>
          <w:trHeight w:val="144"/>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H. Ralph Snodgrass, Ph.D.</w:t>
            </w:r>
          </w:p>
        </w:tc>
        <w:tc>
          <w:tcPr>
            <w:tcW w:w="1640" w:type="dxa"/>
            <w:vAlign w:val="bottom"/>
            <w:gridSpan w:val="2"/>
          </w:tcPr>
          <w:p>
            <w:pPr>
              <w:jc w:val="right"/>
              <w:ind w:right="480"/>
              <w:spacing w:after="0"/>
              <w:rPr>
                <w:sz w:val="20"/>
                <w:szCs w:val="20"/>
                <w:color w:val="auto"/>
              </w:rPr>
            </w:pPr>
            <w:r>
              <w:rPr>
                <w:rFonts w:ascii="Arial" w:cs="Arial" w:eastAsia="Arial" w:hAnsi="Arial"/>
                <w:sz w:val="12"/>
                <w:szCs w:val="12"/>
                <w:color w:val="auto"/>
              </w:rPr>
              <w:t>65</w:t>
            </w:r>
          </w:p>
        </w:tc>
        <w:tc>
          <w:tcPr>
            <w:tcW w:w="140" w:type="dxa"/>
            <w:vAlign w:val="bottom"/>
          </w:tcPr>
          <w:p>
            <w:pPr>
              <w:spacing w:after="0"/>
              <w:rPr>
                <w:sz w:val="12"/>
                <w:szCs w:val="12"/>
                <w:color w:val="auto"/>
              </w:rPr>
            </w:pPr>
          </w:p>
        </w:tc>
        <w:tc>
          <w:tcPr>
            <w:tcW w:w="5480" w:type="dxa"/>
            <w:vAlign w:val="bottom"/>
          </w:tcPr>
          <w:p>
            <w:pPr>
              <w:spacing w:after="0"/>
              <w:rPr>
                <w:sz w:val="20"/>
                <w:szCs w:val="20"/>
                <w:color w:val="auto"/>
              </w:rPr>
            </w:pPr>
            <w:r>
              <w:rPr>
                <w:rFonts w:ascii="Arial" w:cs="Arial" w:eastAsia="Arial" w:hAnsi="Arial"/>
                <w:sz w:val="12"/>
                <w:szCs w:val="12"/>
                <w:color w:val="auto"/>
              </w:rPr>
              <w:t>Founder, President, Chief Scientific Officer and Director</w:t>
            </w: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62</w:t>
            </w:r>
          </w:p>
        </w:tc>
        <w:tc>
          <w:tcPr>
            <w:tcW w:w="140" w:type="dxa"/>
            <w:vAlign w:val="bottom"/>
            <w:shd w:val="clear" w:color="auto" w:fill="CCEEFF"/>
          </w:tcPr>
          <w:p>
            <w:pPr>
              <w:spacing w:after="0"/>
              <w:rPr>
                <w:sz w:val="12"/>
                <w:szCs w:val="12"/>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Vice President, Chief Financial Officer and Secretary</w:t>
            </w:r>
          </w:p>
        </w:tc>
      </w:tr>
      <w:tr>
        <w:trPr>
          <w:trHeight w:val="144"/>
        </w:trPr>
        <w:tc>
          <w:tcPr>
            <w:tcW w:w="20" w:type="dxa"/>
            <w:vAlign w:val="bottom"/>
          </w:tcPr>
          <w:p>
            <w:pPr>
              <w:spacing w:after="0"/>
              <w:rPr>
                <w:sz w:val="12"/>
                <w:szCs w:val="12"/>
                <w:color w:val="auto"/>
              </w:rPr>
            </w:pPr>
          </w:p>
        </w:tc>
        <w:tc>
          <w:tcPr>
            <w:tcW w:w="4200" w:type="dxa"/>
            <w:vAlign w:val="bottom"/>
          </w:tcPr>
          <w:p>
            <w:pPr>
              <w:spacing w:after="0" w:line="144"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perscript"/>
              </w:rPr>
              <w:t>(1)</w:t>
            </w:r>
          </w:p>
        </w:tc>
        <w:tc>
          <w:tcPr>
            <w:tcW w:w="1640" w:type="dxa"/>
            <w:vAlign w:val="bottom"/>
            <w:gridSpan w:val="2"/>
          </w:tcPr>
          <w:p>
            <w:pPr>
              <w:jc w:val="right"/>
              <w:ind w:right="480"/>
              <w:spacing w:after="0"/>
              <w:rPr>
                <w:sz w:val="20"/>
                <w:szCs w:val="20"/>
                <w:color w:val="auto"/>
              </w:rPr>
            </w:pPr>
            <w:r>
              <w:rPr>
                <w:rFonts w:ascii="Arial" w:cs="Arial" w:eastAsia="Arial" w:hAnsi="Arial"/>
                <w:sz w:val="12"/>
                <w:szCs w:val="12"/>
                <w:color w:val="auto"/>
              </w:rPr>
              <w:t>79</w:t>
            </w:r>
          </w:p>
        </w:tc>
        <w:tc>
          <w:tcPr>
            <w:tcW w:w="140" w:type="dxa"/>
            <w:vAlign w:val="bottom"/>
          </w:tcPr>
          <w:p>
            <w:pPr>
              <w:spacing w:after="0"/>
              <w:rPr>
                <w:sz w:val="12"/>
                <w:szCs w:val="12"/>
                <w:color w:val="auto"/>
              </w:rPr>
            </w:pPr>
          </w:p>
        </w:tc>
        <w:tc>
          <w:tcPr>
            <w:tcW w:w="548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perscript"/>
              </w:rPr>
              <w:t>(2)</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74</w:t>
            </w:r>
          </w:p>
        </w:tc>
        <w:tc>
          <w:tcPr>
            <w:tcW w:w="140" w:type="dxa"/>
            <w:vAlign w:val="bottom"/>
            <w:shd w:val="clear" w:color="auto" w:fill="CCEEFF"/>
          </w:tcPr>
          <w:p>
            <w:pPr>
              <w:spacing w:after="0"/>
              <w:rPr>
                <w:sz w:val="12"/>
                <w:szCs w:val="12"/>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Director</w:t>
            </w:r>
          </w:p>
        </w:tc>
      </w:tr>
    </w:tbl>
    <w:p>
      <w:pPr>
        <w:spacing w:after="0" w:line="153" w:lineRule="exact"/>
        <w:rPr>
          <w:sz w:val="20"/>
          <w:szCs w:val="20"/>
          <w:color w:val="auto"/>
        </w:rPr>
      </w:pPr>
    </w:p>
    <w:p>
      <w:pPr>
        <w:ind w:left="900" w:hanging="198"/>
        <w:spacing w:after="0"/>
        <w:tabs>
          <w:tab w:leader="none" w:pos="9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Chairman of the audit committee and member of the compensation committee and corporate governance and nominating committee</w:t>
      </w:r>
    </w:p>
    <w:p>
      <w:pPr>
        <w:spacing w:after="0" w:line="14" w:lineRule="exact"/>
        <w:rPr>
          <w:rFonts w:ascii="Arial" w:cs="Arial" w:eastAsia="Arial" w:hAnsi="Arial"/>
          <w:sz w:val="12"/>
          <w:szCs w:val="12"/>
          <w:color w:val="auto"/>
        </w:rPr>
      </w:pPr>
    </w:p>
    <w:p>
      <w:pPr>
        <w:ind w:left="900" w:hanging="198"/>
        <w:spacing w:after="0"/>
        <w:tabs>
          <w:tab w:leader="none" w:pos="9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Member of the audit committee and chairman of the compensation committee and corporate governance and nominating committee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w:t>
      </w:r>
    </w:p>
    <w:p>
      <w:pPr>
        <w:spacing w:after="0" w:line="15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b w:val="1"/>
          <w:bCs w:val="1"/>
          <w:i w:val="1"/>
          <w:iCs w:val="1"/>
          <w:color w:val="auto"/>
        </w:rPr>
        <w:t xml:space="preserve">Shawn K. Singh, J.D. </w:t>
      </w:r>
      <w:r>
        <w:rPr>
          <w:rFonts w:ascii="Arial" w:cs="Arial" w:eastAsia="Arial" w:hAnsi="Arial"/>
          <w:sz w:val="11"/>
          <w:szCs w:val="11"/>
          <w:color w:val="auto"/>
        </w:rPr>
        <w:t>has served as our Chief Executive Officer since August 2009; he joined our Board of Directors in 2000 and served on our management team (part-time) from late-2003, following our acquisition of Artemis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1"/>
          <w:szCs w:val="11"/>
          <w:i w:val="1"/>
          <w:iCs w:val="1"/>
          <w:color w:val="auto"/>
        </w:rPr>
        <w:t>CRO</w:t>
      </w:r>
      <w:r>
        <w:rPr>
          <w:rFonts w:ascii="Arial" w:cs="Arial" w:eastAsia="Arial" w:hAnsi="Arial"/>
          <w:sz w:val="11"/>
          <w:szCs w:val="11"/>
          <w:color w:val="auto"/>
        </w:rPr>
        <w:t>)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133"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b w:val="1"/>
          <w:bCs w:val="1"/>
          <w:i w:val="1"/>
          <w:iCs w:val="1"/>
          <w:color w:val="auto"/>
        </w:rPr>
        <w:t xml:space="preserve">H. Ralph Snodgrass, Ph.D. </w:t>
      </w:r>
      <w:r>
        <w:rPr>
          <w:rFonts w:ascii="Arial" w:cs="Arial" w:eastAsia="Arial" w:hAnsi="Arial"/>
          <w:sz w:val="11"/>
          <w:szCs w:val="11"/>
          <w:color w:val="auto"/>
        </w:rPr>
        <w:t>co-founded VistaGen with Dr. Gordon Keller in 1998 and served as our Chief Executive Officer until August 2009. Dr. Snodgrass has served as our President and Chief Scientific Officer since August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2009. He 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1"/>
          <w:szCs w:val="11"/>
          <w:i w:val="1"/>
          <w:iCs w:val="1"/>
          <w:color w:val="auto"/>
        </w:rPr>
        <w:t>BIO</w:t>
      </w:r>
      <w:r>
        <w:rPr>
          <w:rFonts w:ascii="Arial" w:cs="Arial" w:eastAsia="Arial" w:hAnsi="Arial"/>
          <w:sz w:val="11"/>
          <w:szCs w:val="11"/>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7" w:name="page98"/>
    <w:bookmarkEnd w:id="9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 as Corporate Controller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b w:val="1"/>
          <w:bCs w:val="1"/>
          <w:i w:val="1"/>
          <w:iCs w:val="1"/>
          <w:color w:val="auto"/>
        </w:rPr>
        <w:t xml:space="preserve">Jon S. Saxe, J.D. </w:t>
      </w:r>
      <w:r>
        <w:rPr>
          <w:rFonts w:ascii="Arial" w:cs="Arial" w:eastAsia="Arial" w:hAnsi="Arial"/>
          <w:sz w:val="11"/>
          <w:szCs w:val="11"/>
          <w:color w:val="auto"/>
        </w:rPr>
        <w:t>has served as Chairman of our Board of Directors since 2000. He also serves as the Chairman of our Audit Committee. Mr. Saxe is the retired President and was a director of PDL BioPharma from 1989 to 2008.</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five private life science companies, Arbor Vita Corporation, Arcuo Medical, LLC, Armetheon, Inc., Lumos Pharma, Inc. and Trellis Bioscience.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has served as Managing Director of Lumira Capital Corp. since September 1997, having started in the venture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capital 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Locus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4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of Executive Officers</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8" w:name="page99"/>
    <w:bookmarkEnd w:id="9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Composition</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Audit Committee</w:t>
      </w:r>
    </w:p>
    <w:p>
      <w:pPr>
        <w:spacing w:after="0" w:line="16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41" w:lineRule="exact"/>
        <w:rPr>
          <w:sz w:val="20"/>
          <w:szCs w:val="20"/>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overseeing our accounting and financial reporting process;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selecting, retaining and replacing our independent auditors and evaluating their qualifications, independence and performance;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reviewing and approving scope of the annual audit and audit fees;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monitoring rotation of partners of independent auditors on engagement team as required by law;</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discussing with management and independent auditors the results of annual audit and review of quarterly financial statements;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reviewing adequacy and effectiveness of internal control policies and procedures;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approving retention of independent auditors to perform any proposed permissible non-audit services;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overseeing internal audit functions and annually reviewing audit committee charter and committee performance; and</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preparing the audit committee report that the SEC requires in our annual proxy statement.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Compensation Committee</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15" w:lineRule="exact"/>
        <w:rPr>
          <w:sz w:val="20"/>
          <w:szCs w:val="20"/>
          <w:color w:val="auto"/>
        </w:rPr>
      </w:pPr>
    </w:p>
    <w:p>
      <w:pPr>
        <w:ind w:left="640" w:hanging="195"/>
        <w:spacing w:after="0" w:line="323" w:lineRule="auto"/>
        <w:tabs>
          <w:tab w:leader="none" w:pos="6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09" w:lineRule="exact"/>
        <w:rPr>
          <w:rFonts w:ascii="Arial" w:cs="Arial" w:eastAsia="Arial" w:hAnsi="Arial"/>
          <w:sz w:val="11"/>
          <w:szCs w:val="11"/>
          <w:color w:val="auto"/>
        </w:rPr>
      </w:pPr>
    </w:p>
    <w:p>
      <w:pPr>
        <w:ind w:left="640" w:hanging="195"/>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Determining the objectives of our executive officer compensation programs;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Ensuring corporate performance measures and goals regarding executive officer compensation are set and determining the extent to which they are achieved and any related compensation earned;</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Establishing goals and objectives relevant to CEO compensation, evaluating CEO performance in light of such goals and objectives, and determining CEO compensation based on the evaluation; and</w:t>
      </w:r>
    </w:p>
    <w:p>
      <w:pPr>
        <w:spacing w:after="0" w:line="168" w:lineRule="exact"/>
        <w:rPr>
          <w:rFonts w:ascii="Arial" w:cs="Arial" w:eastAsia="Arial" w:hAnsi="Arial"/>
          <w:sz w:val="12"/>
          <w:szCs w:val="12"/>
          <w:color w:val="auto"/>
        </w:rPr>
      </w:pPr>
    </w:p>
    <w:p>
      <w:pPr>
        <w:ind w:left="640" w:right="20" w:hanging="195"/>
        <w:spacing w:after="0" w:line="276" w:lineRule="auto"/>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32" w:lineRule="exact"/>
        <w:rPr>
          <w:rFonts w:ascii="Arial" w:cs="Arial" w:eastAsia="Arial" w:hAnsi="Arial"/>
          <w:sz w:val="12"/>
          <w:szCs w:val="12"/>
          <w:color w:val="auto"/>
        </w:rPr>
      </w:pPr>
    </w:p>
    <w:p>
      <w:pPr>
        <w:ind w:left="640" w:hanging="195"/>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Reviewing and approving any new equity compensation plan or any material change to an existing plan.</w:t>
      </w:r>
    </w:p>
    <w:p>
      <w:pPr>
        <w:spacing w:after="0" w:line="168" w:lineRule="exact"/>
        <w:rPr>
          <w:rFonts w:ascii="Arial" w:cs="Arial" w:eastAsia="Arial" w:hAnsi="Arial"/>
          <w:sz w:val="12"/>
          <w:szCs w:val="12"/>
          <w:color w:val="auto"/>
        </w:rPr>
      </w:pPr>
    </w:p>
    <w:p>
      <w:pPr>
        <w:ind w:left="640" w:right="20" w:hanging="195"/>
        <w:spacing w:after="0" w:line="276" w:lineRule="auto"/>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9" w:name="page100"/>
    <w:bookmarkEnd w:id="9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Corporate Governance and Nominating Committee</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15" w:lineRule="exact"/>
        <w:rPr>
          <w:sz w:val="20"/>
          <w:szCs w:val="20"/>
          <w:color w:val="auto"/>
        </w:rPr>
      </w:pPr>
    </w:p>
    <w:p>
      <w:pPr>
        <w:ind w:left="640" w:hanging="195"/>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Monitoring the size and composition of the board;</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Making recommendations to the board with respect to the nominations or elections of our directors;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Reviewing the adequacy of our corporate governance policies and procedures and our Code of Business Conduct and Ethics, and recommending any proposed changes to the board for approval; and</w:t>
      </w:r>
    </w:p>
    <w:p>
      <w:pPr>
        <w:spacing w:after="0" w:line="168" w:lineRule="exact"/>
        <w:rPr>
          <w:rFonts w:ascii="Arial" w:cs="Arial" w:eastAsia="Arial" w:hAnsi="Arial"/>
          <w:sz w:val="12"/>
          <w:szCs w:val="12"/>
          <w:color w:val="auto"/>
        </w:rPr>
      </w:pPr>
    </w:p>
    <w:p>
      <w:pPr>
        <w:ind w:left="640" w:hanging="195"/>
        <w:spacing w:after="0" w:line="276" w:lineRule="auto"/>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All potential candidates for director nominees, including candidates recommended by our stockholders, are reviewed in the context of the current composition of the Board, our operating requirements and the long-term interests of our stockholders. In conducting this assessment, the Committee considers such factors as it deems appropriate given our current needs and those of our Board, to maintain a balance of expertise, experience and capability. The Corporate Governance and Nominating Committee reviews directors’ overall service during their term, including the number of meetings attended, their level of participation and quality of performance. The Committee also determines whether the nominee would be independent, which determination is based upon applicable NASDAQ or other exchange listing standards, applicable SEC rules and regulations and the advice of counsel, if necessary.</w:t>
      </w:r>
    </w:p>
    <w:p>
      <w:pPr>
        <w:spacing w:after="0" w:line="10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Corporate Governance and Nominating Committee will consider director candidates recommended by stockholders in the same manner as it considers recommendations from current directors or other sources. Stockholders who wish to recommend individuals for consideration by the Corporate Governance and Nominating Committee to become nominees for election to the Board may do so by delivering a written recommendation to the Company Secretary at the following address: 343 Allerton Avenue, South San Francisco, CA 94080 at least 60 days prior, but no more than 90 days prior, to the anniversary date of the last annual meeting of stockholders. Submissions should include the full name, address and age of the proposed nominee, a description of the proposed nominee’s business experience for at least the previous five years, complete biographical information, a description of the proposed nominee’s qualifications as a director, and the number of shares of our stock beneficially owned by the proposed nominee. The nominating stockholder must also provide his or her name and address of record and the number of shares of our stock that he or she owns beneficially or of record.</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Corporate Governance and Nominating Committee has not established specific minimum qualifications for recommended nominees or specific qualities or skills for one or more of our directors to possess, other than as are necessary to meet any requirements under rules and regulations (including any stock exchange rules) applicable to the Company. The Corporate Governance and Nominating Committee uses a subjective process for identifying and evaluating nominees for director, based on the information available to, and the subjective judgments of, the members of the Committee and our then current needs for the Board as a whole. Although it does not have a formal policy regarding the consideration of diversity, the Corporate Governance and Nominating Committee considers the needs for the Board as a whole when identifying and evaluating nominees and, among other things, considers diversity in background, age, experience, qualifications, attributes and skills in identifying nominees.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Corporate Governance and Nominating Committee’s process for identification and evaluation of director candidates is generally as follows:</w:t>
      </w:r>
    </w:p>
    <w:p>
      <w:pPr>
        <w:spacing w:after="0" w:line="168" w:lineRule="exact"/>
        <w:rPr>
          <w:sz w:val="20"/>
          <w:szCs w:val="20"/>
          <w:color w:val="auto"/>
        </w:rPr>
      </w:pPr>
    </w:p>
    <w:p>
      <w:pPr>
        <w:ind w:firstLine="424"/>
        <w:spacing w:after="0" w:line="276" w:lineRule="auto"/>
        <w:tabs>
          <w:tab w:leader="none" w:pos="601"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 the event of a vacancy or the establishment of a new directorship on the Board, candidate(s) for director nominee(s) shall be presented to the full Board for consideration and approval upon the recommendation of no less than a majority of the independent members of the Board (as independence is defined under any stock exchange rules that may be applicable to the Company at such time).</w:t>
      </w:r>
    </w:p>
    <w:p>
      <w:pPr>
        <w:spacing w:after="0" w:line="132" w:lineRule="exact"/>
        <w:rPr>
          <w:rFonts w:ascii="Arial" w:cs="Arial" w:eastAsia="Arial" w:hAnsi="Arial"/>
          <w:sz w:val="12"/>
          <w:szCs w:val="12"/>
          <w:color w:val="auto"/>
        </w:rPr>
      </w:pPr>
    </w:p>
    <w:p>
      <w:pPr>
        <w:jc w:val="both"/>
        <w:ind w:firstLine="424"/>
        <w:spacing w:after="0" w:line="257" w:lineRule="auto"/>
        <w:tabs>
          <w:tab w:leader="none" w:pos="607" w:val="left"/>
        </w:tabs>
        <w:numPr>
          <w:ilvl w:val="0"/>
          <w:numId w:val="44"/>
        </w:numPr>
        <w:rPr>
          <w:rFonts w:ascii="Arial" w:cs="Arial" w:eastAsia="Arial" w:hAnsi="Arial"/>
          <w:sz w:val="12"/>
          <w:szCs w:val="12"/>
          <w:color w:val="auto"/>
        </w:rPr>
      </w:pPr>
      <w:r>
        <w:rPr>
          <w:rFonts w:ascii="Arial" w:cs="Arial" w:eastAsia="Arial" w:hAnsi="Arial"/>
          <w:sz w:val="12"/>
          <w:szCs w:val="12"/>
          <w:color w:val="auto"/>
        </w:rPr>
        <w:t>We believe that the continuing service of qualified incumbents promotes stability and continuity in the boardroom, contributing to the Board's ability to work as a collective body, while giving us the benefit of the familiarity and insight into our affairs that our directors have accumulated during their tenure. Accordingly, the process for identifying nominees reflects our practice of re-nominating incumbent directors who continue to satisfy the criteria for membership on the Board, whom the independent members of the Board believe continue to make important contributions to the Board and who consent to continue their service on the Board. Consistent with this policy, in considering candidates for election at annual meetings of stockholders, the independent members of the Board will first determine the incumbent directors whose terms expire at the upcoming meeting and who wish to continue their service on the Board.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0" w:name="page101"/>
    <w:bookmarkEnd w:id="10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24"/>
        <w:spacing w:after="0" w:line="263" w:lineRule="auto"/>
        <w:tabs>
          <w:tab w:leader="none" w:pos="609"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independent members of the Board will evaluate the qualifications and performance of the incumbent directors that desire to continue their service. In particular, as to each such incumbent director, the independent members of the Board will (i) consider if the director continues to satisfy the minimum qualifications for director candidates adopted by the independent members of the Board, (ii) review any assessments of the performance of the director during the preceding term made by the Board, and (iii) determine whether there exist any special, countervailing considerations against re-nomination of the director.</w:t>
      </w:r>
    </w:p>
    <w:p>
      <w:pPr>
        <w:spacing w:after="0" w:line="140" w:lineRule="exact"/>
        <w:rPr>
          <w:rFonts w:ascii="Arial" w:cs="Arial" w:eastAsia="Arial" w:hAnsi="Arial"/>
          <w:sz w:val="12"/>
          <w:szCs w:val="12"/>
          <w:color w:val="auto"/>
        </w:rPr>
      </w:pPr>
    </w:p>
    <w:p>
      <w:pPr>
        <w:jc w:val="both"/>
        <w:ind w:firstLine="424"/>
        <w:spacing w:after="0" w:line="263" w:lineRule="auto"/>
        <w:tabs>
          <w:tab w:leader="none" w:pos="605" w:val="left"/>
        </w:tabs>
        <w:numPr>
          <w:ilvl w:val="0"/>
          <w:numId w:val="45"/>
        </w:numPr>
        <w:rPr>
          <w:rFonts w:ascii="Arial" w:cs="Arial" w:eastAsia="Arial" w:hAnsi="Arial"/>
          <w:sz w:val="12"/>
          <w:szCs w:val="12"/>
          <w:color w:val="auto"/>
        </w:rPr>
      </w:pPr>
      <w:r>
        <w:rPr>
          <w:rFonts w:ascii="Arial" w:cs="Arial" w:eastAsia="Arial" w:hAnsi="Arial"/>
          <w:sz w:val="12"/>
          <w:szCs w:val="12"/>
          <w:color w:val="auto"/>
        </w:rPr>
        <w:t>If the independent members of the Board determine that an incumbent director consenting to re-nomination continues to be qualified and has satisfactorily performed his or her duties as director during the preceding term, and there exist no reasons, including considerations relating to the composition and functional needs of the Board as a whole, why in the view of the independent members of the Board the incumbent should not be re-nominated, the independent members of the Board will, absent special circumstances, propose the incumbent director for reelection.</w:t>
      </w:r>
    </w:p>
    <w:p>
      <w:pPr>
        <w:spacing w:after="0" w:line="140" w:lineRule="exact"/>
        <w:rPr>
          <w:rFonts w:ascii="Arial" w:cs="Arial" w:eastAsia="Arial" w:hAnsi="Arial"/>
          <w:sz w:val="12"/>
          <w:szCs w:val="12"/>
          <w:color w:val="auto"/>
        </w:rPr>
      </w:pPr>
    </w:p>
    <w:p>
      <w:pPr>
        <w:ind w:left="600" w:hanging="176"/>
        <w:spacing w:after="0"/>
        <w:tabs>
          <w:tab w:leader="none" w:pos="6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The process by the independent members of the Board for identifying and evaluating nominees for director, including nominees recommended by a stockholder, involves (with or without the assistance of a retained search</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firm):</w:t>
      </w:r>
    </w:p>
    <w:p>
      <w:pPr>
        <w:spacing w:after="0" w:line="141" w:lineRule="exact"/>
        <w:rPr>
          <w:rFonts w:ascii="Arial" w:cs="Arial" w:eastAsia="Arial" w:hAnsi="Arial"/>
          <w:sz w:val="11"/>
          <w:szCs w:val="11"/>
          <w:color w:val="auto"/>
        </w:rPr>
      </w:pPr>
    </w:p>
    <w:p>
      <w:pPr>
        <w:ind w:left="920" w:hanging="340"/>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compiling names of potentially eligible candidates;</w:t>
      </w:r>
    </w:p>
    <w:p>
      <w:pPr>
        <w:spacing w:after="0" w:line="14" w:lineRule="exact"/>
        <w:rPr>
          <w:rFonts w:ascii="Arial" w:cs="Arial" w:eastAsia="Arial" w:hAnsi="Arial"/>
          <w:sz w:val="12"/>
          <w:szCs w:val="12"/>
          <w:color w:val="auto"/>
        </w:rPr>
      </w:pPr>
    </w:p>
    <w:p>
      <w:pPr>
        <w:ind w:left="920" w:hanging="340"/>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conducting background and reference checks;</w:t>
      </w:r>
    </w:p>
    <w:p>
      <w:pPr>
        <w:spacing w:after="0" w:line="6" w:lineRule="exact"/>
        <w:rPr>
          <w:rFonts w:ascii="Arial" w:cs="Arial" w:eastAsia="Arial" w:hAnsi="Arial"/>
          <w:sz w:val="12"/>
          <w:szCs w:val="12"/>
          <w:color w:val="auto"/>
        </w:rPr>
      </w:pPr>
    </w:p>
    <w:p>
      <w:pPr>
        <w:ind w:left="920" w:hanging="340"/>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conducting interviews with candidates and/or others;</w:t>
      </w:r>
    </w:p>
    <w:p>
      <w:pPr>
        <w:spacing w:after="0" w:line="6" w:lineRule="exact"/>
        <w:rPr>
          <w:rFonts w:ascii="Arial" w:cs="Arial" w:eastAsia="Arial" w:hAnsi="Arial"/>
          <w:sz w:val="12"/>
          <w:szCs w:val="12"/>
          <w:color w:val="auto"/>
        </w:rPr>
      </w:pPr>
    </w:p>
    <w:p>
      <w:pPr>
        <w:ind w:left="920" w:hanging="340"/>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meeting to consider and approve final candidates; and, as appropriate,</w:t>
      </w:r>
    </w:p>
    <w:p>
      <w:pPr>
        <w:spacing w:after="0" w:line="6" w:lineRule="exact"/>
        <w:rPr>
          <w:rFonts w:ascii="Arial" w:cs="Arial" w:eastAsia="Arial" w:hAnsi="Arial"/>
          <w:sz w:val="12"/>
          <w:szCs w:val="12"/>
          <w:color w:val="auto"/>
        </w:rPr>
      </w:pPr>
    </w:p>
    <w:p>
      <w:pPr>
        <w:ind w:left="920" w:hanging="340"/>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preparing and presenting to the full Board an analysis with regard to particular recommended candidates.</w:t>
      </w:r>
    </w:p>
    <w:p>
      <w:pPr>
        <w:spacing w:after="0" w:line="15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During the search process, the independent directors shall endeavor to identify director nominees who have the highest personal and professional integrity, have demonstrated exceptional ability and judgment, and, together with other director nominees and current Board members, shall effectively serve the long-term interests of our stockholders and contribute to our overall corporate goals.</w:t>
      </w:r>
    </w:p>
    <w:p>
      <w:pPr>
        <w:spacing w:after="0" w:line="133" w:lineRule="exact"/>
        <w:rPr>
          <w:sz w:val="20"/>
          <w:szCs w:val="20"/>
          <w:color w:val="auto"/>
        </w:rPr>
      </w:pPr>
    </w:p>
    <w:p>
      <w:pPr>
        <w:ind w:left="580" w:hanging="156"/>
        <w:spacing w:after="0"/>
        <w:tabs>
          <w:tab w:leader="none" w:pos="5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In considering potential new directors, the independent members of the Board will review individuals from various disciplines and backgrounds. Among the qualifications to be considered in the selection of candidates are:</w:t>
      </w:r>
    </w:p>
    <w:p>
      <w:pPr>
        <w:spacing w:after="0" w:line="161" w:lineRule="exact"/>
        <w:rPr>
          <w:rFonts w:ascii="Arial" w:cs="Arial" w:eastAsia="Arial" w:hAnsi="Arial"/>
          <w:sz w:val="11"/>
          <w:szCs w:val="11"/>
          <w:color w:val="auto"/>
        </w:rPr>
      </w:pPr>
    </w:p>
    <w:p>
      <w:pPr>
        <w:ind w:left="920" w:hanging="340"/>
        <w:spacing w:after="0"/>
        <w:tabs>
          <w:tab w:leader="none" w:pos="920" w:val="left"/>
        </w:tabs>
        <w:numPr>
          <w:ilvl w:val="1"/>
          <w:numId w:val="46"/>
        </w:numPr>
        <w:rPr>
          <w:rFonts w:ascii="Arial" w:cs="Arial" w:eastAsia="Arial" w:hAnsi="Arial"/>
          <w:sz w:val="12"/>
          <w:szCs w:val="12"/>
          <w:color w:val="auto"/>
        </w:rPr>
      </w:pPr>
      <w:r>
        <w:rPr>
          <w:rFonts w:ascii="Arial" w:cs="Arial" w:eastAsia="Arial" w:hAnsi="Arial"/>
          <w:sz w:val="12"/>
          <w:szCs w:val="12"/>
          <w:color w:val="auto"/>
        </w:rPr>
        <w:t>personal and professional integrity;</w:t>
      </w:r>
    </w:p>
    <w:p>
      <w:pPr>
        <w:spacing w:after="0" w:line="14" w:lineRule="exact"/>
        <w:rPr>
          <w:rFonts w:ascii="Arial" w:cs="Arial" w:eastAsia="Arial" w:hAnsi="Arial"/>
          <w:sz w:val="12"/>
          <w:szCs w:val="12"/>
          <w:color w:val="auto"/>
        </w:rPr>
      </w:pPr>
    </w:p>
    <w:p>
      <w:pPr>
        <w:ind w:left="920" w:hanging="340"/>
        <w:spacing w:after="0"/>
        <w:tabs>
          <w:tab w:leader="none" w:pos="920" w:val="left"/>
        </w:tabs>
        <w:numPr>
          <w:ilvl w:val="1"/>
          <w:numId w:val="46"/>
        </w:numPr>
        <w:rPr>
          <w:rFonts w:ascii="Arial" w:cs="Arial" w:eastAsia="Arial" w:hAnsi="Arial"/>
          <w:sz w:val="12"/>
          <w:szCs w:val="12"/>
          <w:color w:val="auto"/>
        </w:rPr>
      </w:pPr>
      <w:r>
        <w:rPr>
          <w:rFonts w:ascii="Arial" w:cs="Arial" w:eastAsia="Arial" w:hAnsi="Arial"/>
          <w:sz w:val="12"/>
          <w:szCs w:val="12"/>
          <w:color w:val="auto"/>
        </w:rPr>
        <w:t>broad experience in business, finance or administration;</w:t>
      </w:r>
    </w:p>
    <w:p>
      <w:pPr>
        <w:spacing w:after="0" w:line="6" w:lineRule="exact"/>
        <w:rPr>
          <w:rFonts w:ascii="Arial" w:cs="Arial" w:eastAsia="Arial" w:hAnsi="Arial"/>
          <w:sz w:val="12"/>
          <w:szCs w:val="12"/>
          <w:color w:val="auto"/>
        </w:rPr>
      </w:pPr>
    </w:p>
    <w:p>
      <w:pPr>
        <w:ind w:left="920" w:hanging="340"/>
        <w:spacing w:after="0"/>
        <w:tabs>
          <w:tab w:leader="none" w:pos="920" w:val="left"/>
        </w:tabs>
        <w:numPr>
          <w:ilvl w:val="1"/>
          <w:numId w:val="46"/>
        </w:numPr>
        <w:rPr>
          <w:rFonts w:ascii="Arial" w:cs="Arial" w:eastAsia="Arial" w:hAnsi="Arial"/>
          <w:sz w:val="12"/>
          <w:szCs w:val="12"/>
          <w:color w:val="auto"/>
        </w:rPr>
      </w:pPr>
      <w:r>
        <w:rPr>
          <w:rFonts w:ascii="Arial" w:cs="Arial" w:eastAsia="Arial" w:hAnsi="Arial"/>
          <w:sz w:val="12"/>
          <w:szCs w:val="12"/>
          <w:color w:val="auto"/>
        </w:rPr>
        <w:t>familiarity with our industry; and</w:t>
      </w:r>
    </w:p>
    <w:p>
      <w:pPr>
        <w:spacing w:after="0" w:line="6" w:lineRule="exact"/>
        <w:rPr>
          <w:rFonts w:ascii="Arial" w:cs="Arial" w:eastAsia="Arial" w:hAnsi="Arial"/>
          <w:sz w:val="12"/>
          <w:szCs w:val="12"/>
          <w:color w:val="auto"/>
        </w:rPr>
      </w:pPr>
    </w:p>
    <w:p>
      <w:pPr>
        <w:ind w:left="920" w:hanging="340"/>
        <w:spacing w:after="0"/>
        <w:tabs>
          <w:tab w:leader="none" w:pos="920" w:val="left"/>
        </w:tabs>
        <w:numPr>
          <w:ilvl w:val="1"/>
          <w:numId w:val="46"/>
        </w:numPr>
        <w:rPr>
          <w:rFonts w:ascii="Arial" w:cs="Arial" w:eastAsia="Arial" w:hAnsi="Arial"/>
          <w:sz w:val="12"/>
          <w:szCs w:val="12"/>
          <w:color w:val="auto"/>
        </w:rPr>
      </w:pPr>
      <w:r>
        <w:rPr>
          <w:rFonts w:ascii="Arial" w:cs="Arial" w:eastAsia="Arial" w:hAnsi="Arial"/>
          <w:sz w:val="12"/>
          <w:szCs w:val="12"/>
          <w:color w:val="auto"/>
        </w:rPr>
        <w:t>prominence and reputation.</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2"/>
          <w:szCs w:val="12"/>
          <w:u w:val="single" w:color="auto"/>
          <w:color w:val="auto"/>
        </w:rPr>
        <w:t>www.vistagen.com</w:t>
      </w:r>
      <w:r>
        <w:rPr>
          <w:rFonts w:ascii="Arial" w:cs="Arial" w:eastAsia="Arial" w:hAnsi="Arial"/>
          <w:sz w:val="12"/>
          <w:szCs w:val="12"/>
          <w:color w:val="auto"/>
        </w:rPr>
        <w:t>. We intend to disclose any future amendments to certain provisions of our Code of Business Conduct and Ethics, or waivers of these provisions, on our website or in filings with the SEC under the Exchange Act.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Board Attendance at Board of Directors, Committee and Stockholder Meetings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Board of Directors met two times and acted by unanimous written consent six times during the fiscal year ended March 31, 2015. Our Audit Committee met four times and our Compensation Committee requested action by the entire Board of Directors for grants of warrants and the modification of certain warrants during the same period. Each director serving during fiscal 2015 attended all of the meetings of the Board and the committees of the Board upon which such director served.</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do not have a formal policy regarding attendance by members of the Board at our annual meeting of stockholders, but directors are encouraged to attend. We did not hold an annual meeting of stockholders during our fiscal year ended March 31, 2015.</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Committee Interlocks and Insider Participation</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16 Beneficial Ownership Reporting Compliance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16(a) of the Exchange Act requires our officers, directors and persons who beneficially own more than ten percent of our common stock (collectively, </w:t>
      </w:r>
      <w:r>
        <w:rPr>
          <w:rFonts w:ascii="Arial" w:cs="Arial" w:eastAsia="Arial" w:hAnsi="Arial"/>
          <w:sz w:val="12"/>
          <w:szCs w:val="12"/>
          <w:i w:val="1"/>
          <w:iCs w:val="1"/>
          <w:color w:val="auto"/>
        </w:rPr>
        <w:t>Reporting Persons</w:t>
      </w:r>
      <w:r>
        <w:rPr>
          <w:rFonts w:ascii="Arial" w:cs="Arial" w:eastAsia="Arial" w:hAnsi="Arial"/>
          <w:sz w:val="12"/>
          <w:szCs w:val="12"/>
          <w:color w:val="auto"/>
        </w:rPr>
        <w:t>) to file reports of ownership on Form 3 and changes in ownership on Form 4 or Form 5 with the Commission. The Reporting Persons are also required by SEC rules to furnish us with copies of all reports that they file pursuant to Section 16(a). We believe that during our fiscal year ended March 31, 2015, all of the Reporting Persons complied with all applicable reporting requirements.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1" w:name="page102"/>
    <w:bookmarkEnd w:id="10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EXECUTIVE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Compensation Objectives</w:t>
      </w:r>
    </w:p>
    <w:p>
      <w:pPr>
        <w:spacing w:after="0" w:line="15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shareholder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Components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Base Salary</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Summary Compensation Table following, to conserve our cash resources during fiscal 2015 and 2014 the cash amounts of annual base salary that we paid to our executives was significantly less than their stated annual base salary rates.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Annual Bonus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did not seek, and our Compensation Committee did not award, cash bonuses to executive officers during fiscal 2014 or 2015.</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Equity Incentives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 based compensation granted under our stock option plans or pursuant to other awards made to our executives and key employees.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2" w:name="page103"/>
    <w:bookmarkEnd w:id="102"/>
    <w:tbl>
      <w:tblPr>
        <w:tblLayout w:type="fixed"/>
        <w:tblInd w:w="8"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4">
              <w:r>
                <w:rPr>
                  <w:rFonts w:ascii="Arial" w:cs="Arial" w:eastAsia="Arial" w:hAnsi="Arial"/>
                  <w:sz w:val="11"/>
                  <w:szCs w:val="11"/>
                  <w:i w:val="1"/>
                  <w:iCs w:val="1"/>
                  <w:color w:val="0000EE"/>
                  <w:w w:val="85"/>
                </w:rPr>
                <w:t>Table of Contents</w:t>
              </w:r>
            </w:hyperlink>
          </w:p>
        </w:tc>
        <w:tc>
          <w:tcPr>
            <w:tcW w:w="2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Summary Compensation Table</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400" w:type="dxa"/>
            <w:vAlign w:val="bottom"/>
            <w:gridSpan w:val="12"/>
          </w:tcPr>
          <w:p>
            <w:pPr>
              <w:ind w:left="400"/>
              <w:spacing w:after="0"/>
              <w:rPr>
                <w:sz w:val="20"/>
                <w:szCs w:val="20"/>
                <w:color w:val="auto"/>
              </w:rPr>
            </w:pPr>
            <w:r>
              <w:rPr>
                <w:rFonts w:ascii="Arial" w:cs="Arial" w:eastAsia="Arial" w:hAnsi="Arial"/>
                <w:sz w:val="12"/>
                <w:szCs w:val="12"/>
                <w:color w:val="auto"/>
              </w:rPr>
              <w:t>The following table shows information regarding the compensation of our Named Executive Officers (</w:t>
            </w:r>
            <w:r>
              <w:rPr>
                <w:rFonts w:ascii="Arial" w:cs="Arial" w:eastAsia="Arial" w:hAnsi="Arial"/>
                <w:sz w:val="12"/>
                <w:szCs w:val="12"/>
                <w:i w:val="1"/>
                <w:iCs w:val="1"/>
                <w:color w:val="auto"/>
              </w:rPr>
              <w:t>NEO’s</w:t>
            </w:r>
            <w:r>
              <w:rPr>
                <w:rFonts w:ascii="Arial" w:cs="Arial" w:eastAsia="Arial" w:hAnsi="Arial"/>
                <w:sz w:val="12"/>
                <w:szCs w:val="12"/>
                <w:color w:val="auto"/>
              </w:rPr>
              <w:t>) for services performed in the fiscal years ended March 31, 2015 and 2014.</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Option and Warrant</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All Other</w:t>
            </w: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88"/>
              </w:rPr>
              <w:t>Fiscal</w:t>
            </w:r>
          </w:p>
        </w:tc>
        <w:tc>
          <w:tcPr>
            <w:tcW w:w="120" w:type="dxa"/>
            <w:vAlign w:val="bottom"/>
          </w:tcPr>
          <w:p>
            <w:pPr>
              <w:spacing w:after="0"/>
              <w:rPr>
                <w:sz w:val="12"/>
                <w:szCs w:val="12"/>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Salary</w:t>
            </w: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Bonus</w:t>
            </w:r>
          </w:p>
        </w:tc>
        <w:tc>
          <w:tcPr>
            <w:tcW w:w="1460" w:type="dxa"/>
            <w:vAlign w:val="bottom"/>
            <w:gridSpan w:val="2"/>
          </w:tcPr>
          <w:p>
            <w:pPr>
              <w:jc w:val="center"/>
              <w:ind w:right="340"/>
              <w:spacing w:after="0" w:line="144" w:lineRule="exact"/>
              <w:rPr>
                <w:sz w:val="20"/>
                <w:szCs w:val="20"/>
                <w:color w:val="auto"/>
              </w:rPr>
            </w:pPr>
            <w:r>
              <w:rPr>
                <w:rFonts w:ascii="Arial" w:cs="Arial" w:eastAsia="Arial" w:hAnsi="Arial"/>
                <w:sz w:val="12"/>
                <w:szCs w:val="12"/>
                <w:b w:val="1"/>
                <w:bCs w:val="1"/>
                <w:color w:val="auto"/>
                <w:w w:val="85"/>
              </w:rPr>
              <w:t xml:space="preserve">Awards </w:t>
            </w:r>
            <w:r>
              <w:rPr>
                <w:rFonts w:ascii="Arial" w:cs="Arial" w:eastAsia="Arial" w:hAnsi="Arial"/>
                <w:sz w:val="16"/>
                <w:szCs w:val="16"/>
                <w:b w:val="1"/>
                <w:bCs w:val="1"/>
                <w:color w:val="auto"/>
                <w:w w:val="85"/>
                <w:vertAlign w:val="superscript"/>
              </w:rPr>
              <w:t>(10)</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Compensation</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80" w:type="dxa"/>
            <w:vAlign w:val="bottom"/>
          </w:tcPr>
          <w:p>
            <w:pPr>
              <w:ind w:left="220"/>
              <w:spacing w:after="0"/>
              <w:rPr>
                <w:sz w:val="20"/>
                <w:szCs w:val="20"/>
                <w:color w:val="auto"/>
              </w:rPr>
            </w:pPr>
            <w:r>
              <w:rPr>
                <w:rFonts w:ascii="Arial" w:cs="Arial" w:eastAsia="Arial" w:hAnsi="Arial"/>
                <w:sz w:val="12"/>
                <w:szCs w:val="12"/>
                <w:b w:val="1"/>
                <w:bCs w:val="1"/>
                <w:color w:val="auto"/>
              </w:rPr>
              <w:t>Name and Principal Position</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2"/>
              </w:rPr>
              <w:t>Year</w:t>
            </w:r>
          </w:p>
        </w:tc>
        <w:tc>
          <w:tcPr>
            <w:tcW w:w="12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3"/>
                <w:szCs w:val="13"/>
                <w:color w:val="auto"/>
              </w:rPr>
            </w:pPr>
          </w:p>
        </w:tc>
        <w:tc>
          <w:tcPr>
            <w:tcW w:w="1140" w:type="dxa"/>
            <w:vAlign w:val="bottom"/>
          </w:tcPr>
          <w:p>
            <w:pPr>
              <w:jc w:val="right"/>
              <w:ind w:right="44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3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3"/>
                <w:szCs w:val="13"/>
                <w:color w:val="auto"/>
              </w:rPr>
            </w:pPr>
          </w:p>
        </w:tc>
        <w:tc>
          <w:tcPr>
            <w:tcW w:w="1020" w:type="dxa"/>
            <w:vAlign w:val="bottom"/>
          </w:tcPr>
          <w:p>
            <w:pPr>
              <w:jc w:val="right"/>
              <w:ind w:right="380"/>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Shawn K. Singh, J.D. </w:t>
            </w:r>
            <w:r>
              <w:rPr>
                <w:rFonts w:ascii="Arial" w:cs="Arial" w:eastAsia="Arial" w:hAnsi="Arial"/>
                <w:sz w:val="16"/>
                <w:szCs w:val="16"/>
                <w:color w:val="auto"/>
                <w:vertAlign w:val="superscript"/>
              </w:rPr>
              <w:t>(1)</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2015</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347,500</w:t>
            </w:r>
            <w:r>
              <w:rPr>
                <w:rFonts w:ascii="Arial" w:cs="Arial" w:eastAsia="Arial" w:hAnsi="Arial"/>
                <w:sz w:val="8"/>
                <w:szCs w:val="8"/>
                <w:color w:val="auto"/>
              </w:rPr>
              <w:t>(4)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688,050</w:t>
            </w:r>
            <w:r>
              <w:rPr>
                <w:rFonts w:ascii="Arial" w:cs="Arial" w:eastAsia="Arial" w:hAnsi="Arial"/>
                <w:sz w:val="8"/>
                <w:szCs w:val="8"/>
                <w:color w:val="auto"/>
              </w:rPr>
              <w:t>(11)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1,035,550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gridSpan w:val="2"/>
          </w:tcPr>
          <w:p>
            <w:pPr>
              <w:spacing w:after="0"/>
              <w:rPr>
                <w:sz w:val="20"/>
                <w:szCs w:val="20"/>
                <w:color w:val="auto"/>
              </w:rPr>
            </w:pPr>
            <w:r>
              <w:rPr>
                <w:rFonts w:ascii="Arial" w:cs="Arial" w:eastAsia="Arial" w:hAnsi="Arial"/>
                <w:sz w:val="12"/>
                <w:szCs w:val="12"/>
                <w:i w:val="1"/>
                <w:iCs w:val="1"/>
                <w:color w:val="auto"/>
              </w:rPr>
              <w:t>Chief Executive Officer</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2014</w:t>
            </w:r>
          </w:p>
        </w:tc>
        <w:tc>
          <w:tcPr>
            <w:tcW w:w="1620" w:type="dxa"/>
            <w:vAlign w:val="bottom"/>
            <w:gridSpan w:val="3"/>
          </w:tcPr>
          <w:p>
            <w:pPr>
              <w:jc w:val="right"/>
              <w:ind w:right="260"/>
              <w:spacing w:after="0"/>
              <w:rPr>
                <w:sz w:val="20"/>
                <w:szCs w:val="20"/>
                <w:color w:val="auto"/>
              </w:rPr>
            </w:pPr>
            <w:r>
              <w:rPr>
                <w:rFonts w:ascii="Arial" w:cs="Arial" w:eastAsia="Arial" w:hAnsi="Arial"/>
                <w:sz w:val="12"/>
                <w:szCs w:val="12"/>
                <w:color w:val="auto"/>
              </w:rPr>
              <w:t>250,000</w:t>
            </w:r>
            <w:r>
              <w:rPr>
                <w:rFonts w:ascii="Arial" w:cs="Arial" w:eastAsia="Arial" w:hAnsi="Arial"/>
                <w:sz w:val="8"/>
                <w:szCs w:val="8"/>
                <w:color w:val="auto"/>
              </w:rPr>
              <w:t>(5)</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159,802</w:t>
            </w:r>
            <w:r>
              <w:rPr>
                <w:rFonts w:ascii="Arial" w:cs="Arial" w:eastAsia="Arial" w:hAnsi="Arial"/>
                <w:sz w:val="8"/>
                <w:szCs w:val="8"/>
                <w:color w:val="auto"/>
              </w:rPr>
              <w:t>(12)</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409,802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gridSpan w:val="2"/>
          </w:tcPr>
          <w:p>
            <w:pPr>
              <w:spacing w:after="0" w:line="144" w:lineRule="exact"/>
              <w:rPr>
                <w:sz w:val="20"/>
                <w:szCs w:val="20"/>
                <w:color w:val="auto"/>
              </w:rPr>
            </w:pPr>
            <w:r>
              <w:rPr>
                <w:rFonts w:ascii="Arial" w:cs="Arial" w:eastAsia="Arial" w:hAnsi="Arial"/>
                <w:sz w:val="12"/>
                <w:szCs w:val="12"/>
                <w:color w:val="auto"/>
              </w:rPr>
              <w:t xml:space="preserve">H. Ralph Snodgrass, Ph.D. </w:t>
            </w:r>
            <w:r>
              <w:rPr>
                <w:rFonts w:ascii="Arial" w:cs="Arial" w:eastAsia="Arial" w:hAnsi="Arial"/>
                <w:sz w:val="16"/>
                <w:szCs w:val="16"/>
                <w:color w:val="auto"/>
                <w:vertAlign w:val="superscript"/>
              </w:rPr>
              <w:t>(2)</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2015</w:t>
            </w:r>
          </w:p>
        </w:tc>
        <w:tc>
          <w:tcPr>
            <w:tcW w:w="1620" w:type="dxa"/>
            <w:vAlign w:val="bottom"/>
            <w:gridSpan w:val="3"/>
          </w:tcPr>
          <w:p>
            <w:pPr>
              <w:jc w:val="right"/>
              <w:ind w:right="260"/>
              <w:spacing w:after="0"/>
              <w:rPr>
                <w:sz w:val="20"/>
                <w:szCs w:val="20"/>
                <w:color w:val="auto"/>
              </w:rPr>
            </w:pPr>
            <w:r>
              <w:rPr>
                <w:rFonts w:ascii="Arial" w:cs="Arial" w:eastAsia="Arial" w:hAnsi="Arial"/>
                <w:sz w:val="12"/>
                <w:szCs w:val="12"/>
                <w:color w:val="auto"/>
              </w:rPr>
              <w:t>305,000</w:t>
            </w:r>
            <w:r>
              <w:rPr>
                <w:rFonts w:ascii="Arial" w:cs="Arial" w:eastAsia="Arial" w:hAnsi="Arial"/>
                <w:sz w:val="8"/>
                <w:szCs w:val="8"/>
                <w:color w:val="auto"/>
              </w:rPr>
              <w:t>(6)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458,700</w:t>
            </w:r>
            <w:r>
              <w:rPr>
                <w:rFonts w:ascii="Arial" w:cs="Arial" w:eastAsia="Arial" w:hAnsi="Arial"/>
                <w:sz w:val="8"/>
                <w:szCs w:val="8"/>
                <w:color w:val="auto"/>
              </w:rPr>
              <w:t>(11)</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763,700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President, Chief Scientific Officer</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2014</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250,000</w:t>
            </w:r>
            <w:r>
              <w:rPr>
                <w:rFonts w:ascii="Arial" w:cs="Arial" w:eastAsia="Arial" w:hAnsi="Arial"/>
                <w:sz w:val="8"/>
                <w:szCs w:val="8"/>
                <w:color w:val="auto"/>
              </w:rPr>
              <w:t>(7)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102,353</w:t>
            </w:r>
            <w:r>
              <w:rPr>
                <w:rFonts w:ascii="Arial" w:cs="Arial" w:eastAsia="Arial" w:hAnsi="Arial"/>
                <w:sz w:val="8"/>
                <w:szCs w:val="8"/>
                <w:color w:val="auto"/>
              </w:rPr>
              <w:t>(12)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352,353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perscript"/>
              </w:rPr>
              <w:t>(3)</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2015</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250,000</w:t>
            </w:r>
            <w:r>
              <w:rPr>
                <w:rFonts w:ascii="Arial" w:cs="Arial" w:eastAsia="Arial" w:hAnsi="Arial"/>
                <w:sz w:val="8"/>
                <w:szCs w:val="8"/>
                <w:color w:val="auto"/>
              </w:rPr>
              <w:t>(8)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229,350</w:t>
            </w:r>
            <w:r>
              <w:rPr>
                <w:rFonts w:ascii="Arial" w:cs="Arial" w:eastAsia="Arial" w:hAnsi="Arial"/>
                <w:sz w:val="8"/>
                <w:szCs w:val="8"/>
                <w:color w:val="auto"/>
              </w:rPr>
              <w:t>(11)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479,350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20" w:type="dxa"/>
            <w:vAlign w:val="bottom"/>
            <w:gridSpan w:val="2"/>
          </w:tcPr>
          <w:p>
            <w:pPr>
              <w:spacing w:after="0"/>
              <w:rPr>
                <w:sz w:val="20"/>
                <w:szCs w:val="20"/>
                <w:color w:val="auto"/>
              </w:rPr>
            </w:pPr>
            <w:r>
              <w:rPr>
                <w:rFonts w:ascii="Arial" w:cs="Arial" w:eastAsia="Arial" w:hAnsi="Arial"/>
                <w:sz w:val="12"/>
                <w:szCs w:val="12"/>
                <w:i w:val="1"/>
                <w:iCs w:val="1"/>
                <w:color w:val="auto"/>
              </w:rPr>
              <w:t>Vice President, Chief Financial Officer, Secretary</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2013</w:t>
            </w:r>
          </w:p>
        </w:tc>
        <w:tc>
          <w:tcPr>
            <w:tcW w:w="1620" w:type="dxa"/>
            <w:vAlign w:val="bottom"/>
            <w:gridSpan w:val="3"/>
          </w:tcPr>
          <w:p>
            <w:pPr>
              <w:jc w:val="right"/>
              <w:ind w:right="260"/>
              <w:spacing w:after="0"/>
              <w:rPr>
                <w:sz w:val="20"/>
                <w:szCs w:val="20"/>
                <w:color w:val="auto"/>
              </w:rPr>
            </w:pPr>
            <w:r>
              <w:rPr>
                <w:rFonts w:ascii="Arial" w:cs="Arial" w:eastAsia="Arial" w:hAnsi="Arial"/>
                <w:sz w:val="12"/>
                <w:szCs w:val="12"/>
                <w:color w:val="auto"/>
              </w:rPr>
              <w:t>200,000</w:t>
            </w:r>
            <w:r>
              <w:rPr>
                <w:rFonts w:ascii="Arial" w:cs="Arial" w:eastAsia="Arial" w:hAnsi="Arial"/>
                <w:sz w:val="8"/>
                <w:szCs w:val="8"/>
                <w:color w:val="auto"/>
              </w:rPr>
              <w:t>(9)</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36,846</w:t>
            </w:r>
            <w:r>
              <w:rPr>
                <w:rFonts w:ascii="Arial" w:cs="Arial" w:eastAsia="Arial" w:hAnsi="Arial"/>
                <w:sz w:val="8"/>
                <w:szCs w:val="8"/>
                <w:color w:val="auto"/>
              </w:rPr>
              <w:t>(12)</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236,846</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568" w:hanging="568"/>
        <w:spacing w:after="0" w:line="281" w:lineRule="auto"/>
        <w:tabs>
          <w:tab w:leader="none" w:pos="568" w:val="left"/>
        </w:tabs>
        <w:numPr>
          <w:ilvl w:val="0"/>
          <w:numId w:val="47"/>
        </w:numPr>
        <w:rPr>
          <w:rFonts w:ascii="Arial" w:cs="Arial" w:eastAsia="Arial" w:hAnsi="Arial"/>
          <w:sz w:val="11"/>
          <w:szCs w:val="11"/>
          <w:color w:val="auto"/>
        </w:rPr>
      </w:pPr>
      <w:r>
        <w:rPr>
          <w:rFonts w:ascii="Arial" w:cs="Arial" w:eastAsia="Arial" w:hAnsi="Arial"/>
          <w:sz w:val="11"/>
          <w:szCs w:val="11"/>
          <w:color w:val="auto"/>
        </w:rPr>
        <w:t>Mr. Singh became VistaGen California’s Chief Executive Officer on August 20, 2009 and our Chief Executive Officer in May 2011, in connection with the Merger. In our fiscal years ended March 31, 2015 and 2014, Mr. Singh’s annual base cash salary, pursuant to his January 2010 employment agreement, was contractually set at $347,500. However, to conserve cash for our operations during those years, Mr. Singh voluntarily agreed to receive cash payments of less than his contractual base cash salary. Further, in fiscal 2014 Mr. Singh voluntarily reduced his base cash salary to the amount indicated above. The figures reported above reflect the amount of Mr. Singh’s salary that we expensed for accounting purposes in our financial statements included in this prospectus for the respective fiscal years. As discussed in notes (4) and (5) below, only $82,813 and $125,000 was actually paid in cash to Mr. Singh in our fiscal years ended March 31, 2015 and 2014, respectively. The difference between the amounts expensed for accounting purposes and the amounts actually paid to Mr. Singh has been accrued for payment in the future. Additionally, pursuant to his employment agreement, Mr. Singh is eligible to receive an annual cash incentive bonus of up to fifty percent (50%) of his base cash salary. Again, to conserve cash for our operations during our fiscal years ended March 31, 2015 and 2014, Mr. Singh voluntarily refrained from receiving any cash bonus.</w:t>
      </w:r>
    </w:p>
    <w:p>
      <w:pPr>
        <w:spacing w:after="0" w:line="116" w:lineRule="exact"/>
        <w:rPr>
          <w:rFonts w:ascii="Arial" w:cs="Arial" w:eastAsia="Arial" w:hAnsi="Arial"/>
          <w:sz w:val="11"/>
          <w:szCs w:val="11"/>
          <w:color w:val="auto"/>
        </w:rPr>
      </w:pPr>
    </w:p>
    <w:p>
      <w:pPr>
        <w:jc w:val="both"/>
        <w:ind w:left="568" w:hanging="568"/>
        <w:spacing w:after="0" w:line="254" w:lineRule="auto"/>
        <w:tabs>
          <w:tab w:leader="none" w:pos="568"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2015 and 2014, Dr. Snodgrass’ annual base cash salary, pursuant to his January 2010 employment agreement, was contractually set at $305,000. However, to conserve cash for our operations during those years, Dr. Snodgrass voluntarily agreed to receive cash payments of less than his contractual base cash salary. Further, in fiscal 2014 Dr. Snodgrass voluntarily reduced his base cash salary to the amount indicated. The figures reported above reflect the amount of Dr. Snodgrass’ salary that we expensed for accounting purposes in our financial statements included in this prospectus for the respective fiscal years. As discussed in notes (6) and (7) below, only $157,292 and $149,606 was actually paid in cash to Dr. Snodgrass in our fiscal years ended March 31, 2015 and 2014, respectively. The difference between the amounts expensed for accounting purposes and the amounts actually paid to Dr. Snodgrass has been accrued for payment in the future. Additionally, pursuant to his employment agreement, Dr. Snodgrass is eligible to receive an annual cash incentive bonus of up to fifty percent (50%) of his base cash salary. Again, to conserve cash for our operations during our fiscal years ended March 31, 2015 and 2014, Dr. Snodgrass voluntarily refrained from receiving any cash bonus.</w:t>
      </w:r>
    </w:p>
    <w:p>
      <w:pPr>
        <w:spacing w:after="0" w:line="128" w:lineRule="exact"/>
        <w:rPr>
          <w:rFonts w:ascii="Arial" w:cs="Arial" w:eastAsia="Arial" w:hAnsi="Arial"/>
          <w:sz w:val="12"/>
          <w:szCs w:val="12"/>
          <w:color w:val="auto"/>
        </w:rPr>
      </w:pPr>
    </w:p>
    <w:p>
      <w:pPr>
        <w:jc w:val="both"/>
        <w:ind w:left="568" w:hanging="568"/>
        <w:spacing w:after="0" w:line="255" w:lineRule="auto"/>
        <w:tabs>
          <w:tab w:leader="none" w:pos="56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our full-time employee. In our fiscal years ended March 31, 2015 and 2014, Mr. Dotson’s annual base cash salary was $250,000 and $200,000, respectively. However, to conserve cash for our operations during those years, Mr. Dotson voluntarily agreed to receive cash payments of less than his base cash salary. The figures reported above reflect the amount of Mr. Dotson’s salary that we expensed for accounting purposes in our financial statements included in this prospectus for the respective fiscal years. As discussed in notes (8) and (9) below, only $153,917 and $143,333 was actually paid in cash to Mr. Dotson in our fiscal years ended March 31, 2015 and 2014, respectively. The difference between the amounts expensed for accounting purposes and the amounts actually paid to Mr. Dotson has been accrued for payment in the future. To conserve cash for our operations, Mr. Dotson did not receive a cash bonus in either of our fiscal years ended March 31, 2015 or 2014.</w:t>
      </w: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103" w:name="page104"/>
    <w:bookmarkEnd w:id="103"/>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568" w:hanging="568"/>
        <w:spacing w:after="0"/>
        <w:tabs>
          <w:tab w:leader="none" w:pos="568" w:val="left"/>
        </w:tabs>
        <w:numPr>
          <w:ilvl w:val="0"/>
          <w:numId w:val="48"/>
        </w:numPr>
        <w:rPr>
          <w:rFonts w:ascii="Arial" w:cs="Arial" w:eastAsia="Arial" w:hAnsi="Arial"/>
          <w:sz w:val="11"/>
          <w:szCs w:val="11"/>
          <w:color w:val="auto"/>
        </w:rPr>
      </w:pPr>
      <w:r>
        <w:rPr>
          <w:rFonts w:ascii="Arial" w:cs="Arial" w:eastAsia="Arial" w:hAnsi="Arial"/>
          <w:sz w:val="11"/>
          <w:szCs w:val="11"/>
          <w:color w:val="auto"/>
        </w:rPr>
        <w:t>Mr. Singh received only $82,813 in cash compensation in our fiscal year ended March 31, 2015. The remaining balance has been accrued for future payment and remains unpaid at the date of this prospectus.</w:t>
      </w:r>
    </w:p>
    <w:p>
      <w:pPr>
        <w:spacing w:after="0" w:line="161" w:lineRule="exact"/>
        <w:rPr>
          <w:rFonts w:ascii="Arial" w:cs="Arial" w:eastAsia="Arial" w:hAnsi="Arial"/>
          <w:sz w:val="11"/>
          <w:szCs w:val="11"/>
          <w:color w:val="auto"/>
        </w:rPr>
      </w:pPr>
    </w:p>
    <w:p>
      <w:pPr>
        <w:ind w:left="568" w:hanging="568"/>
        <w:spacing w:after="0" w:line="276" w:lineRule="auto"/>
        <w:tabs>
          <w:tab w:leader="none" w:pos="568" w:val="left"/>
        </w:tabs>
        <w:numPr>
          <w:ilvl w:val="0"/>
          <w:numId w:val="48"/>
        </w:numPr>
        <w:rPr>
          <w:rFonts w:ascii="Arial" w:cs="Arial" w:eastAsia="Arial" w:hAnsi="Arial"/>
          <w:sz w:val="12"/>
          <w:szCs w:val="12"/>
          <w:color w:val="auto"/>
        </w:rPr>
      </w:pPr>
      <w:r>
        <w:rPr>
          <w:rFonts w:ascii="Arial" w:cs="Arial" w:eastAsia="Arial" w:hAnsi="Arial"/>
          <w:sz w:val="12"/>
          <w:szCs w:val="12"/>
          <w:color w:val="auto"/>
        </w:rPr>
        <w:t>Mr. Singh received only $125,000 in cash compensation in our fiscal year ended March 31, 2014. At March 31, 2014, the remaining balance was accrued for future payment and remained outstanding at March 31, 2015 and through the date of this prospectus.</w:t>
      </w:r>
    </w:p>
    <w:p>
      <w:pPr>
        <w:spacing w:after="0" w:line="114" w:lineRule="exact"/>
        <w:rPr>
          <w:rFonts w:ascii="Arial" w:cs="Arial" w:eastAsia="Arial" w:hAnsi="Arial"/>
          <w:sz w:val="12"/>
          <w:szCs w:val="12"/>
          <w:color w:val="auto"/>
        </w:rPr>
      </w:pPr>
    </w:p>
    <w:p>
      <w:pPr>
        <w:ind w:left="568" w:hanging="568"/>
        <w:spacing w:after="0"/>
        <w:tabs>
          <w:tab w:leader="none" w:pos="568" w:val="left"/>
        </w:tabs>
        <w:numPr>
          <w:ilvl w:val="0"/>
          <w:numId w:val="48"/>
        </w:numPr>
        <w:rPr>
          <w:rFonts w:ascii="Arial" w:cs="Arial" w:eastAsia="Arial" w:hAnsi="Arial"/>
          <w:sz w:val="11"/>
          <w:szCs w:val="11"/>
          <w:color w:val="auto"/>
        </w:rPr>
      </w:pPr>
      <w:r>
        <w:rPr>
          <w:rFonts w:ascii="Arial" w:cs="Arial" w:eastAsia="Arial" w:hAnsi="Arial"/>
          <w:sz w:val="11"/>
          <w:szCs w:val="11"/>
          <w:color w:val="auto"/>
        </w:rPr>
        <w:t>Dr. Snodgrass received only $157,292 in cash compensation in our fiscal year ended March 31, 2015 and the remaining balance has been accrued for future payment and remains unpaid at the date of this prospectus.</w:t>
      </w:r>
    </w:p>
    <w:p>
      <w:pPr>
        <w:spacing w:after="0" w:line="161" w:lineRule="exact"/>
        <w:rPr>
          <w:rFonts w:ascii="Arial" w:cs="Arial" w:eastAsia="Arial" w:hAnsi="Arial"/>
          <w:sz w:val="11"/>
          <w:szCs w:val="11"/>
          <w:color w:val="auto"/>
        </w:rPr>
      </w:pPr>
    </w:p>
    <w:p>
      <w:pPr>
        <w:ind w:left="568" w:hanging="568"/>
        <w:spacing w:after="0" w:line="276" w:lineRule="auto"/>
        <w:tabs>
          <w:tab w:leader="none" w:pos="568" w:val="left"/>
        </w:tabs>
        <w:numPr>
          <w:ilvl w:val="0"/>
          <w:numId w:val="48"/>
        </w:numPr>
        <w:rPr>
          <w:rFonts w:ascii="Arial" w:cs="Arial" w:eastAsia="Arial" w:hAnsi="Arial"/>
          <w:sz w:val="12"/>
          <w:szCs w:val="12"/>
          <w:color w:val="auto"/>
        </w:rPr>
      </w:pPr>
      <w:r>
        <w:rPr>
          <w:rFonts w:ascii="Arial" w:cs="Arial" w:eastAsia="Arial" w:hAnsi="Arial"/>
          <w:sz w:val="12"/>
          <w:szCs w:val="12"/>
          <w:color w:val="auto"/>
        </w:rPr>
        <w:t>Dr. Snodgrass received only $149,606 in cash compensation in our fiscal year ended March 31, 2014. At March 31, 2014, the remaining balance was accrued for future payment and remained outstanding at March 31, 2015 and through the date of this prospectus.</w:t>
      </w:r>
    </w:p>
    <w:p>
      <w:pPr>
        <w:spacing w:after="0" w:line="114" w:lineRule="exact"/>
        <w:rPr>
          <w:rFonts w:ascii="Arial" w:cs="Arial" w:eastAsia="Arial" w:hAnsi="Arial"/>
          <w:sz w:val="12"/>
          <w:szCs w:val="12"/>
          <w:color w:val="auto"/>
        </w:rPr>
      </w:pPr>
    </w:p>
    <w:p>
      <w:pPr>
        <w:ind w:left="568" w:hanging="568"/>
        <w:spacing w:after="0"/>
        <w:tabs>
          <w:tab w:leader="none" w:pos="568" w:val="left"/>
        </w:tabs>
        <w:numPr>
          <w:ilvl w:val="0"/>
          <w:numId w:val="48"/>
        </w:numPr>
        <w:rPr>
          <w:rFonts w:ascii="Arial" w:cs="Arial" w:eastAsia="Arial" w:hAnsi="Arial"/>
          <w:sz w:val="11"/>
          <w:szCs w:val="11"/>
          <w:color w:val="auto"/>
        </w:rPr>
      </w:pPr>
      <w:r>
        <w:rPr>
          <w:rFonts w:ascii="Arial" w:cs="Arial" w:eastAsia="Arial" w:hAnsi="Arial"/>
          <w:sz w:val="11"/>
          <w:szCs w:val="11"/>
          <w:color w:val="auto"/>
        </w:rPr>
        <w:t>Mr. Dotson received only $153,917 in cash compensation in our fiscal year ended March 31, 2015 and the remaining balance has been accrued for future payment and remains unpaid at the date of this prospectus.</w:t>
      </w:r>
    </w:p>
    <w:p>
      <w:pPr>
        <w:spacing w:after="0" w:line="161" w:lineRule="exact"/>
        <w:rPr>
          <w:rFonts w:ascii="Arial" w:cs="Arial" w:eastAsia="Arial" w:hAnsi="Arial"/>
          <w:sz w:val="11"/>
          <w:szCs w:val="11"/>
          <w:color w:val="auto"/>
        </w:rPr>
      </w:pPr>
    </w:p>
    <w:p>
      <w:pPr>
        <w:ind w:left="568" w:hanging="568"/>
        <w:spacing w:after="0" w:line="276" w:lineRule="auto"/>
        <w:tabs>
          <w:tab w:leader="none" w:pos="568" w:val="left"/>
        </w:tabs>
        <w:numPr>
          <w:ilvl w:val="0"/>
          <w:numId w:val="48"/>
        </w:numPr>
        <w:rPr>
          <w:rFonts w:ascii="Arial" w:cs="Arial" w:eastAsia="Arial" w:hAnsi="Arial"/>
          <w:sz w:val="12"/>
          <w:szCs w:val="12"/>
          <w:color w:val="auto"/>
        </w:rPr>
      </w:pPr>
      <w:r>
        <w:rPr>
          <w:rFonts w:ascii="Arial" w:cs="Arial" w:eastAsia="Arial" w:hAnsi="Arial"/>
          <w:sz w:val="12"/>
          <w:szCs w:val="12"/>
          <w:color w:val="auto"/>
        </w:rPr>
        <w:t>Mr. Dotson received only $143,333 in cash compensation in our fiscal year ended March 31, 2014. At March 31, 2014, the remaining balance was accrued for future payment and remained outstanding at March 31, 2015 and through the date of this prospectus.</w:t>
      </w:r>
    </w:p>
    <w:p>
      <w:pPr>
        <w:spacing w:after="0" w:line="114" w:lineRule="exact"/>
        <w:rPr>
          <w:rFonts w:ascii="Arial" w:cs="Arial" w:eastAsia="Arial" w:hAnsi="Arial"/>
          <w:sz w:val="12"/>
          <w:szCs w:val="12"/>
          <w:color w:val="auto"/>
        </w:rPr>
      </w:pPr>
    </w:p>
    <w:p>
      <w:pPr>
        <w:jc w:val="both"/>
        <w:ind w:left="568" w:hanging="568"/>
        <w:spacing w:after="0" w:line="286" w:lineRule="auto"/>
        <w:tabs>
          <w:tab w:leader="none" w:pos="568" w:val="left"/>
        </w:tabs>
        <w:numPr>
          <w:ilvl w:val="0"/>
          <w:numId w:val="48"/>
        </w:numPr>
        <w:rPr>
          <w:rFonts w:ascii="Arial" w:cs="Arial" w:eastAsia="Arial" w:hAnsi="Arial"/>
          <w:sz w:val="11"/>
          <w:szCs w:val="11"/>
          <w:color w:val="auto"/>
        </w:rPr>
      </w:pPr>
      <w:r>
        <w:rPr>
          <w:rFonts w:ascii="Arial" w:cs="Arial" w:eastAsia="Arial" w:hAnsi="Arial"/>
          <w:sz w:val="11"/>
          <w:szCs w:val="11"/>
          <w:color w:val="auto"/>
        </w:rPr>
        <w:t>The amounts in the Option and Warrant Awards column represent the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1"/>
          <w:szCs w:val="11"/>
          <w:i w:val="1"/>
          <w:iCs w:val="1"/>
          <w:color w:val="auto"/>
        </w:rPr>
        <w:t>ASC 718</w:t>
      </w:r>
      <w:r>
        <w:rPr>
          <w:rFonts w:ascii="Arial" w:cs="Arial" w:eastAsia="Arial" w:hAnsi="Arial"/>
          <w:sz w:val="11"/>
          <w:szCs w:val="11"/>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11" w:lineRule="exact"/>
        <w:rPr>
          <w:rFonts w:ascii="Arial" w:cs="Arial" w:eastAsia="Arial" w:hAnsi="Arial"/>
          <w:sz w:val="11"/>
          <w:szCs w:val="11"/>
          <w:color w:val="auto"/>
        </w:rPr>
      </w:pPr>
    </w:p>
    <w:p>
      <w:pPr>
        <w:ind w:left="568" w:hanging="568"/>
        <w:spacing w:after="0"/>
        <w:tabs>
          <w:tab w:leader="none" w:pos="568" w:val="left"/>
        </w:tabs>
        <w:numPr>
          <w:ilvl w:val="0"/>
          <w:numId w:val="48"/>
        </w:numPr>
        <w:rPr>
          <w:rFonts w:ascii="Arial" w:cs="Arial" w:eastAsia="Arial" w:hAnsi="Arial"/>
          <w:sz w:val="12"/>
          <w:szCs w:val="12"/>
          <w:color w:val="auto"/>
        </w:rPr>
      </w:pPr>
      <w:r>
        <w:rPr>
          <w:rFonts w:ascii="Arial" w:cs="Arial" w:eastAsia="Arial" w:hAnsi="Arial"/>
          <w:sz w:val="12"/>
          <w:szCs w:val="12"/>
          <w:color w:val="auto"/>
        </w:rPr>
        <w:t>We used the Black Scholes Option Pricing Model and the following assumptions for determining the grant date fair value of the warrants to purchase shares of our common stock granted in 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880745" cy="7321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0745" cy="732155"/>
                    </a:xfrm>
                    <a:prstGeom prst="rect">
                      <a:avLst/>
                    </a:prstGeom>
                    <a:noFill/>
                  </pic:spPr>
                </pic:pic>
              </a:graphicData>
            </a:graphic>
          </wp:anchor>
        </w:drawing>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520" w:type="dxa"/>
            <w:vAlign w:val="bottom"/>
            <w:shd w:val="clear" w:color="auto" w:fill="CCEEFF"/>
          </w:tcPr>
          <w:p>
            <w:pPr>
              <w:ind w:left="1380"/>
              <w:spacing w:after="0"/>
              <w:rPr>
                <w:sz w:val="20"/>
                <w:szCs w:val="20"/>
                <w:color w:val="auto"/>
              </w:rPr>
            </w:pPr>
            <w:r>
              <w:rPr>
                <w:rFonts w:ascii="Arial" w:cs="Arial" w:eastAsia="Arial" w:hAnsi="Arial"/>
                <w:sz w:val="12"/>
                <w:szCs w:val="12"/>
                <w:color w:val="auto"/>
              </w:rPr>
              <w:t>Market price per share</w:t>
            </w:r>
          </w:p>
        </w:tc>
        <w:tc>
          <w:tcPr>
            <w:tcW w:w="416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8.00</w:t>
            </w:r>
          </w:p>
        </w:tc>
      </w:tr>
      <w:tr>
        <w:trPr>
          <w:trHeight w:val="144"/>
        </w:trPr>
        <w:tc>
          <w:tcPr>
            <w:tcW w:w="6520" w:type="dxa"/>
            <w:vAlign w:val="bottom"/>
          </w:tcPr>
          <w:p>
            <w:pPr>
              <w:ind w:left="1380"/>
              <w:spacing w:after="0"/>
              <w:rPr>
                <w:sz w:val="20"/>
                <w:szCs w:val="20"/>
                <w:color w:val="auto"/>
              </w:rPr>
            </w:pPr>
            <w:r>
              <w:rPr>
                <w:rFonts w:ascii="Arial" w:cs="Arial" w:eastAsia="Arial" w:hAnsi="Arial"/>
                <w:sz w:val="12"/>
                <w:szCs w:val="12"/>
                <w:color w:val="auto"/>
              </w:rPr>
              <w:t>Exercise price per share</w:t>
            </w:r>
          </w:p>
        </w:tc>
        <w:tc>
          <w:tcPr>
            <w:tcW w:w="416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10.00</w:t>
            </w:r>
          </w:p>
        </w:tc>
      </w:tr>
      <w:tr>
        <w:trPr>
          <w:trHeight w:val="144"/>
        </w:trPr>
        <w:tc>
          <w:tcPr>
            <w:tcW w:w="6520" w:type="dxa"/>
            <w:vAlign w:val="bottom"/>
            <w:shd w:val="clear" w:color="auto" w:fill="CCEEFF"/>
          </w:tcPr>
          <w:p>
            <w:pPr>
              <w:ind w:left="1380"/>
              <w:spacing w:after="0"/>
              <w:rPr>
                <w:sz w:val="20"/>
                <w:szCs w:val="20"/>
                <w:color w:val="auto"/>
              </w:rPr>
            </w:pPr>
            <w:r>
              <w:rPr>
                <w:rFonts w:ascii="Arial" w:cs="Arial" w:eastAsia="Arial" w:hAnsi="Arial"/>
                <w:sz w:val="12"/>
                <w:szCs w:val="12"/>
                <w:color w:val="auto"/>
              </w:rPr>
              <w:t>Risk-free interest rate</w:t>
            </w:r>
          </w:p>
        </w:tc>
        <w:tc>
          <w:tcPr>
            <w:tcW w:w="4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r>
      <w:tr>
        <w:trPr>
          <w:trHeight w:val="144"/>
        </w:trPr>
        <w:tc>
          <w:tcPr>
            <w:tcW w:w="6520" w:type="dxa"/>
            <w:vAlign w:val="bottom"/>
          </w:tcPr>
          <w:p>
            <w:pPr>
              <w:ind w:left="1380"/>
              <w:spacing w:after="0"/>
              <w:rPr>
                <w:sz w:val="20"/>
                <w:szCs w:val="20"/>
                <w:color w:val="auto"/>
              </w:rPr>
            </w:pPr>
            <w:r>
              <w:rPr>
                <w:rFonts w:ascii="Arial" w:cs="Arial" w:eastAsia="Arial" w:hAnsi="Arial"/>
                <w:sz w:val="12"/>
                <w:szCs w:val="12"/>
                <w:color w:val="auto"/>
              </w:rPr>
              <w:t>Expected Term (years)</w:t>
            </w:r>
          </w:p>
        </w:tc>
        <w:tc>
          <w:tcPr>
            <w:tcW w:w="416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5.0</w:t>
            </w:r>
          </w:p>
        </w:tc>
      </w:tr>
      <w:tr>
        <w:trPr>
          <w:trHeight w:val="144"/>
        </w:trPr>
        <w:tc>
          <w:tcPr>
            <w:tcW w:w="6520" w:type="dxa"/>
            <w:vAlign w:val="bottom"/>
            <w:shd w:val="clear" w:color="auto" w:fill="CCEEFF"/>
          </w:tcPr>
          <w:p>
            <w:pPr>
              <w:ind w:left="1380"/>
              <w:spacing w:after="0"/>
              <w:rPr>
                <w:sz w:val="20"/>
                <w:szCs w:val="20"/>
                <w:color w:val="auto"/>
              </w:rPr>
            </w:pPr>
            <w:r>
              <w:rPr>
                <w:rFonts w:ascii="Arial" w:cs="Arial" w:eastAsia="Arial" w:hAnsi="Arial"/>
                <w:sz w:val="12"/>
                <w:szCs w:val="12"/>
                <w:color w:val="auto"/>
              </w:rPr>
              <w:t>Volatility</w:t>
            </w:r>
          </w:p>
        </w:tc>
        <w:tc>
          <w:tcPr>
            <w:tcW w:w="4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75.86%</w:t>
            </w:r>
          </w:p>
        </w:tc>
      </w:tr>
      <w:tr>
        <w:trPr>
          <w:trHeight w:val="144"/>
        </w:trPr>
        <w:tc>
          <w:tcPr>
            <w:tcW w:w="6520" w:type="dxa"/>
            <w:vAlign w:val="bottom"/>
          </w:tcPr>
          <w:p>
            <w:pPr>
              <w:ind w:left="1380"/>
              <w:spacing w:after="0"/>
              <w:rPr>
                <w:sz w:val="20"/>
                <w:szCs w:val="20"/>
                <w:color w:val="auto"/>
              </w:rPr>
            </w:pPr>
            <w:r>
              <w:rPr>
                <w:rFonts w:ascii="Arial" w:cs="Arial" w:eastAsia="Arial" w:hAnsi="Arial"/>
                <w:sz w:val="12"/>
                <w:szCs w:val="12"/>
                <w:color w:val="auto"/>
              </w:rPr>
              <w:t>Dividend rate</w:t>
            </w:r>
          </w:p>
        </w:tc>
        <w:tc>
          <w:tcPr>
            <w:tcW w:w="4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0.0%</w:t>
            </w:r>
          </w:p>
        </w:tc>
      </w:tr>
      <w:tr>
        <w:trPr>
          <w:trHeight w:val="144"/>
        </w:trPr>
        <w:tc>
          <w:tcPr>
            <w:tcW w:w="652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3"/>
        </w:trPr>
        <w:tc>
          <w:tcPr>
            <w:tcW w:w="6520" w:type="dxa"/>
            <w:vAlign w:val="bottom"/>
          </w:tcPr>
          <w:p>
            <w:pPr>
              <w:ind w:left="1380"/>
              <w:spacing w:after="0"/>
              <w:rPr>
                <w:sz w:val="20"/>
                <w:szCs w:val="20"/>
                <w:color w:val="auto"/>
              </w:rPr>
            </w:pPr>
            <w:r>
              <w:rPr>
                <w:rFonts w:ascii="Arial" w:cs="Arial" w:eastAsia="Arial" w:hAnsi="Arial"/>
                <w:sz w:val="12"/>
                <w:szCs w:val="12"/>
                <w:color w:val="auto"/>
              </w:rPr>
              <w:t>Grant date fair value per share</w:t>
            </w:r>
          </w:p>
        </w:tc>
        <w:tc>
          <w:tcPr>
            <w:tcW w:w="416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4.59</w:t>
            </w:r>
          </w:p>
        </w:tc>
      </w:tr>
    </w:tbl>
    <w:p>
      <w:pPr>
        <w:spacing w:after="0" w:line="126" w:lineRule="exact"/>
        <w:rPr>
          <w:sz w:val="20"/>
          <w:szCs w:val="20"/>
          <w:color w:val="auto"/>
        </w:rPr>
      </w:pPr>
    </w:p>
    <w:p>
      <w:pPr>
        <w:ind w:left="568"/>
        <w:spacing w:after="0"/>
        <w:rPr>
          <w:sz w:val="20"/>
          <w:szCs w:val="20"/>
          <w:color w:val="auto"/>
        </w:rPr>
      </w:pPr>
      <w:r>
        <w:rPr>
          <w:rFonts w:ascii="Arial" w:cs="Arial" w:eastAsia="Arial" w:hAnsi="Arial"/>
          <w:sz w:val="12"/>
          <w:szCs w:val="12"/>
          <w:color w:val="auto"/>
        </w:rPr>
        <w:t>Mr. Singh, Dr. Snodgrass and Mr. Dotson were granted warrants to purchase 150,000, 100,000 and 50,000 restricted shares of our common stock, respectively</w:t>
      </w:r>
    </w:p>
    <w:p>
      <w:pPr>
        <w:spacing w:after="0" w:line="150" w:lineRule="exact"/>
        <w:rPr>
          <w:sz w:val="20"/>
          <w:szCs w:val="20"/>
          <w:color w:val="auto"/>
        </w:rPr>
      </w:pPr>
    </w:p>
    <w:p>
      <w:pPr>
        <w:ind w:left="568" w:right="20" w:hanging="568"/>
        <w:spacing w:after="0" w:line="276" w:lineRule="auto"/>
        <w:tabs>
          <w:tab w:leader="none" w:pos="568"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2"/>
                <w:szCs w:val="12"/>
                <w:color w:val="auto"/>
                <w:w w:val="96"/>
              </w:rPr>
              <w:t>Option</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Warrant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2"/>
                <w:szCs w:val="12"/>
                <w:color w:val="auto"/>
                <w:w w:val="93"/>
              </w:rPr>
              <w:t>Grant</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color w:val="auto"/>
                <w:w w:val="93"/>
              </w:rPr>
              <w:t>Grant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2"/>
                <w:szCs w:val="12"/>
                <w:color w:val="auto"/>
              </w:rPr>
              <w:t>Option Modification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5"/>
          </w:tcPr>
          <w:p>
            <w:pPr>
              <w:jc w:val="right"/>
              <w:ind w:right="660"/>
              <w:spacing w:after="0"/>
              <w:rPr>
                <w:sz w:val="20"/>
                <w:szCs w:val="20"/>
                <w:color w:val="auto"/>
              </w:rPr>
            </w:pPr>
            <w:r>
              <w:rPr>
                <w:rFonts w:ascii="Arial" w:cs="Arial" w:eastAsia="Arial" w:hAnsi="Arial"/>
                <w:sz w:val="12"/>
                <w:szCs w:val="12"/>
                <w:color w:val="auto"/>
              </w:rPr>
              <w:t>Warrant Modification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5"/>
          </w:tcPr>
          <w:p>
            <w:pPr>
              <w:jc w:val="right"/>
              <w:ind w:right="540"/>
              <w:spacing w:after="0" w:line="144" w:lineRule="exact"/>
              <w:rPr>
                <w:sz w:val="20"/>
                <w:szCs w:val="20"/>
                <w:color w:val="auto"/>
              </w:rPr>
            </w:pPr>
            <w:r>
              <w:rPr>
                <w:rFonts w:ascii="Arial" w:cs="Arial" w:eastAsia="Arial" w:hAnsi="Arial"/>
                <w:sz w:val="12"/>
                <w:szCs w:val="12"/>
                <w:color w:val="auto"/>
                <w:w w:val="98"/>
              </w:rPr>
              <w:t xml:space="preserve">Option/Warrant Exchange </w:t>
            </w:r>
            <w:r>
              <w:rPr>
                <w:rFonts w:ascii="Arial" w:cs="Arial" w:eastAsia="Arial" w:hAnsi="Arial"/>
                <w:sz w:val="16"/>
                <w:szCs w:val="16"/>
                <w:color w:val="auto"/>
                <w:w w:val="98"/>
                <w:vertAlign w:val="superscript"/>
              </w:rPr>
              <w:t>(a)</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40"/>
              <w:spacing w:after="0"/>
              <w:rPr>
                <w:sz w:val="20"/>
                <w:szCs w:val="20"/>
                <w:color w:val="auto"/>
              </w:rPr>
            </w:pPr>
            <w:r>
              <w:rPr>
                <w:rFonts w:ascii="Arial" w:cs="Arial" w:eastAsia="Arial" w:hAnsi="Arial"/>
                <w:sz w:val="12"/>
                <w:szCs w:val="12"/>
                <w:color w:val="auto"/>
                <w:w w:val="93"/>
              </w:rPr>
              <w:t>10/27/2013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80"/>
              <w:spacing w:after="0"/>
              <w:rPr>
                <w:sz w:val="20"/>
                <w:szCs w:val="20"/>
                <w:color w:val="auto"/>
              </w:rPr>
            </w:pPr>
            <w:r>
              <w:rPr>
                <w:rFonts w:ascii="Arial" w:cs="Arial" w:eastAsia="Arial" w:hAnsi="Arial"/>
                <w:sz w:val="12"/>
                <w:szCs w:val="12"/>
                <w:color w:val="auto"/>
                <w:w w:val="89"/>
              </w:rPr>
              <w:t>3/19/2014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4"/>
          </w:tcPr>
          <w:p>
            <w:pPr>
              <w:jc w:val="right"/>
              <w:ind w:right="700"/>
              <w:spacing w:after="0"/>
              <w:rPr>
                <w:sz w:val="20"/>
                <w:szCs w:val="20"/>
                <w:color w:val="auto"/>
              </w:rPr>
            </w:pPr>
            <w:r>
              <w:rPr>
                <w:rFonts w:ascii="Arial" w:cs="Arial" w:eastAsia="Arial" w:hAnsi="Arial"/>
                <w:sz w:val="12"/>
                <w:szCs w:val="12"/>
                <w:color w:val="auto"/>
              </w:rPr>
              <w:t>12/20/2013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4"/>
          </w:tcPr>
          <w:p>
            <w:pPr>
              <w:jc w:val="right"/>
              <w:ind w:right="700"/>
              <w:spacing w:after="0"/>
              <w:rPr>
                <w:sz w:val="20"/>
                <w:szCs w:val="20"/>
                <w:color w:val="auto"/>
              </w:rPr>
            </w:pPr>
            <w:r>
              <w:rPr>
                <w:rFonts w:ascii="Arial" w:cs="Arial" w:eastAsia="Arial" w:hAnsi="Arial"/>
                <w:sz w:val="12"/>
                <w:szCs w:val="12"/>
                <w:color w:val="auto"/>
              </w:rPr>
              <w:t>12/20/2013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2"/>
                <w:szCs w:val="12"/>
                <w:color w:val="auto"/>
              </w:rPr>
              <w:t>3/19/2014</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Singh</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134,436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25,366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159,802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Snodgrass</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14,560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56,835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30,958</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102,353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Dotson</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29,120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6,380</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43,680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192,617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25,366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30,958</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299,001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Before</w:t>
            </w:r>
          </w:p>
        </w:tc>
        <w:tc>
          <w:tcPr>
            <w:tcW w:w="8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color w:val="auto"/>
              </w:rPr>
              <w:t>After</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Before</w:t>
            </w:r>
          </w:p>
        </w:tc>
        <w:tc>
          <w:tcPr>
            <w:tcW w:w="6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color w:val="auto"/>
              </w:rPr>
              <w:t>After</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2"/>
                <w:szCs w:val="12"/>
                <w:color w:val="auto"/>
              </w:rPr>
              <w:t>Before</w:t>
            </w:r>
          </w:p>
        </w:tc>
        <w:tc>
          <w:tcPr>
            <w:tcW w:w="240" w:type="dxa"/>
            <w:vAlign w:val="bottom"/>
          </w:tcPr>
          <w:p>
            <w:pPr>
              <w:spacing w:after="0"/>
              <w:rPr>
                <w:sz w:val="24"/>
                <w:szCs w:val="2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2"/>
                <w:szCs w:val="12"/>
                <w:color w:val="auto"/>
              </w:rPr>
              <w:t>After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w w:val="99"/>
              </w:rPr>
              <w:t>Market price per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9.20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8.00</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w w:val="92"/>
              </w:rPr>
              <w:t>Exercise price per share</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8.00</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2"/>
                <w:szCs w:val="1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15.00 to $42.00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0.50</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30.00 to $35.00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0.50</w:t>
            </w:r>
          </w:p>
        </w:tc>
        <w:tc>
          <w:tcPr>
            <w:tcW w:w="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1.675%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color w:val="auto"/>
                <w:w w:val="89"/>
              </w:rPr>
              <w:t>0.7% to 2.68%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2"/>
                <w:szCs w:val="12"/>
                <w:color w:val="auto"/>
                <w:w w:val="92"/>
              </w:rPr>
              <w:t>0.12% to 2.68%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w w:val="92"/>
              </w:rPr>
              <w:t>0.07% to 1.18%</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2"/>
                <w:szCs w:val="12"/>
                <w:color w:val="auto"/>
                <w:w w:val="92"/>
              </w:rPr>
              <w:t>0.75% to 1.18%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0.106%</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Volatility</w:t>
            </w:r>
          </w:p>
        </w:tc>
        <w:tc>
          <w:tcPr>
            <w:tcW w:w="14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99.53%</w:t>
            </w:r>
          </w:p>
        </w:tc>
        <w:tc>
          <w:tcPr>
            <w:tcW w:w="16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80.57%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color w:val="auto"/>
                <w:w w:val="92"/>
              </w:rPr>
              <w:t>68.8% to 97.6%</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color w:val="auto"/>
                <w:w w:val="92"/>
              </w:rPr>
              <w:t>68.8% to 97.6%</w:t>
            </w:r>
          </w:p>
        </w:tc>
        <w:tc>
          <w:tcPr>
            <w:tcW w:w="60" w:type="dxa"/>
            <w:vAlign w:val="bottom"/>
          </w:tcPr>
          <w:p>
            <w:pPr>
              <w:spacing w:after="0"/>
              <w:rPr>
                <w:sz w:val="12"/>
                <w:szCs w:val="12"/>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2"/>
                <w:szCs w:val="12"/>
                <w:color w:val="auto"/>
                <w:w w:val="91"/>
              </w:rPr>
              <w:t>68.76% to 78.21%</w:t>
            </w:r>
          </w:p>
        </w:tc>
        <w:tc>
          <w:tcPr>
            <w:tcW w:w="1060" w:type="dxa"/>
            <w:vAlign w:val="bottom"/>
            <w:gridSpan w:val="3"/>
          </w:tcPr>
          <w:p>
            <w:pPr>
              <w:spacing w:after="0"/>
              <w:rPr>
                <w:sz w:val="20"/>
                <w:szCs w:val="20"/>
                <w:color w:val="auto"/>
              </w:rPr>
            </w:pPr>
            <w:r>
              <w:rPr>
                <w:rFonts w:ascii="Arial" w:cs="Arial" w:eastAsia="Arial" w:hAnsi="Arial"/>
                <w:sz w:val="12"/>
                <w:szCs w:val="12"/>
                <w:color w:val="auto"/>
              </w:rPr>
              <w:t>76.51% to 78.21%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68.96%</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80.57%</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6.25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color w:val="auto"/>
                <w:w w:val="91"/>
              </w:rPr>
              <w:t>0.25 to 8.86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2"/>
                <w:szCs w:val="12"/>
                <w:color w:val="auto"/>
                <w:w w:val="91"/>
              </w:rPr>
              <w:t>0.87 to 8.86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w w:val="91"/>
              </w:rPr>
              <w:t>0.03 to 3.96</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2"/>
                <w:szCs w:val="12"/>
                <w:color w:val="auto"/>
                <w:w w:val="91"/>
              </w:rPr>
              <w:t>3.03 to 3.96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0.63</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Dividend rate</w:t>
            </w:r>
          </w:p>
        </w:tc>
        <w:tc>
          <w:tcPr>
            <w:tcW w:w="14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0%</w:t>
            </w:r>
          </w:p>
        </w:tc>
        <w:tc>
          <w:tcPr>
            <w:tcW w:w="16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5.82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0.00 to $6.49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1.40 to $6.76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0.00 to $2.29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3.55 to $4.20</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5.82</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Aggregate shares</w:t>
            </w:r>
          </w:p>
        </w:tc>
        <w:tc>
          <w:tcPr>
            <w:tcW w:w="1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7,500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116,125</w:t>
            </w:r>
          </w:p>
        </w:tc>
        <w:tc>
          <w:tcPr>
            <w:tcW w:w="8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116,125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8,303</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8,303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7,500</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7,500</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568" w:hanging="568"/>
        <w:spacing w:after="0" w:line="259" w:lineRule="auto"/>
        <w:tabs>
          <w:tab w:leader="none" w:pos="568" w:val="left"/>
        </w:tabs>
        <w:numPr>
          <w:ilvl w:val="0"/>
          <w:numId w:val="50"/>
        </w:numPr>
        <w:rPr>
          <w:rFonts w:ascii="Arial" w:cs="Arial" w:eastAsia="Arial" w:hAnsi="Arial"/>
          <w:sz w:val="12"/>
          <w:szCs w:val="12"/>
          <w:color w:val="auto"/>
        </w:rPr>
      </w:pPr>
      <w:r>
        <w:rPr>
          <w:rFonts w:ascii="Arial" w:cs="Arial" w:eastAsia="Arial" w:hAnsi="Arial"/>
          <w:sz w:val="12"/>
          <w:szCs w:val="12"/>
          <w:color w:val="auto"/>
        </w:rPr>
        <w:t>On March 19, 2014, the Board and Dr. Snodgrass agreed to cancel a fully-vested option to purchase 7,500 shares of our restricted common stock at a price of $10.00 per share and expiring on November 4, 2014 in exchange for the grant of a five-year warrant to purchase 7,500 shares of our restricted common stock at a price of $10.00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22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4" w:name="page105"/>
    <w:bookmarkEnd w:id="104"/>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ind w:left="468"/>
        <w:spacing w:after="0"/>
        <w:rPr>
          <w:sz w:val="20"/>
          <w:szCs w:val="20"/>
          <w:color w:val="auto"/>
        </w:rPr>
      </w:pPr>
      <w:r>
        <w:rPr>
          <w:rFonts w:ascii="Arial" w:cs="Arial" w:eastAsia="Arial" w:hAnsi="Arial"/>
          <w:sz w:val="12"/>
          <w:szCs w:val="12"/>
          <w:color w:val="auto"/>
        </w:rPr>
        <w:t>None of the NEOs is entitled to perquisites or other personal benefits which, in the aggregate, are worth over $50,000 or over 10% of their base salary.</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Benefit Plans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401(k) Plan</w:t>
      </w:r>
    </w:p>
    <w:p>
      <w:pPr>
        <w:spacing w:after="0" w:line="150" w:lineRule="exact"/>
        <w:rPr>
          <w:sz w:val="20"/>
          <w:szCs w:val="20"/>
          <w:color w:val="auto"/>
        </w:rPr>
      </w:pPr>
    </w:p>
    <w:p>
      <w:pPr>
        <w:jc w:val="both"/>
        <w:ind w:left="8" w:firstLine="432"/>
        <w:spacing w:after="0" w:line="290" w:lineRule="auto"/>
        <w:rPr>
          <w:sz w:val="20"/>
          <w:szCs w:val="20"/>
          <w:color w:val="auto"/>
        </w:rPr>
      </w:pPr>
      <w:r>
        <w:rPr>
          <w:rFonts w:ascii="Arial" w:cs="Arial" w:eastAsia="Arial" w:hAnsi="Arial"/>
          <w:sz w:val="11"/>
          <w:szCs w:val="11"/>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Options and Warrants Granted to NEOs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following table provides information regarding each unexercised stock option and warrant to purchase restricted shares of our common stock held by each of the named executive officers as of March 31, 2015.</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ind w:left="1520"/>
              <w:spacing w:after="0"/>
              <w:rPr>
                <w:sz w:val="20"/>
                <w:szCs w:val="20"/>
                <w:color w:val="auto"/>
              </w:rPr>
            </w:pPr>
            <w:r>
              <w:rPr>
                <w:rFonts w:ascii="Arial" w:cs="Arial" w:eastAsia="Arial" w:hAnsi="Arial"/>
                <w:sz w:val="12"/>
                <w:szCs w:val="12"/>
                <w:b w:val="1"/>
                <w:bCs w:val="1"/>
                <w:color w:val="auto"/>
              </w:rPr>
              <w:t>Stock Options</w:t>
            </w: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jc w:val="center"/>
              <w:ind w:left="20"/>
              <w:spacing w:after="0" w:line="129" w:lineRule="exact"/>
              <w:rPr>
                <w:sz w:val="20"/>
                <w:szCs w:val="20"/>
                <w:color w:val="auto"/>
              </w:rPr>
            </w:pPr>
            <w:r>
              <w:rPr>
                <w:rFonts w:ascii="Arial" w:cs="Arial" w:eastAsia="Arial" w:hAnsi="Arial"/>
                <w:sz w:val="12"/>
                <w:szCs w:val="12"/>
                <w:b w:val="1"/>
                <w:bCs w:val="1"/>
                <w:color w:val="auto"/>
                <w:w w:val="92"/>
              </w:rPr>
              <w:t>Option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Number of Securities Underlying</w:t>
            </w:r>
          </w:p>
        </w:tc>
        <w:tc>
          <w:tcPr>
            <w:tcW w:w="252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89"/>
              </w:rPr>
              <w:t>Number of Securities</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4"/>
              </w:rPr>
              <w:t>Exercise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Unexercised Options</w:t>
            </w:r>
          </w:p>
        </w:tc>
        <w:tc>
          <w:tcPr>
            <w:tcW w:w="252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0"/>
              </w:rPr>
              <w:t>Underlying Unexercised Options</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8"/>
              </w:rPr>
              <w:t>Price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0" w:type="dxa"/>
            <w:vAlign w:val="bottom"/>
          </w:tcPr>
          <w:p>
            <w:pPr>
              <w:spacing w:after="0"/>
              <w:rPr>
                <w:sz w:val="1"/>
                <w:szCs w:val="1"/>
                <w:color w:val="auto"/>
              </w:rPr>
            </w:pPr>
          </w:p>
        </w:tc>
      </w:tr>
      <w:tr>
        <w:trPr>
          <w:trHeight w:val="157"/>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 Exercisable</w:t>
            </w:r>
          </w:p>
        </w:tc>
        <w:tc>
          <w:tcPr>
            <w:tcW w:w="252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88"/>
              </w:rPr>
              <w:t>(#) Unexercisable</w:t>
            </w:r>
          </w:p>
        </w:tc>
        <w:tc>
          <w:tcPr>
            <w:tcW w:w="92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8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12/21/2016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2,000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14.40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5/17/2017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1,125</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6/17/2019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21,250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4,896</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4/26/2021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4,017</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1,786</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2,500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12/6/2017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7/30/2016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53,250</w:t>
            </w: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18,750</w:t>
            </w:r>
            <w:r>
              <w:rPr>
                <w:rFonts w:ascii="Arial" w:cs="Arial" w:eastAsia="Arial" w:hAnsi="Arial"/>
                <w:sz w:val="8"/>
                <w:szCs w:val="8"/>
                <w:color w:val="auto"/>
              </w:rPr>
              <w:t>(1)</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12.80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2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8"/>
                <w:szCs w:val="8"/>
                <w:color w:val="auto"/>
              </w:rPr>
              <w:t>(3)</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1/11/2020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ind w:left="40"/>
              <w:spacing w:after="0"/>
              <w:rPr>
                <w:sz w:val="20"/>
                <w:szCs w:val="20"/>
                <w:color w:val="auto"/>
              </w:rPr>
            </w:pPr>
            <w:r>
              <w:rPr>
                <w:rFonts w:ascii="Arial" w:cs="Arial" w:eastAsia="Arial" w:hAnsi="Arial"/>
                <w:sz w:val="12"/>
                <w:szCs w:val="12"/>
                <w:b w:val="1"/>
                <w:bCs w:val="1"/>
                <w:color w:val="auto"/>
              </w:rPr>
              <w:t>Total:</w:t>
            </w:r>
          </w:p>
        </w:tc>
        <w:tc>
          <w:tcPr>
            <w:tcW w:w="1860" w:type="dxa"/>
            <w:vAlign w:val="bottom"/>
          </w:tcPr>
          <w:p>
            <w:pPr>
              <w:jc w:val="right"/>
              <w:spacing w:after="0"/>
              <w:rPr>
                <w:sz w:val="20"/>
                <w:szCs w:val="20"/>
                <w:color w:val="auto"/>
              </w:rPr>
            </w:pPr>
            <w:r>
              <w:rPr>
                <w:rFonts w:ascii="Arial" w:cs="Arial" w:eastAsia="Arial" w:hAnsi="Arial"/>
                <w:sz w:val="12"/>
                <w:szCs w:val="12"/>
                <w:color w:val="auto"/>
              </w:rPr>
              <w:t>301,824</w:t>
            </w:r>
          </w:p>
        </w:tc>
        <w:tc>
          <w:tcPr>
            <w:tcW w:w="200" w:type="dxa"/>
            <w:vAlign w:val="bottom"/>
          </w:tcPr>
          <w:p>
            <w:pPr>
              <w:spacing w:after="0"/>
              <w:rPr>
                <w:sz w:val="12"/>
                <w:szCs w:val="12"/>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2"/>
                <w:szCs w:val="12"/>
                <w:color w:val="auto"/>
              </w:rPr>
              <w:t>18,854</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H. Ralph Snodgrass, Ph.D.</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6/17/2014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319</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12/20/2016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12,500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4,896</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37,500</w:t>
            </w: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12,500</w:t>
            </w:r>
            <w:r>
              <w:rPr>
                <w:rFonts w:ascii="Arial" w:cs="Arial" w:eastAsia="Arial" w:hAnsi="Arial"/>
                <w:sz w:val="8"/>
                <w:szCs w:val="8"/>
                <w:color w:val="auto"/>
              </w:rPr>
              <w:t>(1)</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12.80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1,250</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1,250</w:t>
            </w:r>
            <w:r>
              <w:rPr>
                <w:rFonts w:ascii="Arial" w:cs="Arial" w:eastAsia="Arial" w:hAnsi="Arial"/>
                <w:sz w:val="8"/>
                <w:szCs w:val="8"/>
                <w:color w:val="auto"/>
              </w:rPr>
              <w:t>(2)</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3,750</w:t>
            </w: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3,750</w:t>
            </w:r>
            <w:r>
              <w:rPr>
                <w:rFonts w:ascii="Arial" w:cs="Arial" w:eastAsia="Arial" w:hAnsi="Arial"/>
                <w:sz w:val="8"/>
                <w:szCs w:val="8"/>
                <w:color w:val="auto"/>
              </w:rPr>
              <w:t>(2)</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8"/>
                <w:szCs w:val="8"/>
                <w:color w:val="auto"/>
              </w:rPr>
              <w:t>(3)</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1/11/2020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ind w:left="40"/>
              <w:spacing w:after="0"/>
              <w:rPr>
                <w:sz w:val="20"/>
                <w:szCs w:val="20"/>
                <w:color w:val="auto"/>
              </w:rPr>
            </w:pPr>
            <w:r>
              <w:rPr>
                <w:rFonts w:ascii="Arial" w:cs="Arial" w:eastAsia="Arial" w:hAnsi="Arial"/>
                <w:sz w:val="12"/>
                <w:szCs w:val="12"/>
                <w:b w:val="1"/>
                <w:bCs w:val="1"/>
                <w:color w:val="auto"/>
              </w:rPr>
              <w:t>Total:</w:t>
            </w:r>
          </w:p>
        </w:tc>
        <w:tc>
          <w:tcPr>
            <w:tcW w:w="1860" w:type="dxa"/>
            <w:vAlign w:val="bottom"/>
          </w:tcPr>
          <w:p>
            <w:pPr>
              <w:jc w:val="right"/>
              <w:spacing w:after="0"/>
              <w:rPr>
                <w:sz w:val="20"/>
                <w:szCs w:val="20"/>
                <w:color w:val="auto"/>
              </w:rPr>
            </w:pPr>
            <w:r>
              <w:rPr>
                <w:rFonts w:ascii="Arial" w:cs="Arial" w:eastAsia="Arial" w:hAnsi="Arial"/>
                <w:sz w:val="12"/>
                <w:szCs w:val="12"/>
                <w:color w:val="auto"/>
              </w:rPr>
              <w:t>163,965</w:t>
            </w:r>
          </w:p>
        </w:tc>
        <w:tc>
          <w:tcPr>
            <w:tcW w:w="200" w:type="dxa"/>
            <w:vAlign w:val="bottom"/>
          </w:tcPr>
          <w:p>
            <w:pPr>
              <w:spacing w:after="0"/>
              <w:rPr>
                <w:sz w:val="12"/>
                <w:szCs w:val="12"/>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2"/>
                <w:szCs w:val="12"/>
                <w:color w:val="auto"/>
              </w:rPr>
              <w:t>17,604</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80" w:type="dxa"/>
            <w:vAlign w:val="bottom"/>
          </w:tcPr>
          <w:p>
            <w:pPr>
              <w:spacing w:after="0"/>
              <w:rPr>
                <w:sz w:val="20"/>
                <w:szCs w:val="20"/>
                <w:color w:val="auto"/>
              </w:rPr>
            </w:pPr>
            <w:r>
              <w:rPr>
                <w:rFonts w:ascii="Arial" w:cs="Arial" w:eastAsia="Arial" w:hAnsi="Arial"/>
                <w:sz w:val="12"/>
                <w:szCs w:val="12"/>
                <w:color w:val="auto"/>
              </w:rPr>
              <w:t>Jerrold D. Dotson</w:t>
            </w: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5,001</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10/30/2022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708</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292</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10/27/2023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7,500</w:t>
            </w: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2,500</w:t>
            </w:r>
            <w:r>
              <w:rPr>
                <w:rFonts w:ascii="Arial" w:cs="Arial" w:eastAsia="Arial" w:hAnsi="Arial"/>
                <w:sz w:val="8"/>
                <w:szCs w:val="8"/>
                <w:color w:val="auto"/>
              </w:rPr>
              <w:t>(1)</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12.80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2,500</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w:t>
            </w:r>
            <w:r>
              <w:rPr>
                <w:rFonts w:ascii="Arial" w:cs="Arial" w:eastAsia="Arial" w:hAnsi="Arial"/>
                <w:sz w:val="8"/>
                <w:szCs w:val="8"/>
                <w:color w:val="auto"/>
              </w:rPr>
              <w:t>(2)</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50,000</w:t>
            </w:r>
          </w:p>
        </w:tc>
        <w:tc>
          <w:tcPr>
            <w:tcW w:w="200" w:type="dxa"/>
            <w:vAlign w:val="bottom"/>
          </w:tcPr>
          <w:p>
            <w:pPr>
              <w:spacing w:after="0"/>
              <w:rPr>
                <w:sz w:val="12"/>
                <w:szCs w:val="12"/>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8"/>
                <w:szCs w:val="8"/>
                <w:color w:val="auto"/>
              </w:rPr>
              <w:t>(3)</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1/11/2020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65,709</w:t>
            </w:r>
          </w:p>
        </w:tc>
        <w:tc>
          <w:tcPr>
            <w:tcW w:w="2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5,292</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68" w:hanging="568"/>
        <w:spacing w:after="0" w:line="276" w:lineRule="auto"/>
        <w:tabs>
          <w:tab w:leader="none" w:pos="568"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3, 2013 at the market price of our common stock on the grant date. At March 31, 2015, the warrant was exercisable for 75% of the shares and became exercisable for the remaining 25% of the shares on April 1, 2015.</w:t>
      </w:r>
    </w:p>
    <w:p>
      <w:pPr>
        <w:spacing w:after="0" w:line="132" w:lineRule="exact"/>
        <w:rPr>
          <w:rFonts w:ascii="Arial" w:cs="Arial" w:eastAsia="Arial" w:hAnsi="Arial"/>
          <w:sz w:val="12"/>
          <w:szCs w:val="12"/>
          <w:color w:val="auto"/>
        </w:rPr>
      </w:pPr>
    </w:p>
    <w:p>
      <w:pPr>
        <w:jc w:val="both"/>
        <w:ind w:left="568" w:hanging="568"/>
        <w:spacing w:after="0" w:line="298" w:lineRule="auto"/>
        <w:tabs>
          <w:tab w:leader="none" w:pos="568" w:val="left"/>
        </w:tabs>
        <w:numPr>
          <w:ilvl w:val="0"/>
          <w:numId w:val="51"/>
        </w:numPr>
        <w:rPr>
          <w:rFonts w:ascii="Arial" w:cs="Arial" w:eastAsia="Arial" w:hAnsi="Arial"/>
          <w:sz w:val="11"/>
          <w:szCs w:val="11"/>
          <w:color w:val="auto"/>
        </w:rPr>
      </w:pPr>
      <w:r>
        <w:rPr>
          <w:rFonts w:ascii="Arial" w:cs="Arial" w:eastAsia="Arial" w:hAnsi="Arial"/>
          <w:sz w:val="11"/>
          <w:szCs w:val="11"/>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It becomes exercisable for the remaining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105" w:lineRule="exact"/>
        <w:rPr>
          <w:rFonts w:ascii="Arial" w:cs="Arial" w:eastAsia="Arial" w:hAnsi="Arial"/>
          <w:sz w:val="11"/>
          <w:szCs w:val="11"/>
          <w:color w:val="auto"/>
        </w:rPr>
      </w:pPr>
    </w:p>
    <w:p>
      <w:pPr>
        <w:ind w:left="568" w:hanging="568"/>
        <w:spacing w:after="0"/>
        <w:tabs>
          <w:tab w:leader="none" w:pos="568"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as fully-exercisable on January 11, 2015 when the market price of our common stock was $8.00 per share.</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5" w:name="page106"/>
    <w:bookmarkEnd w:id="10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 or Severance Agreements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have employment agreements with Mr. Singh and Dr. Snodgrass.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Singh Agreement</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entered into an employment agreement with Mr. Singh on April 28, 2010. Under the agreement, as amended on May 9, 2011, Mr. Singh’s base salary is $347,500 per year. However, to conserve cash for our operations, Mr. Singh has not received his full base salary in any fiscal year since he entered into his agreement in 2010. In our fiscal year ended March 31, 2015, Mr. Singh received only $82,813 in cash. In our fiscal year ended March 31, 2014, Mr. Singh voluntarily reduced his base salary to $250,000, but only received $125,000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44" w:lineRule="exact"/>
        <w:rPr>
          <w:sz w:val="20"/>
          <w:szCs w:val="20"/>
          <w:color w:val="auto"/>
        </w:rPr>
      </w:pPr>
    </w:p>
    <w:p>
      <w:pPr>
        <w:ind w:left="960" w:hanging="357"/>
        <w:spacing w:after="0"/>
        <w:tabs>
          <w:tab w:leader="none" w:pos="9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pro-rated portion of the incentive cash bonus that the Board of Directors determines in good faith that Mr. Singh earned prior to his termination; and</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such amounts required to reimburse him for Consolidated Omnibus Budget Reconciliation Act (</w:t>
      </w:r>
      <w:r>
        <w:rPr>
          <w:rFonts w:ascii="Arial" w:cs="Arial" w:eastAsia="Arial" w:hAnsi="Arial"/>
          <w:sz w:val="12"/>
          <w:szCs w:val="12"/>
          <w:i w:val="1"/>
          <w:iCs w:val="1"/>
          <w:color w:val="auto"/>
        </w:rPr>
        <w:t>COBRA</w:t>
      </w:r>
      <w:r>
        <w:rPr>
          <w:rFonts w:ascii="Arial" w:cs="Arial" w:eastAsia="Arial" w:hAnsi="Arial"/>
          <w:sz w:val="12"/>
          <w:szCs w:val="12"/>
          <w:color w:val="auto"/>
        </w:rPr>
        <w:t>) payments for continuation of his medical health benefits for such twelve-month period.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addition, in the event Mr. Singh terminates his employment with good reason following a change of control, he is entitled to twelve months of his then-current base salary payable in the form of salary continuation.</w:t>
      </w:r>
    </w:p>
    <w:p>
      <w:pPr>
        <w:spacing w:after="0" w:line="1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2015 and 2014, we had accrued $101,936 as an estimate of the gross-up amount. However, as a result of Mr. Singh’s forbearance, we have not yet paid such amount to Mr. Singh to conserve capital for our operations. See Note 14 to our audited Consolidated Financial Statements for the fiscal years Ended March 31, 2015 and 2014, which are included in this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Snodgrass Agreement</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entered into an employment agreement with Dr. Snodgrass on April 28, 2010. Under the agreement, as amended on May 9, 2011, Dr. Snodgrass’s base salary is $305,000 per year. However, to conserve cash for our operations, Dr. Snodgrass has not received his full base salary in any year since he entered into his agreement in 2010. In our fiscal year ended March 31, 2015, Dr. Snodgrass received only $157,292 in cash. In our fiscal year ended March 31, 2014, Dr. Snodgrass voluntarily reduced his annual salary to $250,000, but received only $149,606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144" w:lineRule="exact"/>
        <w:rPr>
          <w:sz w:val="20"/>
          <w:szCs w:val="20"/>
          <w:color w:val="auto"/>
        </w:rPr>
      </w:pPr>
    </w:p>
    <w:p>
      <w:pPr>
        <w:ind w:left="960" w:hanging="357"/>
        <w:spacing w:after="0"/>
        <w:tabs>
          <w:tab w:leader="none" w:pos="9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 pro-rated portion of the incentive bonus that the Board of Directors determines in good faith that Dr. Snodgrass earned prior to his termination; and</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such amounts required to reimburse him for COBRA payments for continuation of his medical health benefits for such twelve-month period.</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in the event Dr. Snodgrass terminates his employment with good reason, he is entitled to twelve months of his then-current base salary payable in the form of salary continuation.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of Control Provisions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123" w:lineRule="exact"/>
        <w:rPr>
          <w:sz w:val="20"/>
          <w:szCs w:val="20"/>
          <w:color w:val="auto"/>
        </w:rPr>
      </w:pPr>
    </w:p>
    <w:p>
      <w:pPr>
        <w:ind w:left="960" w:hanging="357"/>
        <w:spacing w:after="0"/>
        <w:tabs>
          <w:tab w:leader="none" w:pos="9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material reduction in the executive’s responsibility; or</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material reduction in the executive’s base salary except for reductions that are comparable to reductions generally applicable to similarly situated executives of VistaGen.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6" w:name="page107"/>
    <w:bookmarkEnd w:id="10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4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 COMPENSATION</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cash retainer.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did not pay our independent directors any cash compensation during our fiscal year ended March 31, 2015.</w:t>
      </w:r>
    </w:p>
    <w:p>
      <w:pPr>
        <w:spacing w:after="0" w:line="1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our director compensation policy, each independent director will also receive an annual grant of an option or warrant to purchase a minimum of 1,250 shares of our common stock, which will vest monthly over a one-year period from the date of grant. In January 2015, we granted fully-vested warrants to purchase 20,000 shares of our restricted stock at an exercise price of $10.00 per share to each of our independent directors. We expect to make future grants on the same date as our annual meeting. Prorated grants will be made for partial years of service.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a summary of the compensation earned by our non-employee directors in our fiscal year ended March 31,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Fees Earned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0"/>
              <w:spacing w:after="0"/>
              <w:rPr>
                <w:sz w:val="20"/>
                <w:szCs w:val="20"/>
                <w:color w:val="auto"/>
              </w:rPr>
            </w:pPr>
            <w:r>
              <w:rPr>
                <w:rFonts w:ascii="Arial" w:cs="Arial" w:eastAsia="Arial" w:hAnsi="Arial"/>
                <w:sz w:val="12"/>
                <w:szCs w:val="12"/>
                <w:b w:val="1"/>
                <w:bCs w:val="1"/>
                <w:color w:val="auto"/>
                <w:w w:val="94"/>
              </w:rPr>
              <w:t>Option and Warrant</w:t>
            </w:r>
          </w:p>
        </w:tc>
        <w:tc>
          <w:tcPr>
            <w:tcW w:w="10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80"/>
              <w:spacing w:after="0"/>
              <w:rPr>
                <w:sz w:val="20"/>
                <w:szCs w:val="20"/>
                <w:color w:val="auto"/>
              </w:rPr>
            </w:pPr>
            <w:r>
              <w:rPr>
                <w:rFonts w:ascii="Arial" w:cs="Arial" w:eastAsia="Arial" w:hAnsi="Arial"/>
                <w:sz w:val="12"/>
                <w:szCs w:val="12"/>
                <w:b w:val="1"/>
                <w:bCs w:val="1"/>
                <w:color w:val="auto"/>
                <w:w w:val="91"/>
              </w:rPr>
              <w:t>Paid in Cash (1)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80"/>
              <w:spacing w:after="0"/>
              <w:rPr>
                <w:sz w:val="20"/>
                <w:szCs w:val="20"/>
                <w:color w:val="auto"/>
              </w:rPr>
            </w:pPr>
            <w:r>
              <w:rPr>
                <w:rFonts w:ascii="Arial" w:cs="Arial" w:eastAsia="Arial" w:hAnsi="Arial"/>
                <w:sz w:val="12"/>
                <w:szCs w:val="12"/>
                <w:b w:val="1"/>
                <w:bCs w:val="1"/>
                <w:color w:val="auto"/>
                <w:w w:val="91"/>
              </w:rPr>
              <w:t>Awards (2)</w:t>
            </w:r>
          </w:p>
        </w:tc>
        <w:tc>
          <w:tcPr>
            <w:tcW w:w="10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88"/>
              </w:rPr>
              <w:t>Compensation</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35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0"/>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60"/>
              <w:spacing w:after="0"/>
              <w:rPr>
                <w:sz w:val="20"/>
                <w:szCs w:val="20"/>
                <w:color w:val="auto"/>
              </w:rPr>
            </w:pPr>
            <w:r>
              <w:rPr>
                <w:rFonts w:ascii="Arial" w:cs="Arial" w:eastAsia="Arial" w:hAnsi="Arial"/>
                <w:sz w:val="12"/>
                <w:szCs w:val="12"/>
                <w:b w:val="1"/>
                <w:bCs w:val="1"/>
                <w:color w:val="auto"/>
                <w:w w:val="95"/>
              </w:rPr>
              <w:t>($)</w:t>
            </w:r>
          </w:p>
        </w:tc>
        <w:tc>
          <w:tcPr>
            <w:tcW w:w="1340" w:type="dxa"/>
            <w:vAlign w:val="bottom"/>
            <w:gridSpan w:val="2"/>
          </w:tcPr>
          <w:p>
            <w:pPr>
              <w:jc w:val="center"/>
              <w:ind w:left="60"/>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50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Jon S. Saxe (3)</w:t>
            </w:r>
          </w:p>
        </w:tc>
        <w:tc>
          <w:tcPr>
            <w:tcW w:w="2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91,734(5)</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146,734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Brian J. Underdown, Ph.D. (4)</w:t>
            </w:r>
          </w:p>
        </w:tc>
        <w:tc>
          <w:tcPr>
            <w:tcW w:w="2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57,500</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91,734(5)</w:t>
            </w:r>
          </w:p>
        </w:tc>
        <w:tc>
          <w:tcPr>
            <w:tcW w:w="13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149,234</w:t>
            </w: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540" w:type="dxa"/>
            <w:vAlign w:val="bottom"/>
          </w:tcPr>
          <w:p>
            <w:pPr>
              <w:jc w:val="right"/>
              <w:ind w:right="160"/>
              <w:spacing w:after="0"/>
              <w:rPr>
                <w:sz w:val="20"/>
                <w:szCs w:val="20"/>
                <w:color w:val="auto"/>
              </w:rPr>
            </w:pPr>
            <w:r>
              <w:rPr>
                <w:rFonts w:ascii="Arial" w:cs="Arial" w:eastAsia="Arial" w:hAnsi="Arial"/>
                <w:sz w:val="12"/>
                <w:szCs w:val="12"/>
                <w:color w:val="auto"/>
              </w:rPr>
              <w:t>-103-</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25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1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7" w:name="page108"/>
    <w:bookmarkEnd w:id="107"/>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568" w:right="20" w:hanging="568"/>
        <w:spacing w:after="0" w:line="276" w:lineRule="auto"/>
        <w:tabs>
          <w:tab w:leader="none" w:pos="5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amounts shown represent fees earned for service on our Board of Directors, and Audit Committee, Compensation Committee and Corporate Governance and Nominating Committee during the fiscal year ended March 31, 2015 which we have accrued but have not paid to the director during that period or through the date of this prospectus.</w:t>
      </w:r>
    </w:p>
    <w:p>
      <w:pPr>
        <w:spacing w:after="0" w:line="114" w:lineRule="exact"/>
        <w:rPr>
          <w:rFonts w:ascii="Arial" w:cs="Arial" w:eastAsia="Arial" w:hAnsi="Arial"/>
          <w:sz w:val="12"/>
          <w:szCs w:val="12"/>
          <w:color w:val="auto"/>
        </w:rPr>
      </w:pPr>
    </w:p>
    <w:p>
      <w:pPr>
        <w:jc w:val="both"/>
        <w:ind w:left="568" w:hanging="568"/>
        <w:spacing w:after="0" w:line="257" w:lineRule="auto"/>
        <w:tabs>
          <w:tab w:leader="none" w:pos="5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amounts in this column represent the aggregate grant date fair value of warrants to purchase restricted shares of our common stock awarded to Mr. Saxe and Dr. Underdown occurring during the fiscal year ended March 31, 2015, computed in accordance with the Financial Accounting Standards Board’s Accounting Standards Codification Topic 718, Compensation – Stock Compensation ("</w:t>
      </w:r>
      <w:r>
        <w:rPr>
          <w:rFonts w:ascii="Arial" w:cs="Arial" w:eastAsia="Arial" w:hAnsi="Arial"/>
          <w:sz w:val="12"/>
          <w:szCs w:val="12"/>
          <w:i w:val="1"/>
          <w:iCs w:val="1"/>
          <w:color w:val="auto"/>
        </w:rPr>
        <w:t>ASC 718</w:t>
      </w:r>
      <w:r>
        <w:rPr>
          <w:rFonts w:ascii="Arial" w:cs="Arial" w:eastAsia="Arial" w:hAnsi="Arial"/>
          <w:sz w:val="12"/>
          <w:szCs w:val="12"/>
          <w:color w:val="auto"/>
        </w:rPr>
        <w:t>”). The amounts in this column do not represent any cash payment actually received by Mr. Saxe or Dr. Underdown with respect to any of such warrants to purchase restricted shares of our common stock awarded to them during the fiscal year ended March 31, 2015. To date, Mr. Saxe and Dr. Underdown have not exercised such warrants to purchase common stock, and there can be no assurance that either of them will ever realize any of the ASC 718 grant date fair value amounts presented in the Option and Warrant Awards column.</w:t>
      </w:r>
    </w:p>
    <w:p>
      <w:pPr>
        <w:spacing w:after="0" w:line="125" w:lineRule="exact"/>
        <w:rPr>
          <w:rFonts w:ascii="Arial" w:cs="Arial" w:eastAsia="Arial" w:hAnsi="Arial"/>
          <w:sz w:val="12"/>
          <w:szCs w:val="12"/>
          <w:color w:val="auto"/>
        </w:rPr>
      </w:pPr>
    </w:p>
    <w:p>
      <w:pPr>
        <w:jc w:val="both"/>
        <w:ind w:left="568" w:hanging="568"/>
        <w:spacing w:after="0" w:line="298" w:lineRule="auto"/>
        <w:tabs>
          <w:tab w:leader="none" w:pos="568" w:val="left"/>
        </w:tabs>
        <w:numPr>
          <w:ilvl w:val="0"/>
          <w:numId w:val="55"/>
        </w:numPr>
        <w:rPr>
          <w:rFonts w:ascii="Arial" w:cs="Arial" w:eastAsia="Arial" w:hAnsi="Arial"/>
          <w:sz w:val="11"/>
          <w:szCs w:val="11"/>
          <w:color w:val="auto"/>
        </w:rPr>
      </w:pPr>
      <w:r>
        <w:rPr>
          <w:rFonts w:ascii="Arial" w:cs="Arial" w:eastAsia="Arial" w:hAnsi="Arial"/>
          <w:sz w:val="11"/>
          <w:szCs w:val="11"/>
          <w:color w:val="auto"/>
        </w:rPr>
        <w:t>Mr. Saxe has served as the Chairman of our Board of Directors, the Chairman of our Audit Committee and a member of our Compensation Committee and Corporate Governance and Nominating Committee throughout our fiscal year ended March 31, 2015. At March 31, 2015, Mr. Saxe holds: (i) 1,875 restricted shares of our common stock; (ii) options to purchase 12,500 restricted shares of our common stock, of which options to purchase 12,448 restricted shares are vested; and (iii) warrants to purchase 33,250 restricted shares of our common stock, of which 29,750 are exercisable and of which an additional 2,687 shares became exercisable on April 1, 2015.</w:t>
      </w:r>
    </w:p>
    <w:p>
      <w:pPr>
        <w:spacing w:after="0" w:line="105" w:lineRule="exact"/>
        <w:rPr>
          <w:rFonts w:ascii="Arial" w:cs="Arial" w:eastAsia="Arial" w:hAnsi="Arial"/>
          <w:sz w:val="11"/>
          <w:szCs w:val="11"/>
          <w:color w:val="auto"/>
        </w:rPr>
      </w:pPr>
    </w:p>
    <w:p>
      <w:pPr>
        <w:jc w:val="both"/>
        <w:ind w:left="568" w:hanging="568"/>
        <w:spacing w:after="0" w:line="298" w:lineRule="auto"/>
        <w:tabs>
          <w:tab w:leader="none" w:pos="568" w:val="left"/>
        </w:tabs>
        <w:numPr>
          <w:ilvl w:val="0"/>
          <w:numId w:val="55"/>
        </w:numPr>
        <w:rPr>
          <w:rFonts w:ascii="Arial" w:cs="Arial" w:eastAsia="Arial" w:hAnsi="Arial"/>
          <w:sz w:val="11"/>
          <w:szCs w:val="11"/>
          <w:color w:val="auto"/>
        </w:rPr>
      </w:pPr>
      <w:r>
        <w:rPr>
          <w:rFonts w:ascii="Arial" w:cs="Arial" w:eastAsia="Arial" w:hAnsi="Arial"/>
          <w:sz w:val="11"/>
          <w:szCs w:val="11"/>
          <w:color w:val="auto"/>
        </w:rPr>
        <w:t>Dr. Underdown has served as a member of our Board of Directors, as the Chairman of our Compensation Committee and Corporate Governance and Nominating Committee and as a member of our Audit Committee throughout our fiscal year ended March 31, 2015. At March 31, 2015, Dr. Underdown holds: (i) options to purchase 9,250 restricted shares of our common stock, of which options to purchase 9,198 restricted shares are vested; and (ii) warrants to purchase 32,500 restricted shares of our common stock, of which 29,375 are exercisable and of which an additional 2,500 shares became exercisable on April 1, 2015.</w:t>
      </w:r>
    </w:p>
    <w:p>
      <w:pPr>
        <w:spacing w:after="0" w:line="105" w:lineRule="exact"/>
        <w:rPr>
          <w:rFonts w:ascii="Arial" w:cs="Arial" w:eastAsia="Arial" w:hAnsi="Arial"/>
          <w:sz w:val="11"/>
          <w:szCs w:val="11"/>
          <w:color w:val="auto"/>
        </w:rPr>
      </w:pPr>
    </w:p>
    <w:p>
      <w:pPr>
        <w:ind w:left="568" w:hanging="568"/>
        <w:spacing w:after="0" w:line="276" w:lineRule="auto"/>
        <w:tabs>
          <w:tab w:leader="none" w:pos="5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table below provides information regarding the warrant awards we granted to Mr. Saxe and Dr. Underdown during fiscal 2015 and the assumptions used in the Black Scholes Option Pricing Model to determine the grant date fair values of the awards as reported in the table above.</w:t>
      </w:r>
    </w:p>
    <w:p>
      <w:pPr>
        <w:spacing w:after="0" w:line="142" w:lineRule="exact"/>
        <w:rPr>
          <w:sz w:val="20"/>
          <w:szCs w:val="20"/>
          <w:color w:val="auto"/>
        </w:rPr>
      </w:pPr>
    </w:p>
    <w:tbl>
      <w:tblPr>
        <w:tblLayout w:type="fixed"/>
        <w:tblInd w:w="1148" w:type="dxa"/>
        <w:tblCellMar>
          <w:top w:w="0" w:type="dxa"/>
          <w:left w:w="0" w:type="dxa"/>
          <w:bottom w:w="0" w:type="dxa"/>
          <w:right w:w="0" w:type="dxa"/>
        </w:tblCellMar>
      </w:tblP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4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8.00</w:t>
            </w: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44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10.00</w:t>
            </w: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4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w:t>
            </w: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Volatility</w:t>
            </w:r>
          </w:p>
        </w:tc>
        <w:tc>
          <w:tcPr>
            <w:tcW w:w="4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75.86%</w:t>
            </w: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44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5.00</w:t>
            </w: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Dividend rate</w:t>
            </w:r>
          </w:p>
        </w:tc>
        <w:tc>
          <w:tcPr>
            <w:tcW w:w="4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144"/>
        </w:trPr>
        <w:tc>
          <w:tcPr>
            <w:tcW w:w="518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Fair value per share</w:t>
            </w:r>
          </w:p>
        </w:tc>
        <w:tc>
          <w:tcPr>
            <w:tcW w:w="44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4.59</w:t>
            </w:r>
          </w:p>
        </w:tc>
      </w:tr>
      <w:tr>
        <w:trPr>
          <w:trHeight w:val="144"/>
        </w:trPr>
        <w:tc>
          <w:tcPr>
            <w:tcW w:w="518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3"/>
        </w:trPr>
        <w:tc>
          <w:tcPr>
            <w:tcW w:w="5180" w:type="dxa"/>
            <w:vAlign w:val="bottom"/>
          </w:tcPr>
          <w:p>
            <w:pPr>
              <w:spacing w:after="0"/>
              <w:rPr>
                <w:sz w:val="20"/>
                <w:szCs w:val="20"/>
                <w:color w:val="auto"/>
              </w:rPr>
            </w:pPr>
            <w:r>
              <w:rPr>
                <w:rFonts w:ascii="Arial" w:cs="Arial" w:eastAsia="Arial" w:hAnsi="Arial"/>
                <w:sz w:val="12"/>
                <w:szCs w:val="12"/>
                <w:color w:val="auto"/>
              </w:rPr>
              <w:t>Aggregate shares</w:t>
            </w:r>
          </w:p>
        </w:tc>
        <w:tc>
          <w:tcPr>
            <w:tcW w:w="440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40,000</w:t>
            </w:r>
          </w:p>
        </w:tc>
      </w:tr>
    </w:tbl>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Director Independence</w:t>
      </w:r>
    </w:p>
    <w:p>
      <w:pPr>
        <w:spacing w:after="0" w:line="15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23"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14"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8" w:name="page109"/>
    <w:bookmarkEnd w:id="108"/>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CERTAIN RELATIONSHIPS AND RELATED TRANSACTIONS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Sales of Securities to Cato Holding Company</w:t>
      </w:r>
    </w:p>
    <w:p>
      <w:pPr>
        <w:spacing w:after="0" w:line="168"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Cato Holding Company (</w:t>
      </w:r>
      <w:r>
        <w:rPr>
          <w:rFonts w:ascii="Arial" w:cs="Arial" w:eastAsia="Arial" w:hAnsi="Arial"/>
          <w:sz w:val="11"/>
          <w:szCs w:val="11"/>
          <w:i w:val="1"/>
          <w:iCs w:val="1"/>
          <w:color w:val="auto"/>
        </w:rPr>
        <w:t>CHC</w:t>
      </w:r>
      <w:r>
        <w:rPr>
          <w:rFonts w:ascii="Arial" w:cs="Arial" w:eastAsia="Arial" w:hAnsi="Arial"/>
          <w:sz w:val="11"/>
          <w:szCs w:val="11"/>
          <w:color w:val="auto"/>
        </w:rPr>
        <w:t>), doing business as Cato BioVentures (</w:t>
      </w:r>
      <w:r>
        <w:rPr>
          <w:rFonts w:ascii="Arial" w:cs="Arial" w:eastAsia="Arial" w:hAnsi="Arial"/>
          <w:sz w:val="11"/>
          <w:szCs w:val="11"/>
          <w:i w:val="1"/>
          <w:iCs w:val="1"/>
          <w:color w:val="auto"/>
        </w:rPr>
        <w:t>CBV</w:t>
      </w:r>
      <w:r>
        <w:rPr>
          <w:rFonts w:ascii="Arial" w:cs="Arial" w:eastAsia="Arial" w:hAnsi="Arial"/>
          <w:sz w:val="11"/>
          <w:szCs w:val="11"/>
          <w:color w:val="auto"/>
        </w:rPr>
        <w:t>), the parent of Cato Research Ltd. (</w:t>
      </w:r>
      <w:r>
        <w:rPr>
          <w:rFonts w:ascii="Arial" w:cs="Arial" w:eastAsia="Arial" w:hAnsi="Arial"/>
          <w:sz w:val="11"/>
          <w:szCs w:val="11"/>
          <w:i w:val="1"/>
          <w:iCs w:val="1"/>
          <w:color w:val="auto"/>
        </w:rPr>
        <w:t>CRL)</w:t>
      </w:r>
      <w:r>
        <w:rPr>
          <w:rFonts w:ascii="Arial" w:cs="Arial" w:eastAsia="Arial" w:hAnsi="Arial"/>
          <w:sz w:val="11"/>
          <w:szCs w:val="11"/>
          <w:color w:val="auto"/>
        </w:rPr>
        <w:t xml:space="preserve">,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$310,443 (the </w:t>
      </w:r>
      <w:r>
        <w:rPr>
          <w:rFonts w:ascii="Arial" w:cs="Arial" w:eastAsia="Arial" w:hAnsi="Arial"/>
          <w:sz w:val="11"/>
          <w:szCs w:val="11"/>
          <w:i w:val="1"/>
          <w:iCs w:val="1"/>
          <w:color w:val="auto"/>
        </w:rPr>
        <w:t>2012 CHC Note</w:t>
      </w:r>
      <w:r>
        <w:rPr>
          <w:rFonts w:ascii="Arial" w:cs="Arial" w:eastAsia="Arial" w:hAnsi="Arial"/>
          <w:sz w:val="11"/>
          <w:szCs w:val="11"/>
          <w:color w:val="auto"/>
        </w:rPr>
        <w:t xml:space="preserve">) and a five-year warrant to purchase 12,500 restricted shares of the Company’s common stock at a price of $30.00 per share (the </w:t>
      </w:r>
      <w:r>
        <w:rPr>
          <w:rFonts w:ascii="Arial" w:cs="Arial" w:eastAsia="Arial" w:hAnsi="Arial"/>
          <w:sz w:val="11"/>
          <w:szCs w:val="11"/>
          <w:i w:val="1"/>
          <w:iCs w:val="1"/>
          <w:color w:val="auto"/>
        </w:rPr>
        <w:t>CHC</w:t>
      </w:r>
      <w:r>
        <w:rPr>
          <w:rFonts w:ascii="Arial" w:cs="Arial" w:eastAsia="Arial" w:hAnsi="Arial"/>
          <w:sz w:val="11"/>
          <w:szCs w:val="11"/>
          <w:color w:val="auto"/>
        </w:rPr>
        <w:t xml:space="preserve"> </w:t>
      </w:r>
      <w:r>
        <w:rPr>
          <w:rFonts w:ascii="Arial" w:cs="Arial" w:eastAsia="Arial" w:hAnsi="Arial"/>
          <w:sz w:val="11"/>
          <w:szCs w:val="11"/>
          <w:i w:val="1"/>
          <w:iCs w:val="1"/>
          <w:color w:val="auto"/>
        </w:rPr>
        <w:t>Warrant</w:t>
      </w:r>
      <w:r>
        <w:rPr>
          <w:rFonts w:ascii="Arial" w:cs="Arial" w:eastAsia="Arial" w:hAnsi="Arial"/>
          <w:sz w:val="11"/>
          <w:szCs w:val="11"/>
          <w:color w:val="auto"/>
        </w:rPr>
        <w:t>). Additionally, on October 10, 2012, we issued to CRL: (i) an unsecured promissory note in the initial principal amount of $1,009,000, which is payable solely in restricted shares of our common stock and which accrues interest at</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 Total interest expense on notes payable to CHC and CRL was $174,800 and $167,900 for the fiscal years ended March 31, 2015 and 2014, respectively.</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Contract Research and Development Agreement with Cato Research Ltd.</w:t>
      </w:r>
    </w:p>
    <w:p>
      <w:pPr>
        <w:spacing w:after="0" w:line="168"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During fiscal year 2007, we entered into a contract research organization arrangement with CRL related to the development of AV-101, under which we incurred expenses of $38,100 and $52,500 for the fiscal years ended March 31, 2015 and 2014, respectively.</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Note Receivable from Shawn K. Singh, JD and Advances to us by Mr. Singh</w:t>
      </w:r>
    </w:p>
    <w:p>
      <w:pPr>
        <w:spacing w:after="0" w:line="168"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w:t>
      </w:r>
    </w:p>
    <w:p>
      <w:pPr>
        <w:spacing w:after="0" w:line="1" w:lineRule="exact"/>
        <w:rPr>
          <w:sz w:val="20"/>
          <w:szCs w:val="20"/>
          <w:color w:val="auto"/>
        </w:rPr>
      </w:pPr>
    </w:p>
    <w:p>
      <w:pPr>
        <w:jc w:val="both"/>
        <w:ind w:left="8" w:hanging="8"/>
        <w:spacing w:after="0" w:line="254" w:lineRule="auto"/>
        <w:tabs>
          <w:tab w:leader="none" w:pos="195" w:val="left"/>
        </w:tabs>
        <w:numPr>
          <w:ilvl w:val="0"/>
          <w:numId w:val="56"/>
        </w:numPr>
        <w:rPr>
          <w:rFonts w:ascii="Arial" w:cs="Arial" w:eastAsia="Arial" w:hAnsi="Arial"/>
          <w:sz w:val="12"/>
          <w:szCs w:val="12"/>
          <w:color w:val="auto"/>
        </w:rPr>
      </w:pPr>
      <w:r>
        <w:rPr>
          <w:rFonts w:ascii="Arial" w:cs="Arial" w:eastAsia="Arial" w:hAnsi="Arial"/>
          <w:sz w:val="12"/>
          <w:szCs w:val="12"/>
          <w:color w:val="auto"/>
        </w:rPr>
        <w:t>ten days prior to our becoming subject to the requirements of the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 As a result of Mr. Singh’s forbearance, it remains unpaid through the date of this prospectus.</w:t>
      </w:r>
    </w:p>
    <w:p>
      <w:pPr>
        <w:spacing w:after="0" w:line="146"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have completely repaid the remaining balance of the advances and the $50,000 promissory note issued in connection with his investment in the 2013 Unit Private Placement to Mr. Singh.</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9" w:name="page110"/>
    <w:bookmarkEnd w:id="109"/>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3368"/>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sets forth certain information with respect to the beneficial ownership of our common stock as of August 24, 2015 for:</w:t>
      </w:r>
    </w:p>
    <w:p>
      <w:pPr>
        <w:spacing w:after="0" w:line="150" w:lineRule="exact"/>
        <w:rPr>
          <w:sz w:val="20"/>
          <w:szCs w:val="20"/>
          <w:color w:val="auto"/>
        </w:rPr>
      </w:pPr>
    </w:p>
    <w:p>
      <w:pPr>
        <w:ind w:left="908" w:hanging="468"/>
        <w:spacing w:after="0"/>
        <w:tabs>
          <w:tab w:leader="none" w:pos="90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each stockholder known by us to be the beneficial owner of more than 5% of our common stock;</w:t>
      </w:r>
    </w:p>
    <w:p>
      <w:pPr>
        <w:spacing w:after="0" w:line="14" w:lineRule="exact"/>
        <w:rPr>
          <w:rFonts w:ascii="Arial" w:cs="Arial" w:eastAsia="Arial" w:hAnsi="Arial"/>
          <w:sz w:val="12"/>
          <w:szCs w:val="12"/>
          <w:color w:val="auto"/>
        </w:rPr>
      </w:pPr>
    </w:p>
    <w:p>
      <w:pPr>
        <w:ind w:left="908" w:hanging="468"/>
        <w:spacing w:after="0"/>
        <w:tabs>
          <w:tab w:leader="none" w:pos="90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6" w:lineRule="exact"/>
        <w:rPr>
          <w:rFonts w:ascii="Arial" w:cs="Arial" w:eastAsia="Arial" w:hAnsi="Arial"/>
          <w:sz w:val="12"/>
          <w:szCs w:val="12"/>
          <w:color w:val="auto"/>
        </w:rPr>
      </w:pPr>
    </w:p>
    <w:p>
      <w:pPr>
        <w:ind w:left="908" w:hanging="468"/>
        <w:spacing w:after="0"/>
        <w:tabs>
          <w:tab w:leader="none" w:pos="90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each of our named executive officers; and</w:t>
      </w:r>
    </w:p>
    <w:p>
      <w:pPr>
        <w:spacing w:after="0" w:line="6" w:lineRule="exact"/>
        <w:rPr>
          <w:rFonts w:ascii="Arial" w:cs="Arial" w:eastAsia="Arial" w:hAnsi="Arial"/>
          <w:sz w:val="12"/>
          <w:szCs w:val="12"/>
          <w:color w:val="auto"/>
        </w:rPr>
      </w:pPr>
    </w:p>
    <w:p>
      <w:pPr>
        <w:ind w:left="908" w:hanging="468"/>
        <w:spacing w:after="0"/>
        <w:tabs>
          <w:tab w:leader="none" w:pos="908" w:val="left"/>
        </w:tabs>
        <w:numPr>
          <w:ilvl w:val="0"/>
          <w:numId w:val="57"/>
        </w:numPr>
        <w:rPr>
          <w:rFonts w:ascii="Arial" w:cs="Arial" w:eastAsia="Arial" w:hAnsi="Arial"/>
          <w:sz w:val="12"/>
          <w:szCs w:val="12"/>
          <w:color w:val="auto"/>
        </w:rPr>
      </w:pPr>
      <w:r>
        <w:rPr>
          <w:rFonts w:ascii="Arial" w:cs="Arial" w:eastAsia="Arial" w:hAnsi="Arial"/>
          <w:sz w:val="12"/>
          <w:szCs w:val="12"/>
          <w:color w:val="auto"/>
        </w:rPr>
        <w:t>all of our directors and executive officers as a group.</w:t>
      </w:r>
    </w:p>
    <w:p>
      <w:pPr>
        <w:spacing w:after="0" w:line="159"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Applicable percentage ownership is based on 1,594,461 shares of capital stock outstanding at August 24, 2015.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August 24, 2015.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August 24, 2015. Unless otherwise noted below, the address of each beneficial owner listed in the table is c/o VistaGen Therapeutics, Inc., 343 Allerton Avenue, South San Francisco, California 94080.</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Percent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Number of shares</w:t>
            </w: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of shares beneficially</w:t>
            </w:r>
          </w:p>
        </w:tc>
        <w:tc>
          <w:tcPr>
            <w:tcW w:w="0" w:type="dxa"/>
            <w:vAlign w:val="bottom"/>
          </w:tcPr>
          <w:p>
            <w:pPr>
              <w:spacing w:after="0"/>
              <w:rPr>
                <w:sz w:val="1"/>
                <w:szCs w:val="1"/>
                <w:color w:val="auto"/>
              </w:rPr>
            </w:pPr>
          </w:p>
        </w:tc>
      </w:t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13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beneficially owned</w:t>
            </w: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owned (1)</w:t>
            </w:r>
          </w:p>
        </w:tc>
        <w:tc>
          <w:tcPr>
            <w:tcW w:w="0" w:type="dxa"/>
            <w:vAlign w:val="bottom"/>
          </w:tcPr>
          <w:p>
            <w:pPr>
              <w:spacing w:after="0"/>
              <w:rPr>
                <w:sz w:val="1"/>
                <w:szCs w:val="1"/>
                <w:color w:val="auto"/>
              </w:rPr>
            </w:pPr>
          </w:p>
        </w:tc>
      </w:tr>
      <w:tr>
        <w:trPr>
          <w:trHeight w:val="142"/>
        </w:trPr>
        <w:tc>
          <w:tcPr>
            <w:tcW w:w="8720" w:type="dxa"/>
            <w:vAlign w:val="bottom"/>
            <w:gridSpan w:val="2"/>
          </w:tcPr>
          <w:p>
            <w:pPr>
              <w:spacing w:after="0"/>
              <w:rPr>
                <w:sz w:val="20"/>
                <w:szCs w:val="20"/>
                <w:color w:val="auto"/>
              </w:rPr>
            </w:pPr>
            <w:r>
              <w:rPr>
                <w:rFonts w:ascii="Arial" w:cs="Arial" w:eastAsia="Arial" w:hAnsi="Arial"/>
                <w:sz w:val="12"/>
                <w:szCs w:val="12"/>
                <w:i w:val="1"/>
                <w:iCs w:val="1"/>
                <w:color w:val="auto"/>
              </w:rPr>
              <w:t>Executive officers and directors:</w:t>
            </w: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 (2)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341,287</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H. Ralph Snodgrass, PhD (3)</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239,293</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13.49%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 (4)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70,385</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Jon S. Saxe (5)</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46,563</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Brian J. Underdown, PhD (6)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41,125</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5% Stockholders: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Morrison &amp; Foerster LLP (7)</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377,591</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19.24%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Cato BioVentures (8)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238,734</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Platinum Long Term Growth Fund VII/Montsant Partners, LLC (9)</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164,164</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9.99%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Michael Goldberg (10)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172,894</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Lincoln Park Capital Fund LLC (11)</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153,053</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8.97%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University Health Network (12)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150,678</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Brio Capital Master Fund (13)</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126,094</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7.49%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Calm Seas Capital LLC (14)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126,330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David M. Young (15)</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117,507</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7.04%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 Capital Partners LLC (16)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119,772</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MBF Sierra Ventures LLC (17)</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100,000</w:t>
            </w: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5.90 %</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All executive officers and directors as a group (5 persons) (18)</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738,654</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32.82%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748" w:hanging="748"/>
        <w:spacing w:after="0"/>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Assumes 1,594,461 shares of common stock are issued and outstanding as of August 24, 2015.</w:t>
      </w:r>
    </w:p>
    <w:p>
      <w:pPr>
        <w:spacing w:after="0" w:line="150"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options to purchase 85,375 restricted shares of common stock exercisable within 60 days of August 24, 2015 and warrants to purchase 235,303 restricted shares of common stock exercisable within 60 days of August 24, 2015.</w:t>
      </w:r>
    </w:p>
    <w:p>
      <w:pPr>
        <w:spacing w:after="0" w:line="114"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options to purchase 21,569 restricted shares of common stock exercisable within 60 days of August 24, 2015 and warrants to purchase 157,500 restricted shares of common stock exercisable within 60 days of August 24, 2015.</w:t>
      </w:r>
    </w:p>
    <w:p>
      <w:pPr>
        <w:spacing w:after="0" w:line="114"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options to purchase 6,635 restricted shares of common stock exercisable within 60 days of August 24, 2015, including options to purchase 676 shares of common stock held by Mr. Dotson’s wife, and warrants to purchase 63,750 restricted shares of common stock exercisable within 60 days of August 24, 2015.</w:t>
      </w:r>
    </w:p>
    <w:p>
      <w:pPr>
        <w:spacing w:after="0" w:line="114"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options to purchase 12,250 restricted shares of common stock exercisable within 60 days of August 24, 2015 and warrants to purchase 32,438 restricted shares of common stock exercisable within 60 days of August 24, 2015.</w:t>
      </w:r>
    </w:p>
    <w:p>
      <w:pPr>
        <w:spacing w:after="0" w:line="114" w:lineRule="exact"/>
        <w:rPr>
          <w:rFonts w:ascii="Arial" w:cs="Arial" w:eastAsia="Arial" w:hAnsi="Arial"/>
          <w:sz w:val="12"/>
          <w:szCs w:val="12"/>
          <w:color w:val="auto"/>
        </w:rPr>
      </w:pPr>
    </w:p>
    <w:p>
      <w:pPr>
        <w:ind w:left="748" w:right="20" w:hanging="748"/>
        <w:spacing w:after="0" w:line="276"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options to purchase 9,250 restricted shares of common stock exercisable within 60 days of August 24, 2015 and warrants to purchase 31,875 restricted shares of common stock exercisable within 60 days of August 24, 2015.</w:t>
      </w:r>
    </w:p>
    <w:p>
      <w:pPr>
        <w:spacing w:after="0" w:line="114" w:lineRule="exact"/>
        <w:rPr>
          <w:rFonts w:ascii="Arial" w:cs="Arial" w:eastAsia="Arial" w:hAnsi="Arial"/>
          <w:sz w:val="12"/>
          <w:szCs w:val="12"/>
          <w:color w:val="auto"/>
        </w:rPr>
      </w:pPr>
    </w:p>
    <w:p>
      <w:pPr>
        <w:jc w:val="both"/>
        <w:ind w:left="748" w:hanging="748"/>
        <w:spacing w:after="0" w:line="281" w:lineRule="auto"/>
        <w:tabs>
          <w:tab w:leader="none" w:pos="748" w:val="left"/>
        </w:tabs>
        <w:numPr>
          <w:ilvl w:val="0"/>
          <w:numId w:val="58"/>
        </w:numPr>
        <w:rPr>
          <w:rFonts w:ascii="Arial" w:cs="Arial" w:eastAsia="Arial" w:hAnsi="Arial"/>
          <w:sz w:val="11"/>
          <w:szCs w:val="11"/>
          <w:color w:val="auto"/>
        </w:rPr>
      </w:pPr>
      <w:r>
        <w:rPr>
          <w:rFonts w:ascii="Arial" w:cs="Arial" w:eastAsia="Arial" w:hAnsi="Arial"/>
          <w:sz w:val="11"/>
          <w:szCs w:val="11"/>
          <w:color w:val="auto"/>
        </w:rPr>
        <w:t>Based upon information contained in Form 4 filed on January 9, 2012, as updated to give effect to transactions through August 24, 2015 as recorded on our books. Includes currently exercisable warrants to purchase 73,191 shares of restricted common stock. The reported number of shares beneficially owned by Cato Holding Company, dba Cato BioVentures, excludes 328,571 restricted shares of our Series B Preferred stock currently exchangeable for 328,571 restricted shares of our common stock. Pursuant to the terms of the Certificate of Designation of the Relative Rights and Preferences of the Series B 10% Convertible Preferred Stock,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Including the shares otherwise excluded due to the beneficial ownership restrictions noted above, Cato beneficially owns 567,305 shares or 28.42% of our common stock. Lynda Sutton has voting and investment authority over the shares held by Cato Holding Company. The primary business address of Cato BioVentures is 4364 South Alston Avenue, Durham, North Carolina 27713.</w:t>
      </w:r>
    </w:p>
    <w:p>
      <w:pPr>
        <w:spacing w:after="0" w:line="3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10" w:name="page111"/>
    <w:bookmarkEnd w:id="110"/>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748" w:hanging="748"/>
        <w:spacing w:after="0" w:line="255" w:lineRule="auto"/>
        <w:tabs>
          <w:tab w:leader="none" w:pos="7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110,448 restricted shares of common stock and 257,143 restricted shares of our Series B Preferred stock currently exchangeable for 257,143 restricted shares of our common stock. Pursuant to the terms of the Certificate of Designation of Rights and Preferences of the Series B Preferred,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Morrison &amp; Foerster provided us with such 61 day advance notice, which notice period has now elapsed. The primary business address of Morrison &amp; Foerster is 555 Market Street, San Francisco, California 94105. Mark Blumenthal has voting and investment control over the shares held by Morrison &amp; Foerster.</w:t>
      </w:r>
    </w:p>
    <w:p>
      <w:pPr>
        <w:spacing w:after="0" w:line="129" w:lineRule="exact"/>
        <w:rPr>
          <w:rFonts w:ascii="Arial" w:cs="Arial" w:eastAsia="Arial" w:hAnsi="Arial"/>
          <w:sz w:val="12"/>
          <w:szCs w:val="12"/>
          <w:color w:val="auto"/>
        </w:rPr>
      </w:pPr>
    </w:p>
    <w:p>
      <w:pPr>
        <w:jc w:val="both"/>
        <w:ind w:left="748" w:hanging="748"/>
        <w:spacing w:after="0" w:line="257" w:lineRule="auto"/>
        <w:tabs>
          <w:tab w:leader="none" w:pos="7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upon information contained in Schedule 13G/A filed on February 18, 2015 by Platinum Long Term Growth Fund VII (“</w:t>
      </w:r>
      <w:r>
        <w:rPr>
          <w:rFonts w:ascii="Arial" w:cs="Arial" w:eastAsia="Arial" w:hAnsi="Arial"/>
          <w:sz w:val="12"/>
          <w:szCs w:val="12"/>
          <w:i w:val="1"/>
          <w:iCs w:val="1"/>
          <w:color w:val="auto"/>
        </w:rPr>
        <w:t>Platinum”</w:t>
      </w:r>
      <w:r>
        <w:rPr>
          <w:rFonts w:ascii="Arial" w:cs="Arial" w:eastAsia="Arial" w:hAnsi="Arial"/>
          <w:sz w:val="12"/>
          <w:szCs w:val="12"/>
          <w:color w:val="auto"/>
        </w:rPr>
        <w:t>) and adjusted to give effect to the transactions consummated between Platinum, Montsant Partners, LLC (“</w:t>
      </w:r>
      <w:r>
        <w:rPr>
          <w:rFonts w:ascii="Arial" w:cs="Arial" w:eastAsia="Arial" w:hAnsi="Arial"/>
          <w:sz w:val="12"/>
          <w:szCs w:val="12"/>
          <w:i w:val="1"/>
          <w:iCs w:val="1"/>
          <w:color w:val="auto"/>
        </w:rPr>
        <w:t>Montsant”</w:t>
      </w:r>
      <w:r>
        <w:rPr>
          <w:rFonts w:ascii="Arial" w:cs="Arial" w:eastAsia="Arial" w:hAnsi="Arial"/>
          <w:sz w:val="12"/>
          <w:szCs w:val="12"/>
          <w:color w:val="auto"/>
        </w:rPr>
        <w:t>), a Platinum affiliate, and us pursuant to the Agreement between the Company and Platinum effective May 12, 2015 (“</w:t>
      </w:r>
      <w:r>
        <w:rPr>
          <w:rFonts w:ascii="Arial" w:cs="Arial" w:eastAsia="Arial" w:hAnsi="Arial"/>
          <w:sz w:val="12"/>
          <w:szCs w:val="12"/>
          <w:i w:val="1"/>
          <w:iCs w:val="1"/>
          <w:color w:val="auto"/>
        </w:rPr>
        <w:t>Agreement”</w:t>
      </w:r>
      <w:r>
        <w:rPr>
          <w:rFonts w:ascii="Arial" w:cs="Arial" w:eastAsia="Arial" w:hAnsi="Arial"/>
          <w:sz w:val="12"/>
          <w:szCs w:val="12"/>
          <w:color w:val="auto"/>
        </w:rPr>
        <w:t>) including Montsant’s investment of an aggregate of $1,000,000 in our Series B Preferred Unit offering pursuant to the Agreement through August 24, 2015. The number of beneficially owned shares reported includes 115,570 restricted shares of common stock owned by Montsant and 28,241 restricted shares of common stock and a warrant to purchase 20,172 restricted shares of common stock that may currently be acquired by Montsant upon exchange of 18,827 restricted shares of our Series A Preferred Stock (“</w:t>
      </w:r>
      <w:r>
        <w:rPr>
          <w:rFonts w:ascii="Arial" w:cs="Arial" w:eastAsia="Arial" w:hAnsi="Arial"/>
          <w:sz w:val="12"/>
          <w:szCs w:val="12"/>
          <w:i w:val="1"/>
          <w:iCs w:val="1"/>
          <w:color w:val="auto"/>
        </w:rPr>
        <w:t>Series A Preferred</w:t>
      </w:r>
      <w:r>
        <w:rPr>
          <w:rFonts w:ascii="Arial" w:cs="Arial" w:eastAsia="Arial" w:hAnsi="Arial"/>
          <w:sz w:val="12"/>
          <w:szCs w:val="12"/>
          <w:color w:val="auto"/>
        </w:rPr>
        <w:t>”).</w:t>
      </w:r>
    </w:p>
    <w:p>
      <w:pPr>
        <w:spacing w:after="0" w:line="125" w:lineRule="exact"/>
        <w:rPr>
          <w:rFonts w:ascii="Arial" w:cs="Arial" w:eastAsia="Arial" w:hAnsi="Arial"/>
          <w:sz w:val="12"/>
          <w:szCs w:val="12"/>
          <w:color w:val="auto"/>
        </w:rPr>
      </w:pPr>
    </w:p>
    <w:p>
      <w:pPr>
        <w:jc w:val="both"/>
        <w:ind w:left="748"/>
        <w:spacing w:after="0" w:line="257" w:lineRule="auto"/>
        <w:rPr>
          <w:rFonts w:ascii="Arial" w:cs="Arial" w:eastAsia="Arial" w:hAnsi="Arial"/>
          <w:sz w:val="12"/>
          <w:szCs w:val="12"/>
          <w:color w:val="auto"/>
        </w:rPr>
      </w:pPr>
      <w:r>
        <w:rPr>
          <w:rFonts w:ascii="Arial" w:cs="Arial" w:eastAsia="Arial" w:hAnsi="Arial"/>
          <w:sz w:val="12"/>
          <w:szCs w:val="12"/>
          <w:color w:val="auto"/>
        </w:rPr>
        <w:t>The reported number of shares beneficially owned excludes 609,259 restricted shares of common stock and a warrant to purchase 435,186 restricted shares of common stock that may currently be acquired by Montsant upon exchange of 406,173 restricted shares of our Series A Preferred. Pursuant to the October 11, 2012 Note Exchange and Purchase Agreement by and between us and Platinum, there is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25" w:lineRule="exact"/>
        <w:rPr>
          <w:rFonts w:ascii="Arial" w:cs="Arial" w:eastAsia="Arial" w:hAnsi="Arial"/>
          <w:sz w:val="12"/>
          <w:szCs w:val="12"/>
          <w:color w:val="auto"/>
        </w:rPr>
      </w:pPr>
    </w:p>
    <w:p>
      <w:pPr>
        <w:jc w:val="both"/>
        <w:ind w:left="748"/>
        <w:spacing w:after="0" w:line="255" w:lineRule="auto"/>
        <w:rPr>
          <w:rFonts w:ascii="Arial" w:cs="Arial" w:eastAsia="Arial" w:hAnsi="Arial"/>
          <w:sz w:val="12"/>
          <w:szCs w:val="12"/>
          <w:color w:val="auto"/>
        </w:rPr>
      </w:pPr>
      <w:r>
        <w:rPr>
          <w:rFonts w:ascii="Arial" w:cs="Arial" w:eastAsia="Arial" w:hAnsi="Arial"/>
          <w:sz w:val="12"/>
          <w:szCs w:val="12"/>
          <w:color w:val="auto"/>
        </w:rPr>
        <w:t>Further, the reported number of shares beneficially owned by Montsant also excludes 3,396,270 shares of common stock pursuant to its ownership of 1,583,452 shares of our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immediately convertible into a like number of shares of our restricted common stock, and warrants to purchase 1,812,818 shares of our restricted common stock.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Montsant may beneficially acquire upon such conversion or exercise is limited to the extent necessary to ensure that, following such conversion or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29" w:lineRule="exact"/>
        <w:rPr>
          <w:rFonts w:ascii="Arial" w:cs="Arial" w:eastAsia="Arial" w:hAnsi="Arial"/>
          <w:sz w:val="12"/>
          <w:szCs w:val="12"/>
          <w:color w:val="auto"/>
        </w:rPr>
      </w:pPr>
    </w:p>
    <w:p>
      <w:pPr>
        <w:jc w:val="both"/>
        <w:ind w:left="748"/>
        <w:spacing w:after="0" w:line="259" w:lineRule="auto"/>
        <w:rPr>
          <w:rFonts w:ascii="Arial" w:cs="Arial" w:eastAsia="Arial" w:hAnsi="Arial"/>
          <w:sz w:val="12"/>
          <w:szCs w:val="12"/>
          <w:color w:val="auto"/>
        </w:rPr>
      </w:pPr>
      <w:r>
        <w:rPr>
          <w:rFonts w:ascii="Arial" w:cs="Arial" w:eastAsia="Arial" w:hAnsi="Arial"/>
          <w:sz w:val="12"/>
          <w:szCs w:val="12"/>
          <w:color w:val="auto"/>
        </w:rPr>
        <w:t>Additionally, the reported number of shares beneficially owned excludes currently exercisable warrants owned by Platinum to purchase 320,124 shares of our restricted common stock. Pursuant to the terms of the respective common stock warrant agreements, there is a limitation on the exercise of the warrants such that the number of shares of common stock that Platinum may beneficially acquire upon such exercise is limited to the extent necessary to ensure that, following such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24" w:lineRule="exact"/>
        <w:rPr>
          <w:rFonts w:ascii="Arial" w:cs="Arial" w:eastAsia="Arial" w:hAnsi="Arial"/>
          <w:sz w:val="12"/>
          <w:szCs w:val="12"/>
          <w:color w:val="auto"/>
        </w:rPr>
      </w:pPr>
    </w:p>
    <w:p>
      <w:pPr>
        <w:jc w:val="both"/>
        <w:ind w:left="748"/>
        <w:spacing w:after="0" w:line="263" w:lineRule="auto"/>
        <w:rPr>
          <w:rFonts w:ascii="Arial" w:cs="Arial" w:eastAsia="Arial" w:hAnsi="Arial"/>
          <w:sz w:val="12"/>
          <w:szCs w:val="12"/>
          <w:color w:val="auto"/>
        </w:rPr>
      </w:pPr>
      <w:r>
        <w:rPr>
          <w:rFonts w:ascii="Arial" w:cs="Arial" w:eastAsia="Arial" w:hAnsi="Arial"/>
          <w:sz w:val="12"/>
          <w:szCs w:val="12"/>
          <w:color w:val="auto"/>
        </w:rPr>
        <w:t>Including the shares otherwise excluded due to the beneficial ownership restrictions noted above, Platinum and Montsant beneficially own 4,925,002 shares or 76.91% of our common stock. The primary business address of Platinum Long Term Growth Fund VII and Montsant Partners, LLC is c/o Platinum Partners, 250 West 55th Street, 14th Floor, New York, New York 10019. Mark Nordlicht has voting and investment control over the shares held by Platinum and Montsant.</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11" w:name="page112"/>
    <w:bookmarkEnd w:id="111"/>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748" w:hanging="748"/>
        <w:spacing w:after="0" w:line="298" w:lineRule="auto"/>
        <w:tabs>
          <w:tab w:leader="none" w:pos="748" w:val="left"/>
        </w:tabs>
        <w:numPr>
          <w:ilvl w:val="0"/>
          <w:numId w:val="60"/>
        </w:numPr>
        <w:rPr>
          <w:rFonts w:ascii="Arial" w:cs="Arial" w:eastAsia="Arial" w:hAnsi="Arial"/>
          <w:sz w:val="11"/>
          <w:szCs w:val="11"/>
          <w:color w:val="auto"/>
        </w:rPr>
      </w:pPr>
      <w:r>
        <w:rPr>
          <w:rFonts w:ascii="Arial" w:cs="Arial" w:eastAsia="Arial" w:hAnsi="Arial"/>
          <w:sz w:val="11"/>
          <w:szCs w:val="11"/>
          <w:color w:val="auto"/>
        </w:rPr>
        <w:t>Platinum has transferred to Michael Goldberg (“</w:t>
      </w:r>
      <w:r>
        <w:rPr>
          <w:rFonts w:ascii="Arial" w:cs="Arial" w:eastAsia="Arial" w:hAnsi="Arial"/>
          <w:sz w:val="11"/>
          <w:szCs w:val="11"/>
          <w:i w:val="1"/>
          <w:iCs w:val="1"/>
          <w:color w:val="auto"/>
        </w:rPr>
        <w:t>Goldberg</w:t>
      </w:r>
      <w:r>
        <w:rPr>
          <w:rFonts w:ascii="Arial" w:cs="Arial" w:eastAsia="Arial" w:hAnsi="Arial"/>
          <w:sz w:val="11"/>
          <w:szCs w:val="11"/>
          <w:color w:val="auto"/>
        </w:rPr>
        <w:t>”) certain of the equity securities initially issued by us to Platinum. The conversion or exercise restrictions in those securities initially applicable to Platinum remain applicable to Goldberg. The number of shares reported as beneficially owned by Goldberg includes 37,508 restricted shares of common stock and 78,975 restricted shares of common stock and a currently exercisable warrant to purchase 56,411 restricted shares of common stock that may currently be acquired by Goldberg upon exchange of 52,650 restricted shares of our Series A Preferred.</w:t>
      </w:r>
    </w:p>
    <w:p>
      <w:pPr>
        <w:spacing w:after="0" w:line="105" w:lineRule="exact"/>
        <w:rPr>
          <w:rFonts w:ascii="Arial" w:cs="Arial" w:eastAsia="Arial" w:hAnsi="Arial"/>
          <w:sz w:val="11"/>
          <w:szCs w:val="11"/>
          <w:color w:val="auto"/>
        </w:rPr>
      </w:pPr>
    </w:p>
    <w:p>
      <w:pPr>
        <w:jc w:val="both"/>
        <w:ind w:left="748"/>
        <w:spacing w:after="0" w:line="327" w:lineRule="auto"/>
        <w:rPr>
          <w:rFonts w:ascii="Arial" w:cs="Arial" w:eastAsia="Arial" w:hAnsi="Arial"/>
          <w:sz w:val="11"/>
          <w:szCs w:val="11"/>
          <w:color w:val="auto"/>
        </w:rPr>
      </w:pPr>
      <w:r>
        <w:rPr>
          <w:rFonts w:ascii="Arial" w:cs="Arial" w:eastAsia="Arial" w:hAnsi="Arial"/>
          <w:sz w:val="10"/>
          <w:szCs w:val="10"/>
          <w:color w:val="auto"/>
        </w:rPr>
        <w:t>The reported number of shares beneficially owned excludes 33,525 restricted shares of common stock and a warrant to purchase 23,946 restricted shares of common stock that may currently be acquired by Goldberg upon exchange of 22,350 restricted shares of our Series A Preferred. Pursuant to the October 11, 2012 Note Exchange and Purchase Agreement by and between us and Platinum, there is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93" w:lineRule="exact"/>
        <w:rPr>
          <w:rFonts w:ascii="Arial" w:cs="Arial" w:eastAsia="Arial" w:hAnsi="Arial"/>
          <w:sz w:val="11"/>
          <w:szCs w:val="11"/>
          <w:color w:val="auto"/>
        </w:rPr>
      </w:pPr>
    </w:p>
    <w:p>
      <w:pPr>
        <w:jc w:val="both"/>
        <w:ind w:left="748"/>
        <w:spacing w:after="0" w:line="286" w:lineRule="auto"/>
        <w:rPr>
          <w:rFonts w:ascii="Arial" w:cs="Arial" w:eastAsia="Arial" w:hAnsi="Arial"/>
          <w:sz w:val="11"/>
          <w:szCs w:val="11"/>
          <w:color w:val="auto"/>
        </w:rPr>
      </w:pPr>
      <w:r>
        <w:rPr>
          <w:rFonts w:ascii="Arial" w:cs="Arial" w:eastAsia="Arial" w:hAnsi="Arial"/>
          <w:sz w:val="11"/>
          <w:szCs w:val="11"/>
          <w:color w:val="auto"/>
        </w:rPr>
        <w:t>Further, the reported number of shares beneficially owned by Goldberg also excludes 193,355 shares of common stock pursuant to his ownership of 147,028 shares of our Series B Preferred, immediately convertible into a like number of shares of our restricted common stock, and warrants to purchase 46,327 shares of our restricted common stock.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Goldberg may beneficially acquire upon such conversion or exercise is limited to the extent necessary to ensure that, following such conversion or exercise, the total number of shares of common stock then beneficially owned by Goldberg does not exceed 9.99% of the total number of then issued and outstanding shares of our common stock without providing us with 61 days’ prior notice thereof.</w:t>
      </w:r>
    </w:p>
    <w:p>
      <w:pPr>
        <w:spacing w:after="0" w:line="111" w:lineRule="exact"/>
        <w:rPr>
          <w:rFonts w:ascii="Arial" w:cs="Arial" w:eastAsia="Arial" w:hAnsi="Arial"/>
          <w:sz w:val="11"/>
          <w:szCs w:val="11"/>
          <w:color w:val="auto"/>
        </w:rPr>
      </w:pPr>
    </w:p>
    <w:p>
      <w:pPr>
        <w:jc w:val="both"/>
        <w:ind w:left="748"/>
        <w:spacing w:after="0" w:line="259" w:lineRule="auto"/>
        <w:rPr>
          <w:rFonts w:ascii="Arial" w:cs="Arial" w:eastAsia="Arial" w:hAnsi="Arial"/>
          <w:sz w:val="11"/>
          <w:szCs w:val="11"/>
          <w:color w:val="auto"/>
        </w:rPr>
      </w:pPr>
      <w:r>
        <w:rPr>
          <w:rFonts w:ascii="Arial" w:cs="Arial" w:eastAsia="Arial" w:hAnsi="Arial"/>
          <w:sz w:val="12"/>
          <w:szCs w:val="12"/>
          <w:color w:val="auto"/>
        </w:rPr>
        <w:t>Additionally, the reported number of shares beneficially owned by Goldberg excludes currently exercisable warrants to purchase 66,251 shares of our restricted common stock. Pursuant to the terms of the respective common stock warrant agreements, there is a limitation on the exercise of the warrants such that the number of shares of common stock that Goldberg may beneficially acquire upon such exercise is limited to the extent necessary to ensure that, following such exercise, the total number of shares of common stock then beneficially owned by Goldberg does not exceed 9.99% of the total number of issued and outstanding shares of our common stock without providing us with 61 days’ prior notice thereof.</w:t>
      </w:r>
    </w:p>
    <w:p>
      <w:pPr>
        <w:spacing w:after="0" w:line="124" w:lineRule="exact"/>
        <w:rPr>
          <w:rFonts w:ascii="Arial" w:cs="Arial" w:eastAsia="Arial" w:hAnsi="Arial"/>
          <w:sz w:val="11"/>
          <w:szCs w:val="11"/>
          <w:color w:val="auto"/>
        </w:rPr>
      </w:pPr>
    </w:p>
    <w:p>
      <w:pPr>
        <w:ind w:left="748"/>
        <w:spacing w:after="0"/>
        <w:rPr>
          <w:rFonts w:ascii="Arial" w:cs="Arial" w:eastAsia="Arial" w:hAnsi="Arial"/>
          <w:sz w:val="11"/>
          <w:szCs w:val="11"/>
          <w:color w:val="auto"/>
        </w:rPr>
      </w:pPr>
      <w:r>
        <w:rPr>
          <w:rFonts w:ascii="Arial" w:cs="Arial" w:eastAsia="Arial" w:hAnsi="Arial"/>
          <w:sz w:val="12"/>
          <w:szCs w:val="12"/>
          <w:color w:val="auto"/>
        </w:rPr>
        <w:t>Including the shares otherwise excluded due to the beneficial ownership restrictions noted above, Goldberg beneficially owns 489,971 shares or 23.94% of our common stock.</w:t>
      </w:r>
    </w:p>
    <w:p>
      <w:pPr>
        <w:spacing w:after="0" w:line="150" w:lineRule="exact"/>
        <w:rPr>
          <w:rFonts w:ascii="Arial" w:cs="Arial" w:eastAsia="Arial" w:hAnsi="Arial"/>
          <w:sz w:val="11"/>
          <w:szCs w:val="11"/>
          <w:color w:val="auto"/>
        </w:rPr>
      </w:pPr>
    </w:p>
    <w:p>
      <w:pPr>
        <w:jc w:val="both"/>
        <w:ind w:left="748" w:hanging="748"/>
        <w:spacing w:after="0" w:line="263" w:lineRule="auto"/>
        <w:tabs>
          <w:tab w:leader="none" w:pos="74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72,740 restricted shares of common stock and 38,347 restricted shares of our Series B Preferred currently exchangeable for 38,347 restricted shares of our common stock. The primary business address of Lincoln Park Capital Fund LLC is 440 N. Wells Street, Chicago, Illinois 60654. Joshua Scheinfeld has voting and investment control over the shares held by Lincoln Park Capital Fund LLC.</w:t>
      </w:r>
    </w:p>
    <w:p>
      <w:pPr>
        <w:spacing w:after="0" w:line="122"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93,775 restricted shares of our Series B Preferred currently exchangeable for 93,775 restricted shares of our common stock. The primary business address of University Health Network is 101 College Street, Suite 150, Toronto, Ontario Canada M5G 1L7. Christopher Paige, Ph.D. has voting and investment authority over the shares held by University Health Network.</w:t>
      </w:r>
    </w:p>
    <w:p>
      <w:pPr>
        <w:spacing w:after="0" w:line="114" w:lineRule="exact"/>
        <w:rPr>
          <w:rFonts w:ascii="Arial" w:cs="Arial" w:eastAsia="Arial" w:hAnsi="Arial"/>
          <w:sz w:val="12"/>
          <w:szCs w:val="12"/>
          <w:color w:val="auto"/>
        </w:rPr>
      </w:pPr>
    </w:p>
    <w:p>
      <w:pPr>
        <w:jc w:val="both"/>
        <w:ind w:left="748" w:hanging="748"/>
        <w:spacing w:after="0" w:line="263" w:lineRule="auto"/>
        <w:tabs>
          <w:tab w:leader="none" w:pos="74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61,378 restricted shares of common stock and 27,107 restricted shares of our Series B Preferred currently exchangeable for 27,107 restricted shares of our common stock. The primary business address of Brio Capital Master Fund Ltd. is 100 Merrick Road, Suite 401W, Rockville Centre, New York 11570. Shaye Hirsch has voting and investment control over the shares held by Brio Capital Master Fund Ltd.</w:t>
      </w:r>
    </w:p>
    <w:p>
      <w:pPr>
        <w:spacing w:after="0" w:line="122" w:lineRule="exact"/>
        <w:rPr>
          <w:rFonts w:ascii="Arial" w:cs="Arial" w:eastAsia="Arial" w:hAnsi="Arial"/>
          <w:sz w:val="12"/>
          <w:szCs w:val="12"/>
          <w:color w:val="auto"/>
        </w:rPr>
      </w:pPr>
    </w:p>
    <w:p>
      <w:pPr>
        <w:jc w:val="both"/>
        <w:ind w:left="748" w:hanging="748"/>
        <w:spacing w:after="0" w:line="263" w:lineRule="auto"/>
        <w:tabs>
          <w:tab w:leader="none" w:pos="74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16,158 restricted shares of common stock and 27,107 restricted shares of our Series B Preferred currently exchangeable for 27,107 restricted shares of our common stock. The primary business address of Calm Seas Capital LLC is 4650 Wedekind Road, Suite 2, Sparks, Nevada 89431. Michael McCarthy has voting and investment control over the shares held by Calm Seas Capital LLC.</w:t>
      </w:r>
    </w:p>
    <w:p>
      <w:pPr>
        <w:spacing w:after="0" w:line="122"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54,549 restricted shares of common stock and 21,111 restricted shares of our Series B Preferred currently exchangeable for 21,111 restricted shares of our common stock. Mr. Young’s primary business address is c/o Coldwell Banker Residential Brokerage, 580 El Camino Real, San Carlos, California 94070.</w:t>
      </w:r>
    </w:p>
    <w:p>
      <w:pPr>
        <w:spacing w:after="0" w:line="114" w:lineRule="exact"/>
        <w:rPr>
          <w:rFonts w:ascii="Arial" w:cs="Arial" w:eastAsia="Arial" w:hAnsi="Arial"/>
          <w:sz w:val="12"/>
          <w:szCs w:val="12"/>
          <w:color w:val="auto"/>
        </w:rPr>
      </w:pPr>
    </w:p>
    <w:p>
      <w:pPr>
        <w:ind w:left="748" w:right="20" w:hanging="748"/>
        <w:spacing w:after="0" w:line="326" w:lineRule="auto"/>
        <w:tabs>
          <w:tab w:leader="none" w:pos="748" w:val="left"/>
        </w:tabs>
        <w:numPr>
          <w:ilvl w:val="0"/>
          <w:numId w:val="60"/>
        </w:numPr>
        <w:rPr>
          <w:rFonts w:ascii="Arial" w:cs="Arial" w:eastAsia="Arial" w:hAnsi="Arial"/>
          <w:sz w:val="11"/>
          <w:szCs w:val="11"/>
          <w:color w:val="auto"/>
        </w:rPr>
      </w:pPr>
      <w:r>
        <w:rPr>
          <w:rFonts w:ascii="Arial" w:cs="Arial" w:eastAsia="Arial" w:hAnsi="Arial"/>
          <w:sz w:val="11"/>
          <w:szCs w:val="11"/>
          <w:color w:val="auto"/>
        </w:rPr>
        <w:t>Includes currently exercisable warrants to purchase 13,572 restricted shares of common stock and 101,200 restricted shares of our Series B Preferred currently exchangeable for 101,200 restricted shares of our common stock. The primary business address of M Capital Partners LLC is 1395 East 34</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Street, Brooklyn, New York 11210. Sara Evans has voting and investment control over the shares held by M Capital Partners LLC.</w:t>
      </w:r>
    </w:p>
    <w:p>
      <w:pPr>
        <w:spacing w:after="0" w:line="1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12" w:name="page113"/>
    <w:bookmarkEnd w:id="112"/>
    <w:p>
      <w:pPr>
        <w:ind w:left="748" w:hanging="748"/>
        <w:spacing w:after="0" w:line="221" w:lineRule="auto"/>
        <w:tabs>
          <w:tab w:leader="none" w:pos="748"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100,000 restricted shares of our Series B Preferred currently exchangeable for 100,000 restricted shares of our common stock. The primary business address of MBF Sierra Ventures LLC is 301 W 41</w:t>
      </w:r>
      <w:r>
        <w:rPr>
          <w:rFonts w:ascii="Arial" w:cs="Arial" w:eastAsia="Arial" w:hAnsi="Arial"/>
          <w:sz w:val="16"/>
          <w:szCs w:val="16"/>
          <w:color w:val="auto"/>
          <w:vertAlign w:val="superscript"/>
        </w:rPr>
        <w:t>st</w:t>
      </w:r>
      <w:r>
        <w:rPr>
          <w:rFonts w:ascii="Arial" w:cs="Arial" w:eastAsia="Arial" w:hAnsi="Arial"/>
          <w:sz w:val="12"/>
          <w:szCs w:val="12"/>
          <w:color w:val="auto"/>
        </w:rPr>
        <w:t xml:space="preserve"> Street, Suite 300, Miami Beach, Florida 33140. Mark B. Fisher has voting and investment control over the shares held by MBF Sierra Ventures LLC.</w:t>
      </w:r>
    </w:p>
    <w:p>
      <w:pPr>
        <w:spacing w:after="0" w:line="135"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options to purchase an aggregate of 135,079 restricted shares of common stock exercisable within 60 days of August 17, 2015 and warrants to purchase an aggregate of 520,866 restricted shares of common stock exercisable within 60 days of August 17, 2015.</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Equity Grants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As of March 31, 2015, options to purchase a total of 207,638 restricted shares of our common stock are outstanding at a weighted average exercise price of $10.09 per share, of which 199,013 options are vested and exercisable at a weighted average exercise price of $10.09 per share and 8,625 are unvested and not exercisable at a weighted average exercise price of $10.22 per share. These options were issued under our 2008 Plan and our 1999 Plan, each as described below. At March 31, 2015, an additional 40,491 shares remained available for future equity grants under our 2008 Plan. In August 2015, our stockholders approved an amendment to the 2008 Plan to increase the number of shares of our common stock authorized for issuance thereunder from 250,000 to 1.0 million shares.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Number of securities</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remaining available</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for future issuance</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Number of securities</w:t>
            </w: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Weighted-average</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under equity</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to be issued upon</w:t>
            </w: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exercise price of</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compensation plans</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exercise of</w:t>
            </w: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(excluding securities</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outstanding options,</w:t>
            </w: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options, warrants</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reflected in column</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warrants and rights</w:t>
            </w: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and rights</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(a))</w:t>
            </w:r>
          </w:p>
        </w:tc>
      </w:tr>
      <w:tr>
        <w:trPr>
          <w:trHeight w:val="157"/>
        </w:trPr>
        <w:tc>
          <w:tcPr>
            <w:tcW w:w="1960" w:type="dxa"/>
            <w:vAlign w:val="bottom"/>
          </w:tcPr>
          <w:p>
            <w:pPr>
              <w:spacing w:after="0"/>
              <w:rPr>
                <w:sz w:val="20"/>
                <w:szCs w:val="20"/>
                <w:color w:val="auto"/>
              </w:rPr>
            </w:pPr>
            <w:r>
              <w:rPr>
                <w:rFonts w:ascii="Arial" w:cs="Arial" w:eastAsia="Arial" w:hAnsi="Arial"/>
                <w:sz w:val="12"/>
                <w:szCs w:val="12"/>
                <w:b w:val="1"/>
                <w:bCs w:val="1"/>
                <w:color w:val="auto"/>
              </w:rPr>
              <w:t>Plan category</w:t>
            </w:r>
          </w:p>
        </w:tc>
        <w:tc>
          <w:tcPr>
            <w:tcW w:w="23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1"/>
              </w:rPr>
              <w:t>(b)</w:t>
            </w:r>
          </w:p>
        </w:tc>
        <w:tc>
          <w:tcPr>
            <w:tcW w:w="24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(c)</w:t>
            </w:r>
          </w:p>
        </w:tc>
        <w:tc>
          <w:tcPr>
            <w:tcW w:w="120" w:type="dxa"/>
            <w:vAlign w:val="bottom"/>
          </w:tcPr>
          <w:p>
            <w:pPr>
              <w:spacing w:after="0"/>
              <w:rPr>
                <w:sz w:val="13"/>
                <w:szCs w:val="13"/>
                <w:color w:val="auto"/>
              </w:rPr>
            </w:pPr>
          </w:p>
        </w:tc>
      </w:tr>
      <w:tr>
        <w:trPr>
          <w:trHeight w:val="142"/>
        </w:trPr>
        <w:tc>
          <w:tcPr>
            <w:tcW w:w="1960" w:type="dxa"/>
            <w:vAlign w:val="bottom"/>
            <w:shd w:val="clear" w:color="auto" w:fill="CCEEFF"/>
          </w:tcPr>
          <w:p>
            <w:pPr>
              <w:spacing w:after="0"/>
              <w:rPr>
                <w:sz w:val="20"/>
                <w:szCs w:val="20"/>
                <w:color w:val="auto"/>
              </w:rPr>
            </w:pPr>
            <w:r>
              <w:rPr>
                <w:rFonts w:ascii="Arial" w:cs="Arial" w:eastAsia="Arial" w:hAnsi="Arial"/>
                <w:sz w:val="12"/>
                <w:szCs w:val="12"/>
                <w:color w:val="auto"/>
                <w:w w:val="91"/>
              </w:rPr>
              <w:t>Equity compensation plans approved by</w:t>
            </w:r>
          </w:p>
        </w:tc>
        <w:tc>
          <w:tcPr>
            <w:tcW w:w="2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security holders</w:t>
            </w:r>
          </w:p>
        </w:tc>
        <w:tc>
          <w:tcPr>
            <w:tcW w:w="46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194,509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9.99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40,491</w:t>
            </w:r>
          </w:p>
        </w:tc>
      </w:tr>
      <w:tr>
        <w:trPr>
          <w:trHeight w:val="144"/>
        </w:trPr>
        <w:tc>
          <w:tcPr>
            <w:tcW w:w="1960" w:type="dxa"/>
            <w:vAlign w:val="bottom"/>
          </w:tcPr>
          <w:p>
            <w:pPr>
              <w:spacing w:after="0"/>
              <w:rPr>
                <w:sz w:val="20"/>
                <w:szCs w:val="20"/>
                <w:color w:val="auto"/>
              </w:rPr>
            </w:pPr>
            <w:r>
              <w:rPr>
                <w:rFonts w:ascii="Arial" w:cs="Arial" w:eastAsia="Arial" w:hAnsi="Arial"/>
                <w:sz w:val="12"/>
                <w:szCs w:val="12"/>
                <w:color w:val="auto"/>
                <w:w w:val="89"/>
              </w:rPr>
              <w:t>Equity compensation plans not approved</w:t>
            </w:r>
          </w:p>
        </w:tc>
        <w:tc>
          <w:tcPr>
            <w:tcW w:w="2300" w:type="dxa"/>
            <w:vAlign w:val="bottom"/>
          </w:tcPr>
          <w:p>
            <w:pPr>
              <w:ind w:left="60"/>
              <w:spacing w:after="0"/>
              <w:rPr>
                <w:sz w:val="20"/>
                <w:szCs w:val="20"/>
                <w:color w:val="auto"/>
              </w:rPr>
            </w:pPr>
            <w:r>
              <w:rPr>
                <w:rFonts w:ascii="Arial" w:cs="Arial" w:eastAsia="Arial" w:hAnsi="Arial"/>
                <w:sz w:val="12"/>
                <w:szCs w:val="12"/>
                <w:color w:val="auto"/>
              </w:rPr>
              <w:t>by security holders</w:t>
            </w:r>
          </w:p>
        </w:tc>
        <w:tc>
          <w:tcPr>
            <w:tcW w:w="32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13,129</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11.67</w:t>
            </w:r>
          </w:p>
        </w:tc>
        <w:tc>
          <w:tcPr>
            <w:tcW w:w="2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9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230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2"/>
                <w:szCs w:val="12"/>
                <w:color w:val="auto"/>
              </w:rPr>
              <w:t>207,638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10.09</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40,491</w:t>
            </w:r>
          </w:p>
        </w:tc>
      </w:tr>
      <w:tr>
        <w:trPr>
          <w:trHeight w:val="525"/>
        </w:trPr>
        <w:tc>
          <w:tcPr>
            <w:tcW w:w="1960" w:type="dxa"/>
            <w:vAlign w:val="bottom"/>
            <w:tcBorders>
              <w:top w:val="single" w:sz="8" w:color="CCEEFF"/>
            </w:tcBorders>
          </w:tcPr>
          <w:p>
            <w:pPr>
              <w:spacing w:after="0"/>
              <w:rPr>
                <w:sz w:val="24"/>
                <w:szCs w:val="24"/>
                <w:color w:val="auto"/>
              </w:rPr>
            </w:pPr>
          </w:p>
        </w:tc>
        <w:tc>
          <w:tcPr>
            <w:tcW w:w="230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jc w:val="right"/>
              <w:ind w:right="1540"/>
              <w:spacing w:after="0"/>
              <w:rPr>
                <w:sz w:val="20"/>
                <w:szCs w:val="20"/>
                <w:color w:val="auto"/>
              </w:rPr>
            </w:pPr>
            <w:r>
              <w:rPr>
                <w:rFonts w:ascii="Arial" w:cs="Arial" w:eastAsia="Arial" w:hAnsi="Arial"/>
                <w:sz w:val="12"/>
                <w:szCs w:val="12"/>
                <w:color w:val="auto"/>
              </w:rPr>
              <w:t>-109-</w:t>
            </w: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1960" w:type="dxa"/>
            <w:vAlign w:val="bottom"/>
            <w:tcBorders>
              <w:bottom w:val="single" w:sz="8" w:color="808080"/>
            </w:tcBorders>
          </w:tcPr>
          <w:p>
            <w:pPr>
              <w:spacing w:after="0"/>
              <w:rPr>
                <w:sz w:val="6"/>
                <w:szCs w:val="6"/>
                <w:color w:val="auto"/>
              </w:rPr>
            </w:pPr>
          </w:p>
        </w:tc>
        <w:tc>
          <w:tcPr>
            <w:tcW w:w="2300" w:type="dxa"/>
            <w:vAlign w:val="bottom"/>
            <w:tcBorders>
              <w:bottom w:val="single" w:sz="8" w:color="808080"/>
            </w:tcBorders>
          </w:tcPr>
          <w:p>
            <w:pPr>
              <w:spacing w:after="0"/>
              <w:rPr>
                <w:sz w:val="6"/>
                <w:szCs w:val="6"/>
                <w:color w:val="auto"/>
              </w:rPr>
            </w:pPr>
          </w:p>
        </w:tc>
        <w:tc>
          <w:tcPr>
            <w:tcW w:w="32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13" w:name="page114"/>
    <w:bookmarkEnd w:id="11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Shareholders of VistaGen California adopted our 2008 Plan on December 19, 2008 and we assumed the plan in connection with the Merger. In August 2015, our stockholders approved an amendment to the 2008 Plan to increase the number of shares of our common stock authorized for issuance to thereunder from 250,000 to 1.0 million shares.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2"/>
          <w:szCs w:val="12"/>
          <w:i w:val="1"/>
          <w:iCs w:val="1"/>
          <w:color w:val="auto"/>
        </w:rPr>
        <w:t>Code”</w:t>
      </w:r>
      <w:r>
        <w:rPr>
          <w:rFonts w:ascii="Arial" w:cs="Arial" w:eastAsia="Arial" w:hAnsi="Arial"/>
          <w:sz w:val="12"/>
          <w:szCs w:val="12"/>
          <w:color w:val="auto"/>
        </w:rPr>
        <w:t>), is 1.0 million.</w:t>
      </w:r>
    </w:p>
    <w:p>
      <w:pPr>
        <w:spacing w:after="0" w:line="125" w:lineRule="exact"/>
        <w:rPr>
          <w:sz w:val="20"/>
          <w:szCs w:val="20"/>
          <w:color w:val="auto"/>
        </w:rPr>
      </w:pPr>
    </w:p>
    <w:p>
      <w:pPr>
        <w:jc w:val="both"/>
        <w:ind w:firstLine="573"/>
        <w:spacing w:after="0" w:line="263" w:lineRule="auto"/>
        <w:rPr>
          <w:sz w:val="20"/>
          <w:szCs w:val="20"/>
          <w:color w:val="auto"/>
        </w:rPr>
      </w:pPr>
      <w:r>
        <w:rPr>
          <w:rFonts w:ascii="Arial" w:cs="Arial" w:eastAsia="Arial" w:hAnsi="Arial"/>
          <w:sz w:val="12"/>
          <w:szCs w:val="12"/>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14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3" w:lineRule="exact"/>
        <w:rPr>
          <w:sz w:val="20"/>
          <w:szCs w:val="20"/>
          <w:color w:val="auto"/>
        </w:rPr>
      </w:pPr>
    </w:p>
    <w:p>
      <w:pPr>
        <w:ind w:left="920" w:hanging="340"/>
        <w:spacing w:after="0"/>
        <w:tabs>
          <w:tab w:leader="none" w:pos="9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by will and by the laws of descent and distribution; and</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during the lifetime of the participant, to the extent and in the manner authorized by the Administrator by gift or pursuant to a domestic relations order to members of the participant’s immediate family.</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2008 Plan permits the designation of beneficiaries by holders of awards, including incentive stock options.</w:t>
      </w:r>
    </w:p>
    <w:p>
      <w:pPr>
        <w:spacing w:after="0" w:line="16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4" w:name="page115"/>
    <w:bookmarkEnd w:id="11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110" w:lineRule="exact"/>
        <w:rPr>
          <w:sz w:val="20"/>
          <w:szCs w:val="20"/>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increase in share price;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earnings per share;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total shareholder return;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operating margin;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gross margin;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return on equity;</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return on assets;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return on investment;</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operating income;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net operating income;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pre-tax profit;</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cash flow;</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revenue;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expenses;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earnings before interest, taxes and depreciation;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economic value added; and</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2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Under our 2008 Plan, a Corporate Transaction is generally defined as:</w:t>
      </w:r>
    </w:p>
    <w:p>
      <w:pPr>
        <w:spacing w:after="0" w:line="150" w:lineRule="exact"/>
        <w:rPr>
          <w:sz w:val="20"/>
          <w:szCs w:val="20"/>
          <w:color w:val="auto"/>
        </w:rPr>
      </w:pPr>
    </w:p>
    <w:p>
      <w:pPr>
        <w:ind w:left="640" w:hanging="195"/>
        <w:spacing w:after="0" w:line="276" w:lineRule="auto"/>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32" w:lineRule="exact"/>
        <w:rPr>
          <w:rFonts w:ascii="Arial" w:cs="Arial" w:eastAsia="Arial" w:hAnsi="Arial"/>
          <w:sz w:val="12"/>
          <w:szCs w:val="12"/>
          <w:color w:val="auto"/>
        </w:rPr>
      </w:pPr>
    </w:p>
    <w:p>
      <w:pPr>
        <w:jc w:val="both"/>
        <w:ind w:left="640" w:hanging="195"/>
        <w:spacing w:after="0" w:line="263" w:lineRule="auto"/>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40" w:lineRule="exact"/>
        <w:rPr>
          <w:rFonts w:ascii="Arial" w:cs="Arial" w:eastAsia="Arial" w:hAnsi="Arial"/>
          <w:sz w:val="12"/>
          <w:szCs w:val="12"/>
          <w:color w:val="auto"/>
        </w:rPr>
      </w:pPr>
    </w:p>
    <w:p>
      <w:pPr>
        <w:ind w:left="640" w:hanging="195"/>
        <w:spacing w:after="0"/>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 sale, transfer or other disposition of all or substantially all of the assets of our Corporation;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 merger or consolidation in which our Corporation is not the surviving entity; or</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 complete liquidation or dissolution.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5" w:name="page116"/>
    <w:bookmarkEnd w:id="11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shareholders accept; (ii) or a change in the composition of our Board of Directors over a period of 12 months or less.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2015, we have options to purchase an aggregate of 194,509 restricted shares of our common stock outstanding under our 2008 Plan.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VistaGen California’s Board of Directors adopted the 1999 Plan on December 6, 1999. The 1999 Plan terminated under its own terms in December 2009, and as a result, no awards may currently be granted under the 1999 Plan.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However, the options and awards that have been granted pursuant to the 1999 Plan prior to its expiration remain operative.</w:t>
      </w:r>
    </w:p>
    <w:p>
      <w:pPr>
        <w:spacing w:after="0" w:line="15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43"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2"/>
          <w:szCs w:val="12"/>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shareholder)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2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2015, we have options outstanding under the 1999 Plan to purchase an aggregate of 12,279 restricted shares of our common stock.</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6" w:name="page117"/>
    <w:bookmarkEnd w:id="116"/>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DESCRIPTION OF SECURITIES TO BE REGISTERED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General</w:t>
      </w:r>
    </w:p>
    <w:p>
      <w:pPr>
        <w:spacing w:after="0" w:line="15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authorized capital stock consists of 30.0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2"/>
          <w:szCs w:val="12"/>
          <w:i w:val="1"/>
          <w:iCs w:val="1"/>
          <w:color w:val="auto"/>
        </w:rPr>
        <w:t>Bylaws</w:t>
      </w:r>
      <w:r>
        <w:rPr>
          <w:rFonts w:ascii="Arial" w:cs="Arial" w:eastAsia="Arial" w:hAnsi="Arial"/>
          <w:sz w:val="12"/>
          <w:szCs w:val="12"/>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Securities Exchange Act.</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As of August 24, 2015, there were issued and outstanding, or reserved for issuance:</w:t>
      </w:r>
    </w:p>
    <w:p>
      <w:pPr>
        <w:spacing w:after="0" w:line="150" w:lineRule="exact"/>
        <w:rPr>
          <w:sz w:val="20"/>
          <w:szCs w:val="20"/>
          <w:color w:val="auto"/>
        </w:rPr>
      </w:pPr>
    </w:p>
    <w:p>
      <w:pPr>
        <w:ind w:left="948" w:hanging="948"/>
        <w:spacing w:after="0"/>
        <w:tabs>
          <w:tab w:leader="none" w:pos="948" w:val="left"/>
        </w:tabs>
        <w:numPr>
          <w:ilvl w:val="0"/>
          <w:numId w:val="65"/>
        </w:numPr>
        <w:rPr>
          <w:rFonts w:ascii="Arial" w:cs="Arial" w:eastAsia="Arial" w:hAnsi="Arial"/>
          <w:sz w:val="12"/>
          <w:szCs w:val="12"/>
          <w:color w:val="auto"/>
        </w:rPr>
      </w:pPr>
      <w:r>
        <w:rPr>
          <w:rFonts w:ascii="Arial" w:cs="Arial" w:eastAsia="Arial" w:hAnsi="Arial"/>
          <w:sz w:val="12"/>
          <w:szCs w:val="12"/>
          <w:color w:val="auto"/>
        </w:rPr>
        <w:t>1,594,461 shares of common stock held by approximately 300 stockholders of record;</w:t>
      </w:r>
    </w:p>
    <w:p>
      <w:pPr>
        <w:spacing w:after="0" w:line="150" w:lineRule="exact"/>
        <w:rPr>
          <w:rFonts w:ascii="Arial" w:cs="Arial" w:eastAsia="Arial" w:hAnsi="Arial"/>
          <w:sz w:val="12"/>
          <w:szCs w:val="12"/>
          <w:color w:val="auto"/>
        </w:rPr>
      </w:pPr>
    </w:p>
    <w:p>
      <w:pPr>
        <w:ind w:left="948" w:hanging="948"/>
        <w:spacing w:after="0"/>
        <w:tabs>
          <w:tab w:leader="none" w:pos="948" w:val="left"/>
        </w:tabs>
        <w:numPr>
          <w:ilvl w:val="0"/>
          <w:numId w:val="65"/>
        </w:numPr>
        <w:rPr>
          <w:rFonts w:ascii="Arial" w:cs="Arial" w:eastAsia="Arial" w:hAnsi="Arial"/>
          <w:sz w:val="11"/>
          <w:szCs w:val="11"/>
          <w:color w:val="auto"/>
        </w:rPr>
      </w:pPr>
      <w:r>
        <w:rPr>
          <w:rFonts w:ascii="Arial" w:cs="Arial" w:eastAsia="Arial" w:hAnsi="Arial"/>
          <w:sz w:val="11"/>
          <w:szCs w:val="11"/>
          <w:color w:val="auto"/>
        </w:rPr>
        <w:t>750,000 shares of common stock, and 535,715 shares of common stock reserved for issuance upon exercise of warrants, each issuable upon conversion of our Series A Preferred held by two institutional investors;</w:t>
      </w:r>
    </w:p>
    <w:p>
      <w:pPr>
        <w:spacing w:after="0" w:line="161" w:lineRule="exact"/>
        <w:rPr>
          <w:rFonts w:ascii="Arial" w:cs="Arial" w:eastAsia="Arial" w:hAnsi="Arial"/>
          <w:sz w:val="11"/>
          <w:szCs w:val="11"/>
          <w:color w:val="auto"/>
        </w:rPr>
      </w:pPr>
    </w:p>
    <w:p>
      <w:pPr>
        <w:ind w:left="948" w:hanging="948"/>
        <w:spacing w:after="0" w:line="276" w:lineRule="auto"/>
        <w:tabs>
          <w:tab w:leader="none" w:pos="948" w:val="left"/>
        </w:tabs>
        <w:numPr>
          <w:ilvl w:val="0"/>
          <w:numId w:val="65"/>
        </w:numPr>
        <w:rPr>
          <w:rFonts w:ascii="Arial" w:cs="Arial" w:eastAsia="Arial" w:hAnsi="Arial"/>
          <w:sz w:val="12"/>
          <w:szCs w:val="12"/>
          <w:color w:val="auto"/>
        </w:rPr>
      </w:pPr>
      <w:r>
        <w:rPr>
          <w:rFonts w:ascii="Arial" w:cs="Arial" w:eastAsia="Arial" w:hAnsi="Arial"/>
          <w:sz w:val="12"/>
          <w:szCs w:val="12"/>
          <w:color w:val="auto"/>
        </w:rPr>
        <w:t>12,279 shares of common stock reserved for issuance upon exercise of outstanding stock options under our 1999 Stock Incentive Plan and 985,000 shares of common stock reserved for issuance upon exercise of outstanding stock options and for future grants under our 2008 Stock Incentive Plan;</w:t>
      </w:r>
    </w:p>
    <w:p>
      <w:pPr>
        <w:spacing w:after="0" w:line="114" w:lineRule="exact"/>
        <w:rPr>
          <w:rFonts w:ascii="Arial" w:cs="Arial" w:eastAsia="Arial" w:hAnsi="Arial"/>
          <w:sz w:val="12"/>
          <w:szCs w:val="12"/>
          <w:color w:val="auto"/>
        </w:rPr>
      </w:pPr>
    </w:p>
    <w:p>
      <w:pPr>
        <w:ind w:left="948" w:hanging="948"/>
        <w:spacing w:after="0"/>
        <w:tabs>
          <w:tab w:leader="none" w:pos="948" w:val="left"/>
        </w:tabs>
        <w:numPr>
          <w:ilvl w:val="0"/>
          <w:numId w:val="65"/>
        </w:numPr>
        <w:rPr>
          <w:rFonts w:ascii="Arial" w:cs="Arial" w:eastAsia="Arial" w:hAnsi="Arial"/>
          <w:sz w:val="12"/>
          <w:szCs w:val="12"/>
          <w:color w:val="auto"/>
        </w:rPr>
      </w:pPr>
      <w:r>
        <w:rPr>
          <w:rFonts w:ascii="Arial" w:cs="Arial" w:eastAsia="Arial" w:hAnsi="Arial"/>
          <w:sz w:val="12"/>
          <w:szCs w:val="12"/>
          <w:color w:val="auto"/>
        </w:rPr>
        <w:t>3,985,781 shares of common stock issuable upon exercise of outstanding warrants, including warrants to purchase 1,040,791 shares of common stock included as Registrable Securities herein;</w:t>
      </w:r>
    </w:p>
    <w:p>
      <w:pPr>
        <w:spacing w:after="0" w:line="150" w:lineRule="exact"/>
        <w:rPr>
          <w:rFonts w:ascii="Arial" w:cs="Arial" w:eastAsia="Arial" w:hAnsi="Arial"/>
          <w:sz w:val="12"/>
          <w:szCs w:val="12"/>
          <w:color w:val="auto"/>
        </w:rPr>
      </w:pPr>
    </w:p>
    <w:p>
      <w:pPr>
        <w:ind w:left="948" w:hanging="948"/>
        <w:spacing w:after="0"/>
        <w:tabs>
          <w:tab w:leader="none" w:pos="948" w:val="left"/>
        </w:tabs>
        <w:numPr>
          <w:ilvl w:val="0"/>
          <w:numId w:val="65"/>
        </w:numPr>
        <w:rPr>
          <w:rFonts w:ascii="Arial" w:cs="Arial" w:eastAsia="Arial" w:hAnsi="Arial"/>
          <w:sz w:val="12"/>
          <w:szCs w:val="12"/>
          <w:color w:val="auto"/>
        </w:rPr>
      </w:pPr>
      <w:r>
        <w:rPr>
          <w:rFonts w:ascii="Arial" w:cs="Arial" w:eastAsia="Arial" w:hAnsi="Arial"/>
          <w:sz w:val="12"/>
          <w:szCs w:val="12"/>
          <w:color w:val="auto"/>
        </w:rPr>
        <w:t>3,491,465 shares of our common stock, of which 2,951,688 shares are included as Registrable Securities herein, reserved for issuance upon the conversion of our Series B Preferred.</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Common Stock</w:t>
      </w:r>
    </w:p>
    <w:p>
      <w:pPr>
        <w:spacing w:after="0" w:line="15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Voting rights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Dividend rights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2"/>
          <w:szCs w:val="12"/>
          <w:i w:val="1"/>
          <w:iCs w:val="1"/>
          <w:color w:val="auto"/>
        </w:rPr>
        <w:t>Dividend</w:t>
      </w:r>
      <w:r>
        <w:rPr>
          <w:rFonts w:ascii="Arial" w:cs="Arial" w:eastAsia="Arial" w:hAnsi="Arial"/>
          <w:sz w:val="12"/>
          <w:szCs w:val="12"/>
          <w:color w:val="auto"/>
        </w:rPr>
        <w:t xml:space="preserve"> </w:t>
      </w:r>
      <w:r>
        <w:rPr>
          <w:rFonts w:ascii="Arial" w:cs="Arial" w:eastAsia="Arial" w:hAnsi="Arial"/>
          <w:sz w:val="12"/>
          <w:szCs w:val="12"/>
          <w:i w:val="1"/>
          <w:iCs w:val="1"/>
          <w:color w:val="auto"/>
        </w:rPr>
        <w:t>Policy</w:t>
      </w:r>
      <w:r>
        <w:rPr>
          <w:rFonts w:ascii="Arial" w:cs="Arial" w:eastAsia="Arial" w:hAnsi="Arial"/>
          <w:sz w:val="12"/>
          <w:szCs w:val="12"/>
          <w:color w:val="auto"/>
        </w:rPr>
        <w:t>” for more information.</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Liquidation rights</w:t>
      </w:r>
    </w:p>
    <w:p>
      <w:pPr>
        <w:spacing w:after="0" w:line="15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No preemptive or similar rights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Our common stock is not entitled to is not subject to conversion, redemption, sinking fund or similar provisions regarding the common stock.</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Issuance of Series B Preferred</w:t>
      </w:r>
    </w:p>
    <w:p>
      <w:pPr>
        <w:spacing w:after="0" w:line="173"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On May 7, 2015, we filed the Certificate of Designation of the Relative Rights and Preferences of the Series B 10% Preferred Stock of VistaGen Therapeutics, Inc. (the “</w:t>
      </w:r>
      <w:r>
        <w:rPr>
          <w:rFonts w:ascii="Arial" w:cs="Arial" w:eastAsia="Arial" w:hAnsi="Arial"/>
          <w:sz w:val="11"/>
          <w:szCs w:val="11"/>
          <w:i w:val="1"/>
          <w:iCs w:val="1"/>
          <w:color w:val="auto"/>
        </w:rPr>
        <w:t>Certificate of Designation</w:t>
      </w:r>
      <w:r>
        <w:rPr>
          <w:rFonts w:ascii="Arial" w:cs="Arial" w:eastAsia="Arial" w:hAnsi="Arial"/>
          <w:sz w:val="11"/>
          <w:szCs w:val="11"/>
          <w:color w:val="auto"/>
        </w:rPr>
        <w:t>”) with the Nevada Secretary of State in order to designate 4.0 million shares of the Company’s preferred stock as Series B 10%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Each share of the Company’s Series B Preferred is convertible, at the option of the holder thereof (“</w:t>
      </w:r>
      <w:r>
        <w:rPr>
          <w:rFonts w:ascii="Arial" w:cs="Arial" w:eastAsia="Arial" w:hAnsi="Arial"/>
          <w:sz w:val="11"/>
          <w:szCs w:val="11"/>
          <w:i w:val="1"/>
          <w:iCs w:val="1"/>
          <w:color w:val="auto"/>
        </w:rPr>
        <w:t>Voluntary Conversion</w:t>
      </w:r>
      <w:r>
        <w:rPr>
          <w:rFonts w:ascii="Arial" w:cs="Arial" w:eastAsia="Arial" w:hAnsi="Arial"/>
          <w:sz w:val="11"/>
          <w:szCs w:val="11"/>
          <w:color w:val="auto"/>
        </w:rPr>
        <w:t>”), into one (1) share of Common Stock at a fixed conversion price of $7.00 per share, subject to adjustment only for customary stock dividends, reclassifications, splits and similar transactions (“</w:t>
      </w:r>
      <w:r>
        <w:rPr>
          <w:rFonts w:ascii="Arial" w:cs="Arial" w:eastAsia="Arial" w:hAnsi="Arial"/>
          <w:sz w:val="11"/>
          <w:szCs w:val="11"/>
          <w:i w:val="1"/>
          <w:iCs w:val="1"/>
          <w:color w:val="auto"/>
        </w:rPr>
        <w:t>Fixed</w:t>
      </w:r>
      <w:r>
        <w:rPr>
          <w:rFonts w:ascii="Arial" w:cs="Arial" w:eastAsia="Arial" w:hAnsi="Arial"/>
          <w:sz w:val="11"/>
          <w:szCs w:val="11"/>
          <w:color w:val="auto"/>
        </w:rPr>
        <w:t xml:space="preserve"> </w:t>
      </w:r>
      <w:r>
        <w:rPr>
          <w:rFonts w:ascii="Arial" w:cs="Arial" w:eastAsia="Arial" w:hAnsi="Arial"/>
          <w:sz w:val="11"/>
          <w:szCs w:val="11"/>
          <w:i w:val="1"/>
          <w:iCs w:val="1"/>
          <w:color w:val="auto"/>
        </w:rPr>
        <w:t>Conversion Price</w:t>
      </w:r>
      <w:r>
        <w:rPr>
          <w:rFonts w:ascii="Arial" w:cs="Arial" w:eastAsia="Arial" w:hAnsi="Arial"/>
          <w:sz w:val="11"/>
          <w:szCs w:val="11"/>
          <w:color w:val="auto"/>
        </w:rPr>
        <w:t>”). All shares of Series B Preferred are also convertible automatically into Common Stock (“</w:t>
      </w:r>
      <w:r>
        <w:rPr>
          <w:rFonts w:ascii="Arial" w:cs="Arial" w:eastAsia="Arial" w:hAnsi="Arial"/>
          <w:sz w:val="11"/>
          <w:szCs w:val="11"/>
          <w:i w:val="1"/>
          <w:iCs w:val="1"/>
          <w:color w:val="auto"/>
        </w:rPr>
        <w:t>Automatic Conversion</w:t>
      </w:r>
      <w:r>
        <w:rPr>
          <w:rFonts w:ascii="Arial" w:cs="Arial" w:eastAsia="Arial" w:hAnsi="Arial"/>
          <w:sz w:val="11"/>
          <w:szCs w:val="11"/>
          <w:color w:val="auto"/>
        </w:rPr>
        <w:t>”) upon the closing or effective date of any of the following transactions or events: (i) a strategic</w:t>
      </w:r>
      <w:r>
        <w:rPr>
          <w:rFonts w:ascii="Arial" w:cs="Arial" w:eastAsia="Arial" w:hAnsi="Arial"/>
          <w:sz w:val="11"/>
          <w:szCs w:val="11"/>
          <w:i w:val="1"/>
          <w:iCs w:val="1"/>
          <w:color w:val="auto"/>
        </w:rPr>
        <w:t xml:space="preserve"> </w:t>
      </w:r>
      <w:r>
        <w:rPr>
          <w:rFonts w:ascii="Arial" w:cs="Arial" w:eastAsia="Arial" w:hAnsi="Arial"/>
          <w:sz w:val="11"/>
          <w:szCs w:val="11"/>
          <w:color w:val="auto"/>
        </w:rPr>
        <w:t>transaction involving AV-101, the Company’s orally-available new prodrug candidate in clinical development for Major Depressive Disorder and other diseases and disorders of the central nervous system,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(collectively, “</w:t>
      </w:r>
      <w:r>
        <w:rPr>
          <w:rFonts w:ascii="Arial" w:cs="Arial" w:eastAsia="Arial" w:hAnsi="Arial"/>
          <w:sz w:val="11"/>
          <w:szCs w:val="11"/>
          <w:i w:val="1"/>
          <w:iCs w:val="1"/>
          <w:color w:val="auto"/>
        </w:rPr>
        <w:t>Conversion</w:t>
      </w:r>
      <w:r>
        <w:rPr>
          <w:rFonts w:ascii="Arial" w:cs="Arial" w:eastAsia="Arial" w:hAnsi="Arial"/>
          <w:sz w:val="11"/>
          <w:szCs w:val="11"/>
          <w:color w:val="auto"/>
        </w:rPr>
        <w:t>”) are subject to customary beneficial ownership blockers. Prior to Conversion, shares of Series B Preferred will accrue dividends, payable only in unregistered shares of Common Stock, at a rate of 10% per annum (the “</w:t>
      </w:r>
      <w:r>
        <w:rPr>
          <w:rFonts w:ascii="Arial" w:cs="Arial" w:eastAsia="Arial" w:hAnsi="Arial"/>
          <w:sz w:val="11"/>
          <w:szCs w:val="11"/>
          <w:i w:val="1"/>
          <w:iCs w:val="1"/>
          <w:color w:val="auto"/>
        </w:rPr>
        <w:t>Accrued Dividend</w:t>
      </w:r>
      <w:r>
        <w:rPr>
          <w:rFonts w:ascii="Arial" w:cs="Arial" w:eastAsia="Arial" w:hAnsi="Arial"/>
          <w:sz w:val="11"/>
          <w:szCs w:val="11"/>
          <w:color w:val="auto"/>
        </w:rPr>
        <w:t>”). The Accrued Dividend will be payable only on the date of Conversion solely in that number of shares of Common Stock equal to the Accrued Dividend, divided by the Fixed Conversion Price.</w:t>
      </w:r>
    </w:p>
    <w:p>
      <w:pPr>
        <w:spacing w:after="0" w:line="23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17" w:name="page118"/>
    <w:bookmarkEnd w:id="11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Effective May 12, 2015, the Company and Platinum Long Term Growth VII, LLC (“</w:t>
      </w:r>
      <w:r>
        <w:rPr>
          <w:rFonts w:ascii="Arial" w:cs="Arial" w:eastAsia="Arial" w:hAnsi="Arial"/>
          <w:sz w:val="12"/>
          <w:szCs w:val="12"/>
          <w:i w:val="1"/>
          <w:iCs w:val="1"/>
          <w:color w:val="auto"/>
        </w:rPr>
        <w:t>Platinum</w:t>
      </w:r>
      <w:r>
        <w:rPr>
          <w:rFonts w:ascii="Arial" w:cs="Arial" w:eastAsia="Arial" w:hAnsi="Arial"/>
          <w:sz w:val="12"/>
          <w:szCs w:val="12"/>
          <w:color w:val="auto"/>
        </w:rPr>
        <w:t>”) entered into an agreement (the “</w:t>
      </w:r>
      <w:r>
        <w:rPr>
          <w:rFonts w:ascii="Arial" w:cs="Arial" w:eastAsia="Arial" w:hAnsi="Arial"/>
          <w:sz w:val="12"/>
          <w:szCs w:val="12"/>
          <w:i w:val="1"/>
          <w:iCs w:val="1"/>
          <w:color w:val="auto"/>
        </w:rPr>
        <w:t>Platinum Agreement</w:t>
      </w:r>
      <w:r>
        <w:rPr>
          <w:rFonts w:ascii="Arial" w:cs="Arial" w:eastAsia="Arial" w:hAnsi="Arial"/>
          <w:sz w:val="12"/>
          <w:szCs w:val="12"/>
          <w:color w:val="auto"/>
        </w:rPr>
        <w:t>”), under which Platinum has:</w:t>
      </w:r>
    </w:p>
    <w:p>
      <w:pPr>
        <w:spacing w:after="0" w:line="168" w:lineRule="exact"/>
        <w:rPr>
          <w:sz w:val="20"/>
          <w:szCs w:val="20"/>
          <w:color w:val="auto"/>
        </w:rPr>
      </w:pPr>
    </w:p>
    <w:p>
      <w:pPr>
        <w:ind w:left="960" w:right="20" w:hanging="357"/>
        <w:spacing w:after="0" w:line="276" w:lineRule="auto"/>
        <w:tabs>
          <w:tab w:leader="none" w:pos="9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Converted all of the approximately $4.5 million outstanding balance (principal and accrued but unpaid interest) of its Senior Secured Convertible Promissory Notes issued by the Company (the “Senior Secured Notes”), into 641,335 shares of Series B Preferred, thereby cancelling approximately $4.5 million of the Company’s indebtedness;</w:t>
      </w:r>
    </w:p>
    <w:p>
      <w:pPr>
        <w:spacing w:after="0" w:line="132" w:lineRule="exact"/>
        <w:rPr>
          <w:rFonts w:ascii="Arial" w:cs="Arial" w:eastAsia="Arial" w:hAnsi="Arial"/>
          <w:sz w:val="12"/>
          <w:szCs w:val="12"/>
          <w:color w:val="auto"/>
        </w:rPr>
      </w:pPr>
    </w:p>
    <w:p>
      <w:pPr>
        <w:ind w:left="960" w:hanging="357"/>
        <w:spacing w:after="0" w:line="276" w:lineRule="auto"/>
        <w:tabs>
          <w:tab w:leader="none" w:pos="9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Released all of its security interests in the assets of the Company and its subsidiaries by terminating the Amended and Restated Security Agreement, IP Security Agreement and Negative Covenant, each by and between the Company and Platinum and dated October 11, 2012;</w:t>
      </w:r>
    </w:p>
    <w:p>
      <w:pPr>
        <w:spacing w:after="0" w:line="132" w:lineRule="exact"/>
        <w:rPr>
          <w:rFonts w:ascii="Arial" w:cs="Arial" w:eastAsia="Arial" w:hAnsi="Arial"/>
          <w:sz w:val="12"/>
          <w:szCs w:val="12"/>
          <w:color w:val="auto"/>
        </w:rPr>
      </w:pPr>
    </w:p>
    <w:p>
      <w:pPr>
        <w:jc w:val="both"/>
        <w:ind w:left="960" w:hanging="357"/>
        <w:spacing w:after="0" w:line="263" w:lineRule="auto"/>
        <w:tabs>
          <w:tab w:leader="none" w:pos="9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Converted all of the approximately $1.3 million outstanding balance (principal and accrued but unpaid interest) of its Subordinated Convertible Promissory Notes issued by the Company (“</w:t>
      </w:r>
      <w:r>
        <w:rPr>
          <w:rFonts w:ascii="Arial" w:cs="Arial" w:eastAsia="Arial" w:hAnsi="Arial"/>
          <w:sz w:val="12"/>
          <w:szCs w:val="12"/>
          <w:i w:val="1"/>
          <w:iCs w:val="1"/>
          <w:color w:val="auto"/>
        </w:rPr>
        <w:t>Platinum Subordinated</w:t>
      </w:r>
      <w:r>
        <w:rPr>
          <w:rFonts w:ascii="Arial" w:cs="Arial" w:eastAsia="Arial" w:hAnsi="Arial"/>
          <w:sz w:val="12"/>
          <w:szCs w:val="12"/>
          <w:color w:val="auto"/>
        </w:rPr>
        <w:t xml:space="preserve"> </w:t>
      </w:r>
      <w:r>
        <w:rPr>
          <w:rFonts w:ascii="Arial" w:cs="Arial" w:eastAsia="Arial" w:hAnsi="Arial"/>
          <w:sz w:val="12"/>
          <w:szCs w:val="12"/>
          <w:i w:val="1"/>
          <w:iCs w:val="1"/>
          <w:color w:val="auto"/>
        </w:rPr>
        <w:t>Notes</w:t>
      </w:r>
      <w:r>
        <w:rPr>
          <w:rFonts w:ascii="Arial" w:cs="Arial" w:eastAsia="Arial" w:hAnsi="Arial"/>
          <w:sz w:val="12"/>
          <w:szCs w:val="12"/>
          <w:color w:val="auto"/>
        </w:rPr>
        <w:t>”) into 240,305 shares of Series B Preferred and five-year warrants to purchase 240,305 shares of Common Stock at a fixed exercise price of $7.00 per share, subject to adjustment only for customary stock</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reclassifications, splits and similar transactions (“</w:t>
      </w:r>
      <w:r>
        <w:rPr>
          <w:rFonts w:ascii="Arial" w:cs="Arial" w:eastAsia="Arial" w:hAnsi="Arial"/>
          <w:sz w:val="12"/>
          <w:szCs w:val="12"/>
          <w:i w:val="1"/>
          <w:iCs w:val="1"/>
          <w:color w:val="auto"/>
        </w:rPr>
        <w:t>Warrants</w:t>
      </w:r>
      <w:r>
        <w:rPr>
          <w:rFonts w:ascii="Arial" w:cs="Arial" w:eastAsia="Arial" w:hAnsi="Arial"/>
          <w:sz w:val="12"/>
          <w:szCs w:val="12"/>
          <w:color w:val="auto"/>
        </w:rPr>
        <w:t>”), thereby cancelling approximately $1.3 million of the Company’s indebtedness;</w:t>
      </w:r>
    </w:p>
    <w:p>
      <w:pPr>
        <w:spacing w:after="0" w:line="140" w:lineRule="exact"/>
        <w:rPr>
          <w:rFonts w:ascii="Arial" w:cs="Arial" w:eastAsia="Arial" w:hAnsi="Arial"/>
          <w:sz w:val="12"/>
          <w:szCs w:val="12"/>
          <w:color w:val="auto"/>
        </w:rPr>
      </w:pPr>
    </w:p>
    <w:p>
      <w:pPr>
        <w:jc w:val="both"/>
        <w:ind w:left="960" w:right="20" w:hanging="357"/>
        <w:spacing w:after="0" w:line="263" w:lineRule="auto"/>
        <w:tabs>
          <w:tab w:leader="none" w:pos="9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Purchased approximately $1.5 million (including accrued but unpaid interest thereon) of outstanding Subordinated Notes issued by the Company from the respective holders thereof (“</w:t>
      </w:r>
      <w:r>
        <w:rPr>
          <w:rFonts w:ascii="Arial" w:cs="Arial" w:eastAsia="Arial" w:hAnsi="Arial"/>
          <w:sz w:val="12"/>
          <w:szCs w:val="12"/>
          <w:i w:val="1"/>
          <w:iCs w:val="1"/>
          <w:color w:val="auto"/>
        </w:rPr>
        <w:t>Investor Subordinated Notes</w:t>
      </w:r>
      <w:r>
        <w:rPr>
          <w:rFonts w:ascii="Arial" w:cs="Arial" w:eastAsia="Arial" w:hAnsi="Arial"/>
          <w:sz w:val="12"/>
          <w:szCs w:val="12"/>
          <w:color w:val="auto"/>
        </w:rPr>
        <w:t>”) and converted the entire outstanding balance of the Investor Subordinated Notes into 265,699 shares of Series B Preferred and 265,699 Warrants, thereby cancelling approximately $1.5 million of the Company’s indebtedness;</w:t>
      </w:r>
    </w:p>
    <w:p>
      <w:pPr>
        <w:spacing w:after="0" w:line="140" w:lineRule="exact"/>
        <w:rPr>
          <w:rFonts w:ascii="Arial" w:cs="Arial" w:eastAsia="Arial" w:hAnsi="Arial"/>
          <w:sz w:val="12"/>
          <w:szCs w:val="12"/>
          <w:color w:val="auto"/>
        </w:rPr>
      </w:pPr>
    </w:p>
    <w:p>
      <w:pPr>
        <w:ind w:left="960" w:right="20" w:hanging="357"/>
        <w:spacing w:after="0" w:line="276" w:lineRule="auto"/>
        <w:tabs>
          <w:tab w:leader="none" w:pos="9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Signed and delivered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to purchase, for $1.0 million in a self-placed private placement transaction, a total of 142,857 shares of Series B Preferred and 142,857 Warrants on or before June 11, 2015. A form of the SPA is attached to this Current Report on Form 8-K as Exhibit 10.3;</w:t>
      </w:r>
    </w:p>
    <w:p>
      <w:pPr>
        <w:spacing w:after="0" w:line="132" w:lineRule="exact"/>
        <w:rPr>
          <w:rFonts w:ascii="Arial" w:cs="Arial" w:eastAsia="Arial" w:hAnsi="Arial"/>
          <w:sz w:val="12"/>
          <w:szCs w:val="12"/>
          <w:color w:val="auto"/>
        </w:rPr>
      </w:pPr>
    </w:p>
    <w:p>
      <w:pPr>
        <w:ind w:left="960" w:hanging="357"/>
        <w:spacing w:after="0" w:line="276" w:lineRule="auto"/>
        <w:tabs>
          <w:tab w:leader="none" w:pos="9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Amended all warrants previously issued by the Company to Platinum in connection with the Senior Secured Notes, and warrants that still may be issued pursuant to the Note Exchange and Purchase Agreement, by and between the Company and Platinum, dated October 11, 2012 (the “</w:t>
      </w:r>
      <w:r>
        <w:rPr>
          <w:rFonts w:ascii="Arial" w:cs="Arial" w:eastAsia="Arial" w:hAnsi="Arial"/>
          <w:sz w:val="12"/>
          <w:szCs w:val="12"/>
          <w:i w:val="1"/>
          <w:iCs w:val="1"/>
          <w:color w:val="auto"/>
        </w:rPr>
        <w:t>NEPA</w:t>
      </w:r>
      <w:r>
        <w:rPr>
          <w:rFonts w:ascii="Arial" w:cs="Arial" w:eastAsia="Arial" w:hAnsi="Arial"/>
          <w:sz w:val="12"/>
          <w:szCs w:val="12"/>
          <w:color w:val="auto"/>
        </w:rPr>
        <w:t>”), if any (collectively, the “</w:t>
      </w:r>
      <w:r>
        <w:rPr>
          <w:rFonts w:ascii="Arial" w:cs="Arial" w:eastAsia="Arial" w:hAnsi="Arial"/>
          <w:sz w:val="12"/>
          <w:szCs w:val="12"/>
          <w:i w:val="1"/>
          <w:iCs w:val="1"/>
          <w:color w:val="auto"/>
        </w:rPr>
        <w:t>Exchange Warrants</w:t>
      </w:r>
      <w:r>
        <w:rPr>
          <w:rFonts w:ascii="Arial" w:cs="Arial" w:eastAsia="Arial" w:hAnsi="Arial"/>
          <w:sz w:val="12"/>
          <w:szCs w:val="12"/>
          <w:color w:val="auto"/>
        </w:rPr>
        <w:t>”) to:</w:t>
      </w:r>
    </w:p>
    <w:p>
      <w:pPr>
        <w:spacing w:after="0" w:line="133" w:lineRule="exact"/>
        <w:rPr>
          <w:sz w:val="20"/>
          <w:szCs w:val="20"/>
          <w:color w:val="auto"/>
        </w:rPr>
      </w:pPr>
    </w:p>
    <w:p>
      <w:pPr>
        <w:ind w:left="1820" w:hanging="480"/>
        <w:spacing w:after="0"/>
        <w:tabs>
          <w:tab w:leader="none" w:pos="18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fix the exercise price thereof at $7.00 per share;</w:t>
      </w:r>
    </w:p>
    <w:p>
      <w:pPr>
        <w:spacing w:after="0" w:line="14" w:lineRule="exact"/>
        <w:rPr>
          <w:rFonts w:ascii="Arial" w:cs="Arial" w:eastAsia="Arial" w:hAnsi="Arial"/>
          <w:sz w:val="12"/>
          <w:szCs w:val="12"/>
          <w:color w:val="auto"/>
        </w:rPr>
      </w:pPr>
    </w:p>
    <w:p>
      <w:pPr>
        <w:ind w:left="1820" w:hanging="475"/>
        <w:spacing w:after="0"/>
        <w:tabs>
          <w:tab w:leader="none" w:pos="18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fix the number of shares of the Company’s Common Stock issuable thereunder; and</w:t>
      </w:r>
    </w:p>
    <w:p>
      <w:pPr>
        <w:spacing w:after="0" w:line="6" w:lineRule="exact"/>
        <w:rPr>
          <w:sz w:val="20"/>
          <w:szCs w:val="20"/>
          <w:color w:val="auto"/>
        </w:rPr>
      </w:pPr>
    </w:p>
    <w:p>
      <w:pPr>
        <w:ind w:left="1840" w:hanging="486"/>
        <w:spacing w:after="0"/>
        <w:tabs>
          <w:tab w:leader="none" w:pos="1840" w:val="left"/>
        </w:tabs>
        <w:numPr>
          <w:ilvl w:val="1"/>
          <w:numId w:val="68"/>
        </w:numPr>
        <w:rPr>
          <w:rFonts w:ascii="Arial" w:cs="Arial" w:eastAsia="Arial" w:hAnsi="Arial"/>
          <w:sz w:val="12"/>
          <w:szCs w:val="12"/>
          <w:color w:val="auto"/>
        </w:rPr>
      </w:pPr>
      <w:r>
        <w:rPr>
          <w:rFonts w:ascii="Arial" w:cs="Arial" w:eastAsia="Arial" w:hAnsi="Arial"/>
          <w:sz w:val="12"/>
          <w:szCs w:val="12"/>
          <w:color w:val="auto"/>
        </w:rPr>
        <w:t>eliminate the cashless exercise provisions from all Exchange Warrants.</w:t>
      </w:r>
    </w:p>
    <w:p>
      <w:pPr>
        <w:spacing w:after="0" w:line="159" w:lineRule="exact"/>
        <w:rPr>
          <w:rFonts w:ascii="Arial" w:cs="Arial" w:eastAsia="Arial" w:hAnsi="Arial"/>
          <w:sz w:val="12"/>
          <w:szCs w:val="12"/>
          <w:color w:val="auto"/>
        </w:rPr>
      </w:pPr>
    </w:p>
    <w:p>
      <w:pPr>
        <w:ind w:left="960" w:hanging="357"/>
        <w:spacing w:after="0" w:line="276" w:lineRule="auto"/>
        <w:tabs>
          <w:tab w:leader="none" w:pos="9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Agreed to lock-up (refrain from) the potential sale of any shares of common stock held by Platinum or its affiliates until the earlier to occur of an effective registration statement relating to resale of Conversion Shares under the Securities Act of 1933, as amended, or the closing price of the Company’s Common Stock is at least $15.00 per share.</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 additional consideration for the agreements of Platinum under the Platinum Agreement, the Company issued to Platinum 400,000 shares of Series B Preferred and Warrants to purchase 1.2 million shares of Common Stock and exchanged 30,000 shares of Common Stock currently beneficially owned or controlled by Platinum for 30,000 shares of Series B Preferred.</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June 12, 2015, the Company, and certain of the Company’s note holders and strategic partners agreed to convert an aggregate total of approximately $5.3 million of the Company’s outstanding debt obligations into 750,918 shares of Series B Preferred (the “</w:t>
      </w:r>
      <w:r>
        <w:rPr>
          <w:rFonts w:ascii="Arial" w:cs="Arial" w:eastAsia="Arial" w:hAnsi="Arial"/>
          <w:sz w:val="12"/>
          <w:szCs w:val="12"/>
          <w:i w:val="1"/>
          <w:iCs w:val="1"/>
          <w:color w:val="auto"/>
        </w:rPr>
        <w:t>Debt-to-Equity Conversions</w:t>
      </w:r>
      <w:r>
        <w:rPr>
          <w:rFonts w:ascii="Arial" w:cs="Arial" w:eastAsia="Arial" w:hAnsi="Arial"/>
          <w:sz w:val="12"/>
          <w:szCs w:val="12"/>
          <w:color w:val="auto"/>
        </w:rPr>
        <w:t>”).</w:t>
      </w:r>
    </w:p>
    <w:p>
      <w:pPr>
        <w:spacing w:after="0" w:line="133"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0"/>
          <w:szCs w:val="10"/>
          <w:color w:val="auto"/>
        </w:rPr>
        <w:t>In connection with the foregoing Debt-to-Equity Conversions, effective as of June 12, 2015, the Company entered into a letter agreement with Morrison &amp; Foerster LLP (“</w:t>
      </w:r>
      <w:r>
        <w:rPr>
          <w:rFonts w:ascii="Arial" w:cs="Arial" w:eastAsia="Arial" w:hAnsi="Arial"/>
          <w:sz w:val="10"/>
          <w:szCs w:val="10"/>
          <w:i w:val="1"/>
          <w:iCs w:val="1"/>
          <w:color w:val="auto"/>
        </w:rPr>
        <w:t>MF</w:t>
      </w:r>
      <w:r>
        <w:rPr>
          <w:rFonts w:ascii="Arial" w:cs="Arial" w:eastAsia="Arial" w:hAnsi="Arial"/>
          <w:sz w:val="10"/>
          <w:szCs w:val="10"/>
          <w:color w:val="auto"/>
        </w:rPr>
        <w:t>”) (the “</w:t>
      </w:r>
      <w:r>
        <w:rPr>
          <w:rFonts w:ascii="Arial" w:cs="Arial" w:eastAsia="Arial" w:hAnsi="Arial"/>
          <w:sz w:val="10"/>
          <w:szCs w:val="10"/>
          <w:i w:val="1"/>
          <w:iCs w:val="1"/>
          <w:color w:val="auto"/>
        </w:rPr>
        <w:t>Letter Agreement</w:t>
      </w:r>
      <w:r>
        <w:rPr>
          <w:rFonts w:ascii="Arial" w:cs="Arial" w:eastAsia="Arial" w:hAnsi="Arial"/>
          <w:sz w:val="10"/>
          <w:szCs w:val="10"/>
          <w:color w:val="auto"/>
        </w:rPr>
        <w:t>”) with regards to (i) certain promissory notes issued by the Company to MF, each due and payable on or before March 31, 2016, one in the principal amount of approximately $917,000 (“</w:t>
      </w:r>
      <w:r>
        <w:rPr>
          <w:rFonts w:ascii="Arial" w:cs="Arial" w:eastAsia="Arial" w:hAnsi="Arial"/>
          <w:sz w:val="10"/>
          <w:szCs w:val="10"/>
          <w:i w:val="1"/>
          <w:iCs w:val="1"/>
          <w:color w:val="auto"/>
        </w:rPr>
        <w:t>Note A</w:t>
      </w:r>
      <w:r>
        <w:rPr>
          <w:rFonts w:ascii="Arial" w:cs="Arial" w:eastAsia="Arial" w:hAnsi="Arial"/>
          <w:sz w:val="10"/>
          <w:szCs w:val="10"/>
          <w:color w:val="auto"/>
        </w:rPr>
        <w:t>”) and another in the principal amount of approximately $1.4 million (“</w:t>
      </w:r>
      <w:r>
        <w:rPr>
          <w:rFonts w:ascii="Arial" w:cs="Arial" w:eastAsia="Arial" w:hAnsi="Arial"/>
          <w:sz w:val="10"/>
          <w:szCs w:val="10"/>
          <w:i w:val="1"/>
          <w:iCs w:val="1"/>
          <w:color w:val="auto"/>
        </w:rPr>
        <w:t>Note B</w:t>
      </w:r>
      <w:r>
        <w:rPr>
          <w:rFonts w:ascii="Arial" w:cs="Arial" w:eastAsia="Arial" w:hAnsi="Arial"/>
          <w:sz w:val="10"/>
          <w:szCs w:val="10"/>
          <w:color w:val="auto"/>
        </w:rPr>
        <w:t>”), and (ii) certain warrants held by MF to purchase an aggregate of 110,448 shares of the Company’s common stock, par value $0.001 per share, at exercise prices of $20.00 per share $40.00 per share (the “</w:t>
      </w:r>
      <w:r>
        <w:rPr>
          <w:rFonts w:ascii="Arial" w:cs="Arial" w:eastAsia="Arial" w:hAnsi="Arial"/>
          <w:sz w:val="10"/>
          <w:szCs w:val="10"/>
          <w:i w:val="1"/>
          <w:iCs w:val="1"/>
          <w:color w:val="auto"/>
        </w:rPr>
        <w:t>MF Warrants</w:t>
      </w:r>
      <w:r>
        <w:rPr>
          <w:rFonts w:ascii="Arial" w:cs="Arial" w:eastAsia="Arial" w:hAnsi="Arial"/>
          <w:sz w:val="10"/>
          <w:szCs w:val="10"/>
          <w:color w:val="auto"/>
        </w:rPr>
        <w:t>”). Subject to certain conditions set forth in the Letter Agreement, each of which has now been satisfied by the Company, MF agreed to convert the principal amount and all accrued but unpaid interest of Note B into 257,143 shares of Series B Preferred and to withhold any and all action to collect amounts due under Note A, and certain amounts owed by the Company to MF in connection with services previously rendered by MF. Additionally, concurrently with the conversion of Note B into shares of Series B Preferred, the Company agreed to amend the MF Warrants to extend the expiration date of each warrant to September 15, 2019, and to set the exercise price of each MF Warrant to $20.00 per share.</w:t>
      </w:r>
    </w:p>
    <w:p>
      <w:pPr>
        <w:spacing w:after="0" w:line="11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Between July 1, 2015 and August 12, 2015, we consummated additional Debt-to-Equity Conversions. In this regard, the entire outstanding balance (principal plus accrued interest) of our outstanding promissory note payable to Desjardins Securities and our promissory note and accounts payable due to MicroConstants, were converted into Series B Preferred. In addition, effective July 31, 2015, MF assigned to certain investors all of its right, title and interest in and to the A Note and accounts payable by the Company to MF (“</w:t>
      </w:r>
      <w:r>
        <w:rPr>
          <w:rFonts w:ascii="Arial" w:cs="Arial" w:eastAsia="Arial" w:hAnsi="Arial"/>
          <w:sz w:val="12"/>
          <w:szCs w:val="12"/>
          <w:i w:val="1"/>
          <w:iCs w:val="1"/>
          <w:color w:val="auto"/>
        </w:rPr>
        <w:t>MF Debt</w:t>
      </w:r>
      <w:r>
        <w:rPr>
          <w:rFonts w:ascii="Arial" w:cs="Arial" w:eastAsia="Arial" w:hAnsi="Arial"/>
          <w:sz w:val="12"/>
          <w:szCs w:val="12"/>
          <w:color w:val="auto"/>
        </w:rPr>
        <w:t>”), totaling approximately $1,348,394, for and in consideration for the receipt by MF of $809,037.05, which investors immediately exchanged such MF Debt for Series B Preferred. As a result of the foregoing, debt owed to MF and certain other amounts due to technology licensors, professional service providers and others, in the aggregate amount of $1,678,400, were extinguished and converted into an aggregate of 255,128 shares of Series B Preferred.</w:t>
      </w:r>
    </w:p>
    <w:p>
      <w:pPr>
        <w:spacing w:after="0" w:line="14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This registration statement registers for resale shares of common stock issuable as Conversion Shares, issuable upon conversion of the shares of Series B Preferred, and Warrant Shares issuable upon exercise of the Warrants issued to Investors and Note Holders in connection with the Series B Offering and Debt-to-Equity Conversions.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8" w:name="page119"/>
    <w:bookmarkEnd w:id="11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 Shares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registration statement does not register the resale of the warrants, but does register for resale up to 1,040,791 shares of common stock issuable upon exercise of the warrants.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Shares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registration statement does not register the resale of the Series B Preferred, but does register for resale up to 2,951,688 shares of common stock issuable upon conversion of the Series B Preferred.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Transfer Agent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transfer agent is ComputerShare, Jersey City, New Jersey.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SELLING STOCKHOLDERS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each of the Investors participating in the Series B Preferred Offering and the Note Holders participating in the Note Conversion signed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wherein we agreed to register the Warrant Shares issuable upon exercise of the Warrants, and the Conversion Shares issuable upon conversion of the shares of Series B Preferred (collectively, the “</w:t>
      </w:r>
      <w:r>
        <w:rPr>
          <w:rFonts w:ascii="Arial" w:cs="Arial" w:eastAsia="Arial" w:hAnsi="Arial"/>
          <w:sz w:val="12"/>
          <w:szCs w:val="12"/>
          <w:i w:val="1"/>
          <w:iCs w:val="1"/>
          <w:color w:val="auto"/>
        </w:rPr>
        <w:t>Registrable Securities</w:t>
      </w:r>
      <w:r>
        <w:rPr>
          <w:rFonts w:ascii="Arial" w:cs="Arial" w:eastAsia="Arial" w:hAnsi="Arial"/>
          <w:sz w:val="12"/>
          <w:szCs w:val="12"/>
          <w:color w:val="auto"/>
        </w:rPr>
        <w:t>”), under the Securities Act. Accordingly, we filed a Registration Statement on Form S-1, of which this prospectus forms a part, with respect to the resale of the Registrable Securities by the selling stockholders from time to time. In addition, we agreed in the SPA to use our best efforts to cause the registration statement to be declared effective under the Securities Act by August 30, 2015, and to use our best efforts to keep the registration statement effective until the Registrable Securities are sold or may be sold without registration or prospectus delivery requirements under the Securities Act, subject to certain restrictions.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Stockholders Table</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filed a Registration Statement on Form S-1 with the SEC, of which this prospectus forms a part, with respect to the potential resale of the Registrable Securities by the selling stockholders from time to time under Rule 415 of the Securities Act. The Registrable Securities were registered to permit secondary public trading thereof. Subject to the restrictions described in this prospectus, the Selling Stockholders may offer the Registrable Securities for resale from time to time. In addition, subject to the restrictions described in this prospectus, the Selling Stockholders may sell, transfer or otherwise dispose of all or a portion of any Registrable Securities held in transactions exempt from the registration requirements of the Securities Act. See “</w:t>
      </w:r>
      <w:r>
        <w:rPr>
          <w:rFonts w:ascii="Arial" w:cs="Arial" w:eastAsia="Arial" w:hAnsi="Arial"/>
          <w:sz w:val="12"/>
          <w:szCs w:val="12"/>
          <w:i w:val="1"/>
          <w:iCs w:val="1"/>
          <w:color w:val="auto"/>
        </w:rPr>
        <w:t>Plan of Distribution</w:t>
      </w:r>
      <w:r>
        <w:rPr>
          <w:rFonts w:ascii="Arial" w:cs="Arial" w:eastAsia="Arial" w:hAnsi="Arial"/>
          <w:sz w:val="12"/>
          <w:szCs w:val="12"/>
          <w:color w:val="auto"/>
        </w:rPr>
        <w:t>” below for more information.</w:t>
      </w:r>
    </w:p>
    <w:p>
      <w:pPr>
        <w:spacing w:after="0" w:line="14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table below presents information as of August 24, 2015, regarding the Selling Stockholders and the Registrable Securities the Selling Stockholders (and their donees, pledgees, assignees, transferees and other successors in interest) may offer and sell from time to time under this prospectus. More specifically, the following table sets forth as to the Selling Stockholders:</w:t>
      </w:r>
    </w:p>
    <w:p>
      <w:pPr>
        <w:spacing w:after="0" w:line="133" w:lineRule="exact"/>
        <w:rPr>
          <w:sz w:val="20"/>
          <w:szCs w:val="20"/>
          <w:color w:val="auto"/>
        </w:rPr>
      </w:pPr>
    </w:p>
    <w:p>
      <w:pPr>
        <w:ind w:left="340" w:right="20" w:hanging="209"/>
        <w:spacing w:after="0" w:line="276" w:lineRule="auto"/>
        <w:tabs>
          <w:tab w:leader="none" w:pos="3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number of shares of our Common Stock beneficially owned by each Selling Stockholders prior to the offering for resale of any of the shares of our Common Stock being registered by the registration statement of which this prospectus is a part;</w:t>
      </w:r>
    </w:p>
    <w:p>
      <w:pPr>
        <w:spacing w:after="0" w:line="114" w:lineRule="exact"/>
        <w:rPr>
          <w:rFonts w:ascii="Arial" w:cs="Arial" w:eastAsia="Arial" w:hAnsi="Arial"/>
          <w:sz w:val="12"/>
          <w:szCs w:val="12"/>
          <w:color w:val="auto"/>
        </w:rPr>
      </w:pPr>
    </w:p>
    <w:p>
      <w:pPr>
        <w:ind w:left="340" w:hanging="209"/>
        <w:spacing w:after="0"/>
        <w:tabs>
          <w:tab w:leader="none" w:pos="3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number of shares of our Common Stock that may be offered for resale for the Selling Stockholders’ account under this prospectus; and</w:t>
      </w:r>
    </w:p>
    <w:p>
      <w:pPr>
        <w:spacing w:after="0" w:line="150" w:lineRule="exact"/>
        <w:rPr>
          <w:rFonts w:ascii="Arial" w:cs="Arial" w:eastAsia="Arial" w:hAnsi="Arial"/>
          <w:sz w:val="12"/>
          <w:szCs w:val="12"/>
          <w:color w:val="auto"/>
        </w:rPr>
      </w:pPr>
    </w:p>
    <w:p>
      <w:pPr>
        <w:ind w:left="340" w:right="20" w:hanging="209"/>
        <w:spacing w:after="0" w:line="276" w:lineRule="auto"/>
        <w:tabs>
          <w:tab w:leader="none" w:pos="3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number and percent of shares of our Common Stock to be held by the Selling Stockholders after the offering of the resale securities, assuming all of the resale shares of Common Stock are sold by the Selling Stockholders and that the Selling Stockholders do not acquire any other shares of our Common Stock prior to their assumed sale of all of the resale shares.</w:t>
      </w:r>
    </w:p>
    <w:p>
      <w:pPr>
        <w:spacing w:after="0" w:line="1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table is prepared based on information supplied to us by the Selling Stockholders. Although we have assumed for purposes of the table below that the Selling Stockholders will sell all Registrable Securities offered by this prospectus, because the Selling Stockholders may offer from time to time all or some of the Registrable Securities, no assurances can be given as to the actual number of securities that will be resold by the Selling Stockholders or that will be held by the Selling Stockholders after completion of the resales. In addition, the Selling Stockholders may have sold, transferred or otherwise disposed of the Registrable Securities in transactions exempt from the registration requirements of the Securities Act since the date the Selling Stockholders provided the information regarding their securities holdings. Information covering the Selling Stockholders may change from time to time and changed information will be presented in a supplement to this prospectus if and when necessary and required.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Except as described above, there are currently no agreements, arrangements or understandings with respect to the resale of any of the securities covered by this prospectus.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applicable percentages of ownership are based on an aggregate of 1,594,461 shares of our Common Stock issued and outstanding on August 24, 2015. The number of shares beneficially owned by the Selling Stockholders is determined under rules promulgated by the SEC.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Maximum Number of</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Shares Beneficially</w:t>
            </w: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Shares Being Offered</w:t>
            </w:r>
          </w:p>
        </w:tc>
        <w:tc>
          <w:tcPr>
            <w:tcW w:w="262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89"/>
              </w:rPr>
              <w:t>Shares Beneficially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Owned</w:t>
            </w: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Pursuant</w:t>
            </w:r>
          </w:p>
        </w:tc>
        <w:tc>
          <w:tcPr>
            <w:tcW w:w="1660" w:type="dxa"/>
            <w:vAlign w:val="bottom"/>
            <w:gridSpan w:val="3"/>
          </w:tcPr>
          <w:p>
            <w:pPr>
              <w:jc w:val="center"/>
              <w:ind w:left="800"/>
              <w:spacing w:after="0"/>
              <w:rPr>
                <w:sz w:val="20"/>
                <w:szCs w:val="20"/>
                <w:color w:val="auto"/>
              </w:rPr>
            </w:pPr>
            <w:r>
              <w:rPr>
                <w:rFonts w:ascii="Arial" w:cs="Arial" w:eastAsia="Arial" w:hAnsi="Arial"/>
                <w:sz w:val="12"/>
                <w:szCs w:val="12"/>
                <w:b w:val="1"/>
                <w:bCs w:val="1"/>
                <w:color w:val="auto"/>
                <w:w w:val="95"/>
              </w:rPr>
              <w:t>Owned After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Prior to</w:t>
            </w: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to this</w:t>
            </w:r>
          </w:p>
        </w:tc>
        <w:tc>
          <w:tcPr>
            <w:tcW w:w="166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2"/>
                <w:szCs w:val="12"/>
                <w:b w:val="1"/>
                <w:bCs w:val="1"/>
                <w:color w:val="auto"/>
                <w:w w:val="95"/>
              </w:rPr>
              <w:t>Offering (27)</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rPr>
                <w:sz w:val="20"/>
                <w:szCs w:val="20"/>
                <w:color w:val="auto"/>
              </w:rPr>
            </w:pPr>
            <w:r>
              <w:rPr>
                <w:rFonts w:ascii="Arial" w:cs="Arial" w:eastAsia="Arial" w:hAnsi="Arial"/>
                <w:sz w:val="12"/>
                <w:szCs w:val="12"/>
                <w:b w:val="1"/>
                <w:bCs w:val="1"/>
                <w:color w:val="auto"/>
              </w:rPr>
              <w:t>Name of Selling Stockholder (1)</w:t>
            </w: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Offering (27)</w:t>
            </w: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Prospectus</w:t>
            </w:r>
          </w:p>
        </w:tc>
        <w:tc>
          <w:tcPr>
            <w:tcW w:w="1660" w:type="dxa"/>
            <w:vAlign w:val="bottom"/>
            <w:gridSpan w:val="3"/>
          </w:tcPr>
          <w:p>
            <w:pPr>
              <w:ind w:left="360"/>
              <w:spacing w:after="0"/>
              <w:rPr>
                <w:sz w:val="20"/>
                <w:szCs w:val="20"/>
                <w:color w:val="auto"/>
              </w:rPr>
            </w:pPr>
            <w:r>
              <w:rPr>
                <w:rFonts w:ascii="Arial" w:cs="Arial" w:eastAsia="Arial" w:hAnsi="Arial"/>
                <w:sz w:val="12"/>
                <w:szCs w:val="12"/>
                <w:b w:val="1"/>
                <w:bCs w:val="1"/>
                <w:color w:val="auto"/>
              </w:rPr>
              <w:t>Number</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Montsant Partners LLC (2)</w:t>
            </w:r>
          </w:p>
        </w:tc>
        <w:tc>
          <w:tcPr>
            <w:tcW w:w="2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164,164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1,627,911</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164,164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Cato Holding Company (3)</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238,734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328,571</w:t>
            </w:r>
          </w:p>
        </w:tc>
        <w:tc>
          <w:tcPr>
            <w:tcW w:w="1160" w:type="dxa"/>
            <w:vAlign w:val="bottom"/>
          </w:tcPr>
          <w:p>
            <w:pPr>
              <w:jc w:val="right"/>
              <w:spacing w:after="0"/>
              <w:rPr>
                <w:sz w:val="20"/>
                <w:szCs w:val="20"/>
                <w:color w:val="auto"/>
              </w:rPr>
            </w:pPr>
            <w:r>
              <w:rPr>
                <w:rFonts w:ascii="Arial" w:cs="Arial" w:eastAsia="Arial" w:hAnsi="Arial"/>
                <w:sz w:val="12"/>
                <w:szCs w:val="12"/>
                <w:color w:val="auto"/>
              </w:rPr>
              <w:t>238,734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14.32%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Morrison &amp; Foerster LLP (4)</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377,591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257,143</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120,448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Michael Goldberg (5)</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172,894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188,854</w:t>
            </w:r>
          </w:p>
        </w:tc>
        <w:tc>
          <w:tcPr>
            <w:tcW w:w="1160" w:type="dxa"/>
            <w:vAlign w:val="bottom"/>
          </w:tcPr>
          <w:p>
            <w:pPr>
              <w:jc w:val="right"/>
              <w:spacing w:after="0"/>
              <w:rPr>
                <w:sz w:val="20"/>
                <w:szCs w:val="20"/>
                <w:color w:val="auto"/>
              </w:rPr>
            </w:pPr>
            <w:r>
              <w:rPr>
                <w:rFonts w:ascii="Arial" w:cs="Arial" w:eastAsia="Arial" w:hAnsi="Arial"/>
                <w:sz w:val="12"/>
                <w:szCs w:val="12"/>
                <w:color w:val="auto"/>
              </w:rPr>
              <w:t>172,894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9.99%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 Capital Partners LLC (6)</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119,772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109,772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MBF Sierra Ventures (7)</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100,000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100,000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University Health Network (8)</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150,678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93,775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56,903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Calm Seas Capital LLC (9)</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126,330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85,715</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40,615</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Chardan Capital Markets (10)</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75,000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McCarthy Tetrault LLP (11)</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64,230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59,230</w:t>
            </w:r>
          </w:p>
        </w:tc>
        <w:tc>
          <w:tcPr>
            <w:tcW w:w="11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Brio Capital Master Fund Ltd. (12)</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128,594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54,214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74,380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GGG Investments, LLC (13)</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50,000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Matthew A. Kreling</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68,965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43,752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25,213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Icahn School of Medicine at Mount Sinai (14)</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73,000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43,000</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30,000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David M. Young</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117,507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42,222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75,285</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2"/>
          </w:tcPr>
          <w:p>
            <w:pPr>
              <w:spacing w:after="0"/>
              <w:rPr>
                <w:sz w:val="20"/>
                <w:szCs w:val="20"/>
                <w:color w:val="auto"/>
              </w:rPr>
            </w:pPr>
            <w:r>
              <w:rPr>
                <w:rFonts w:ascii="Arial" w:cs="Arial" w:eastAsia="Arial" w:hAnsi="Arial"/>
                <w:sz w:val="12"/>
                <w:szCs w:val="12"/>
                <w:color w:val="auto"/>
              </w:rPr>
              <w:t>Praim S. Singh &amp; Marlene Singh Trustees, Singh Family Trust 4/25/1997</w:t>
            </w: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79,560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40,760</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38,800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Plazacorp Investments Limited (15)</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50,924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35,924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Tracy K &amp; Valerie M Price TR Price Family Trust</w:t>
            </w:r>
          </w:p>
        </w:tc>
        <w:tc>
          <w:tcPr>
            <w:tcW w:w="2340" w:type="dxa"/>
            <w:vAlign w:val="bottom"/>
          </w:tcPr>
          <w:p>
            <w:pPr>
              <w:jc w:val="right"/>
              <w:ind w:right="1760"/>
              <w:spacing w:after="0"/>
              <w:rPr>
                <w:sz w:val="20"/>
                <w:szCs w:val="20"/>
                <w:color w:val="auto"/>
              </w:rPr>
            </w:pPr>
            <w:r>
              <w:rPr>
                <w:rFonts w:ascii="Arial" w:cs="Arial" w:eastAsia="Arial" w:hAnsi="Arial"/>
                <w:sz w:val="12"/>
                <w:szCs w:val="12"/>
                <w:color w:val="auto"/>
                <w:w w:val="93"/>
              </w:rPr>
              <w:t>8/15/2007</w:t>
            </w: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72,440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34,876</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37,564</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Excell Advisors LLC (16)</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67,342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34,842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32,500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Desjardins Securities, Inc. (17)</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34,098</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32,143</w:t>
            </w:r>
          </w:p>
        </w:tc>
        <w:tc>
          <w:tcPr>
            <w:tcW w:w="1160" w:type="dxa"/>
            <w:vAlign w:val="bottom"/>
          </w:tcPr>
          <w:p>
            <w:pPr>
              <w:jc w:val="right"/>
              <w:spacing w:after="0"/>
              <w:rPr>
                <w:sz w:val="20"/>
                <w:szCs w:val="20"/>
                <w:color w:val="auto"/>
              </w:rPr>
            </w:pPr>
            <w:r>
              <w:rPr>
                <w:rFonts w:ascii="Arial" w:cs="Arial" w:eastAsia="Arial" w:hAnsi="Arial"/>
                <w:sz w:val="12"/>
                <w:szCs w:val="12"/>
                <w:color w:val="auto"/>
              </w:rPr>
              <w:t>1,955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Doherty &amp; Jennifer Doherty, Trustees, The Doherty Revocable Trust dated 6/1/2011</w:t>
            </w: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61,879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30,476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31,403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MAZ Partners, LP (18)</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30,000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30,000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Yaakov Yitzchak Bodner</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36,928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29,428</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Daniel Zucker</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43,852</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28,852</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15,000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Joseph R. Nemeth Living Trust u/a/d 12/6/72</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31,572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28,572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Daniel W. Rumsey (19)</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54,584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25,000</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29,584</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Thomas T. Tavares</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64,582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24,446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40,136</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Nathan Steinmetz</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35,988</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23,288</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12,700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Michael C. Phillips</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62,947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21,860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41,087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Akiva Horowitz</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21,430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21,430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Burr Pilger Mayer, Inc. (20)</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21,429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21,429</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Wayne Lindholm</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37,988</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20,488</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17,500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Jeffrey M. Quick</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20,000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20,000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w w:val="93"/>
              </w:rPr>
              <w:t>Alexander I. Elperin Living Trust dated August 1, 2012</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23,890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18,890</w:t>
            </w:r>
          </w:p>
        </w:tc>
        <w:tc>
          <w:tcPr>
            <w:tcW w:w="11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Mordechai Schechter</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38,682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18,682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Eva Levi</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18,636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18,636</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GMP Securities ITF Robert J. Halpern</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25,402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17,902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Thomas W. Hanson</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37,862</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17,862</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20,000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National Jewish Health (21)</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19,700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17,857</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MicroConstants, Inc. (22)</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17,857</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17,857</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Clearstone Energy LLC (23)</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17,144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17,144</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Reber-Burness Trust (24)</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15,000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15,000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Michael W. Dinnen</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14,286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14,286</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Marvin Mermelstein</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14,286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14,286</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Jacob J. Tepper</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14,286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14,286</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Jeff &amp; Jenifer Culbertson JT</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21,518</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14,074</w:t>
            </w:r>
          </w:p>
        </w:tc>
        <w:tc>
          <w:tcPr>
            <w:tcW w:w="1160" w:type="dxa"/>
            <w:vAlign w:val="bottom"/>
          </w:tcPr>
          <w:p>
            <w:pPr>
              <w:jc w:val="right"/>
              <w:spacing w:after="0"/>
              <w:rPr>
                <w:sz w:val="20"/>
                <w:szCs w:val="20"/>
                <w:color w:val="auto"/>
              </w:rPr>
            </w:pPr>
            <w:r>
              <w:rPr>
                <w:rFonts w:ascii="Arial" w:cs="Arial" w:eastAsia="Arial" w:hAnsi="Arial"/>
                <w:sz w:val="12"/>
                <w:szCs w:val="12"/>
                <w:color w:val="auto"/>
              </w:rPr>
              <w:t>7,444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Luke Matthys &amp; Marilyn Good JT</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25,674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10,394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15,280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Moshe Glassman</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10,002</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10,002</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Reid Adler</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22,000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9,500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12,500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Joe Gerard</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12,706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8,956</w:t>
            </w:r>
          </w:p>
        </w:tc>
        <w:tc>
          <w:tcPr>
            <w:tcW w:w="1160" w:type="dxa"/>
            <w:vAlign w:val="bottom"/>
          </w:tcPr>
          <w:p>
            <w:pPr>
              <w:jc w:val="right"/>
              <w:spacing w:after="0"/>
              <w:rPr>
                <w:sz w:val="20"/>
                <w:szCs w:val="20"/>
                <w:color w:val="auto"/>
              </w:rPr>
            </w:pPr>
            <w:r>
              <w:rPr>
                <w:rFonts w:ascii="Arial" w:cs="Arial" w:eastAsia="Arial" w:hAnsi="Arial"/>
                <w:sz w:val="12"/>
                <w:szCs w:val="12"/>
                <w:color w:val="auto"/>
              </w:rPr>
              <w:t>2,500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IBH Capital LLC (25)</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7,144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7,144</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Harry Klein</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7,144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7,144</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Eli Scharf</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7,144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7,144</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Fell 1996 Trust (26)</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34,820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26,284</w:t>
            </w:r>
          </w:p>
        </w:tc>
        <w:tc>
          <w:tcPr>
            <w:tcW w:w="1160" w:type="dxa"/>
            <w:vAlign w:val="bottom"/>
          </w:tcPr>
          <w:p>
            <w:pPr>
              <w:jc w:val="right"/>
              <w:spacing w:after="0"/>
              <w:rPr>
                <w:sz w:val="20"/>
                <w:szCs w:val="20"/>
                <w:color w:val="auto"/>
              </w:rPr>
            </w:pPr>
            <w:r>
              <w:rPr>
                <w:rFonts w:ascii="Arial" w:cs="Arial" w:eastAsia="Arial" w:hAnsi="Arial"/>
                <w:sz w:val="12"/>
                <w:szCs w:val="12"/>
                <w:color w:val="auto"/>
              </w:rPr>
              <w:t>8,536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Jeffrey A. Lindeman Trust UAD 09/23/10, Jeffrey A. Lindeman and Mona L. Lindeman Ttees</w:t>
            </w: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5,000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Daniel J. Turner</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10,336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4,190</w:t>
            </w:r>
          </w:p>
        </w:tc>
        <w:tc>
          <w:tcPr>
            <w:tcW w:w="1160" w:type="dxa"/>
            <w:vAlign w:val="bottom"/>
          </w:tcPr>
          <w:p>
            <w:pPr>
              <w:jc w:val="right"/>
              <w:spacing w:after="0"/>
              <w:rPr>
                <w:sz w:val="20"/>
                <w:szCs w:val="20"/>
                <w:color w:val="auto"/>
              </w:rPr>
            </w:pPr>
            <w:r>
              <w:rPr>
                <w:rFonts w:ascii="Arial" w:cs="Arial" w:eastAsia="Arial" w:hAnsi="Arial"/>
                <w:sz w:val="12"/>
                <w:szCs w:val="12"/>
                <w:color w:val="auto"/>
              </w:rPr>
              <w:t>5,146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I M Marks and Joan M Marks Family Trust</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7,019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4,072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2"/>
          </w:tcPr>
          <w:p>
            <w:pPr>
              <w:spacing w:after="0"/>
              <w:rPr>
                <w:sz w:val="20"/>
                <w:szCs w:val="20"/>
                <w:color w:val="auto"/>
              </w:rPr>
            </w:pPr>
            <w:r>
              <w:rPr>
                <w:rFonts w:ascii="Arial" w:cs="Arial" w:eastAsia="Arial" w:hAnsi="Arial"/>
                <w:sz w:val="12"/>
                <w:szCs w:val="12"/>
                <w:color w:val="auto"/>
              </w:rPr>
              <w:t>Bernhard A. Votteri MD, Trustee, Bernhard A. Votteri Inc. Profit Sharing Trust 08/01/78</w:t>
            </w: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9,610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3,956</w:t>
            </w:r>
          </w:p>
        </w:tc>
        <w:tc>
          <w:tcPr>
            <w:tcW w:w="1160" w:type="dxa"/>
            <w:vAlign w:val="bottom"/>
          </w:tcPr>
          <w:p>
            <w:pPr>
              <w:jc w:val="right"/>
              <w:spacing w:after="0"/>
              <w:rPr>
                <w:sz w:val="20"/>
                <w:szCs w:val="20"/>
                <w:color w:val="auto"/>
              </w:rPr>
            </w:pPr>
            <w:r>
              <w:rPr>
                <w:rFonts w:ascii="Arial" w:cs="Arial" w:eastAsia="Arial" w:hAnsi="Arial"/>
                <w:sz w:val="12"/>
                <w:szCs w:val="12"/>
                <w:color w:val="auto"/>
              </w:rPr>
              <w:t>5,654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Lawrence C. Gotelli, Jr.</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40,633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2,090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38,543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Christopher A. Andreozzi</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6,683</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1,868</w:t>
            </w:r>
          </w:p>
        </w:tc>
        <w:tc>
          <w:tcPr>
            <w:tcW w:w="1160" w:type="dxa"/>
            <w:vAlign w:val="bottom"/>
          </w:tcPr>
          <w:p>
            <w:pPr>
              <w:jc w:val="right"/>
              <w:spacing w:after="0"/>
              <w:rPr>
                <w:sz w:val="20"/>
                <w:szCs w:val="20"/>
                <w:color w:val="auto"/>
              </w:rPr>
            </w:pPr>
            <w:r>
              <w:rPr>
                <w:rFonts w:ascii="Arial" w:cs="Arial" w:eastAsia="Arial" w:hAnsi="Arial"/>
                <w:sz w:val="12"/>
                <w:szCs w:val="12"/>
                <w:color w:val="auto"/>
              </w:rPr>
              <w:t>4,815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3,992,479</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00" w:type="dxa"/>
            <w:vAlign w:val="bottom"/>
            <w:tcBorders>
              <w:bottom w:val="single" w:sz="8" w:color="808080"/>
            </w:tcBorders>
          </w:tcPr>
          <w:p>
            <w:pPr>
              <w:spacing w:after="0"/>
              <w:rPr>
                <w:sz w:val="6"/>
                <w:szCs w:val="6"/>
                <w:color w:val="auto"/>
              </w:rPr>
            </w:pPr>
          </w:p>
        </w:tc>
        <w:tc>
          <w:tcPr>
            <w:tcW w:w="23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20" w:name="page121"/>
    <w:bookmarkEnd w:id="120"/>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Except as otherwise indicated in the following footnotes, the Selling Stockholder listed has voting and investment control over the securities beneficially owned, including the Registrable Securities..</w:t>
      </w:r>
    </w:p>
    <w:p>
      <w:pPr>
        <w:spacing w:after="0" w:line="150" w:lineRule="exact"/>
        <w:rPr>
          <w:rFonts w:ascii="Arial" w:cs="Arial" w:eastAsia="Arial" w:hAnsi="Arial"/>
          <w:sz w:val="12"/>
          <w:szCs w:val="12"/>
          <w:color w:val="auto"/>
        </w:rPr>
      </w:pPr>
    </w:p>
    <w:p>
      <w:pPr>
        <w:jc w:val="both"/>
        <w:ind w:left="608" w:hanging="608"/>
        <w:spacing w:after="0" w:line="298" w:lineRule="auto"/>
        <w:tabs>
          <w:tab w:leader="none" w:pos="608" w:val="left"/>
        </w:tabs>
        <w:numPr>
          <w:ilvl w:val="0"/>
          <w:numId w:val="70"/>
        </w:numPr>
        <w:rPr>
          <w:rFonts w:ascii="Arial" w:cs="Arial" w:eastAsia="Arial" w:hAnsi="Arial"/>
          <w:sz w:val="11"/>
          <w:szCs w:val="11"/>
          <w:color w:val="auto"/>
        </w:rPr>
      </w:pPr>
      <w:r>
        <w:rPr>
          <w:rFonts w:ascii="Arial" w:cs="Arial" w:eastAsia="Arial" w:hAnsi="Arial"/>
          <w:sz w:val="11"/>
          <w:szCs w:val="11"/>
          <w:color w:val="auto"/>
        </w:rPr>
        <w:t>Montsant Partners, LLC (“</w:t>
      </w:r>
      <w:r>
        <w:rPr>
          <w:rFonts w:ascii="Arial" w:cs="Arial" w:eastAsia="Arial" w:hAnsi="Arial"/>
          <w:sz w:val="11"/>
          <w:szCs w:val="11"/>
          <w:i w:val="1"/>
          <w:iCs w:val="1"/>
          <w:color w:val="auto"/>
        </w:rPr>
        <w:t>Montsant</w:t>
      </w:r>
      <w:r>
        <w:rPr>
          <w:rFonts w:ascii="Arial" w:cs="Arial" w:eastAsia="Arial" w:hAnsi="Arial"/>
          <w:sz w:val="11"/>
          <w:szCs w:val="11"/>
          <w:color w:val="auto"/>
        </w:rPr>
        <w:t>”) is an affiliate of Platinum Long Term Growth Fund VII (“</w:t>
      </w:r>
      <w:r>
        <w:rPr>
          <w:rFonts w:ascii="Arial" w:cs="Arial" w:eastAsia="Arial" w:hAnsi="Arial"/>
          <w:sz w:val="11"/>
          <w:szCs w:val="11"/>
          <w:i w:val="1"/>
          <w:iCs w:val="1"/>
          <w:color w:val="auto"/>
        </w:rPr>
        <w:t>Platinum</w:t>
      </w:r>
      <w:r>
        <w:rPr>
          <w:rFonts w:ascii="Arial" w:cs="Arial" w:eastAsia="Arial" w:hAnsi="Arial"/>
          <w:sz w:val="11"/>
          <w:szCs w:val="11"/>
          <w:color w:val="auto"/>
        </w:rPr>
        <w:t>”), to whom Platinum has previously transferred certain of the equity securities initially issued by us to Platinum. The number of beneficially owned shares reported both before and after the Offering includes 115,570 restricted shares of common stock owned by Montsant and 28,241 restricted shares of common stock and a warrant to purchase 20,172 restricted shares of common stock that may currently be acquired by Montsant upon exchange of 18,827 restricted shares of our Series A Preferred Stock (“</w:t>
      </w:r>
      <w:r>
        <w:rPr>
          <w:rFonts w:ascii="Arial" w:cs="Arial" w:eastAsia="Arial" w:hAnsi="Arial"/>
          <w:sz w:val="11"/>
          <w:szCs w:val="11"/>
          <w:i w:val="1"/>
          <w:iCs w:val="1"/>
          <w:color w:val="auto"/>
        </w:rPr>
        <w:t>Series A Preferred</w:t>
      </w:r>
      <w:r>
        <w:rPr>
          <w:rFonts w:ascii="Arial" w:cs="Arial" w:eastAsia="Arial" w:hAnsi="Arial"/>
          <w:sz w:val="11"/>
          <w:szCs w:val="11"/>
          <w:color w:val="auto"/>
        </w:rPr>
        <w:t>”).</w:t>
      </w:r>
    </w:p>
    <w:p>
      <w:pPr>
        <w:spacing w:after="0" w:line="105" w:lineRule="exact"/>
        <w:rPr>
          <w:rFonts w:ascii="Arial" w:cs="Arial" w:eastAsia="Arial" w:hAnsi="Arial"/>
          <w:sz w:val="11"/>
          <w:szCs w:val="11"/>
          <w:color w:val="auto"/>
        </w:rPr>
      </w:pPr>
    </w:p>
    <w:p>
      <w:pPr>
        <w:jc w:val="both"/>
        <w:ind w:left="608"/>
        <w:spacing w:after="0" w:line="257" w:lineRule="auto"/>
        <w:rPr>
          <w:rFonts w:ascii="Arial" w:cs="Arial" w:eastAsia="Arial" w:hAnsi="Arial"/>
          <w:sz w:val="11"/>
          <w:szCs w:val="11"/>
          <w:color w:val="auto"/>
        </w:rPr>
      </w:pPr>
      <w:r>
        <w:rPr>
          <w:rFonts w:ascii="Arial" w:cs="Arial" w:eastAsia="Arial" w:hAnsi="Arial"/>
          <w:sz w:val="12"/>
          <w:szCs w:val="12"/>
          <w:color w:val="auto"/>
        </w:rPr>
        <w:t>The reported number of shares beneficially owned both before and after the Offering excludes 609,259 restricted shares of common stock and a warrant to purchase 435,186 restricted shares of common stock that may currently be acquired by Montsant upon exchange of 406,173 restricted shares of our Series A Preferred. Pursuant to the October 11, 2012 Note Exchange and Purchase Agreement by and between us and Platinum, there is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25" w:lineRule="exact"/>
        <w:rPr>
          <w:rFonts w:ascii="Arial" w:cs="Arial" w:eastAsia="Arial" w:hAnsi="Arial"/>
          <w:sz w:val="11"/>
          <w:szCs w:val="11"/>
          <w:color w:val="auto"/>
        </w:rPr>
      </w:pPr>
    </w:p>
    <w:p>
      <w:pPr>
        <w:jc w:val="both"/>
        <w:ind w:left="608"/>
        <w:spacing w:after="0" w:line="283" w:lineRule="auto"/>
        <w:rPr>
          <w:rFonts w:ascii="Arial" w:cs="Arial" w:eastAsia="Arial" w:hAnsi="Arial"/>
          <w:sz w:val="11"/>
          <w:szCs w:val="11"/>
          <w:color w:val="auto"/>
        </w:rPr>
      </w:pPr>
      <w:r>
        <w:rPr>
          <w:rFonts w:ascii="Arial" w:cs="Arial" w:eastAsia="Arial" w:hAnsi="Arial"/>
          <w:sz w:val="11"/>
          <w:szCs w:val="11"/>
          <w:color w:val="auto"/>
        </w:rPr>
        <w:t>Further, the reported number of shares beneficially owned by Montsant before the Offering also excludes 1,587,953 shares of our Series B 10%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immediately convertible into a like number of shares of our restricted common stock, of which 501,430 shares are excluded from Registrable Securities herein, and warrants to purchase 1,812,818 shares of our restricted common stock, of which 1,271,430 shares are excluded from Registrable Securities herein.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Montsant may beneficially acquire upon such conversion or exercise is limited to the extent necessary to ensure that, following such conversion or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13" w:lineRule="exact"/>
        <w:rPr>
          <w:rFonts w:ascii="Arial" w:cs="Arial" w:eastAsia="Arial" w:hAnsi="Arial"/>
          <w:sz w:val="11"/>
          <w:szCs w:val="11"/>
          <w:color w:val="auto"/>
        </w:rPr>
      </w:pPr>
    </w:p>
    <w:p>
      <w:pPr>
        <w:jc w:val="both"/>
        <w:ind w:left="608"/>
        <w:spacing w:after="0" w:line="259" w:lineRule="auto"/>
        <w:rPr>
          <w:rFonts w:ascii="Arial" w:cs="Arial" w:eastAsia="Arial" w:hAnsi="Arial"/>
          <w:sz w:val="11"/>
          <w:szCs w:val="11"/>
          <w:color w:val="auto"/>
        </w:rPr>
      </w:pPr>
      <w:r>
        <w:rPr>
          <w:rFonts w:ascii="Arial" w:cs="Arial" w:eastAsia="Arial" w:hAnsi="Arial"/>
          <w:sz w:val="12"/>
          <w:szCs w:val="12"/>
          <w:color w:val="auto"/>
        </w:rPr>
        <w:t>Additionally, the reported number of shares beneficially owned both before and after the Offering excludes currently exercisable warrants owned by Platinum to purchase 320,124 shares of our restricted common stock. Pursuant to the terms of the respective common stock warrant agreements, there is a limitation on the exercise of the warrants such that the number of shares of common stock that Platinum may beneficially acquire upon such exercise is limited to the extent necessary to ensure that, following such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24" w:lineRule="exact"/>
        <w:rPr>
          <w:rFonts w:ascii="Arial" w:cs="Arial" w:eastAsia="Arial" w:hAnsi="Arial"/>
          <w:sz w:val="11"/>
          <w:szCs w:val="11"/>
          <w:color w:val="auto"/>
        </w:rPr>
      </w:pPr>
    </w:p>
    <w:p>
      <w:pPr>
        <w:ind w:left="608"/>
        <w:spacing w:after="0"/>
        <w:rPr>
          <w:rFonts w:ascii="Arial" w:cs="Arial" w:eastAsia="Arial" w:hAnsi="Arial"/>
          <w:sz w:val="11"/>
          <w:szCs w:val="11"/>
          <w:color w:val="auto"/>
        </w:rPr>
      </w:pPr>
      <w:r>
        <w:rPr>
          <w:rFonts w:ascii="Arial" w:cs="Arial" w:eastAsia="Arial" w:hAnsi="Arial"/>
          <w:sz w:val="12"/>
          <w:szCs w:val="12"/>
          <w:color w:val="auto"/>
        </w:rPr>
        <w:t>Mark Nordlicht has voting and investment control over the shares held by Platinum and Montsant.</w:t>
      </w:r>
    </w:p>
    <w:p>
      <w:pPr>
        <w:spacing w:after="0" w:line="150" w:lineRule="exact"/>
        <w:rPr>
          <w:rFonts w:ascii="Arial" w:cs="Arial" w:eastAsia="Arial" w:hAnsi="Arial"/>
          <w:sz w:val="11"/>
          <w:szCs w:val="11"/>
          <w:color w:val="auto"/>
        </w:rPr>
      </w:pPr>
    </w:p>
    <w:p>
      <w:pPr>
        <w:jc w:val="both"/>
        <w:ind w:left="608" w:hanging="608"/>
        <w:spacing w:after="0" w:line="257" w:lineRule="auto"/>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reported number of shares beneficially owned by Cato Holding Company dba Cato Bio Ventures prior to the Offering excludes 328,571 Registrable Shares, currently exchangeable for 328,571 restricted shares of our common stock. Pursuant to the terms of the Certificate of Designation of the Relative Rights and Preferences of the Series B 10% Convertible Preferred Stock,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Lynda Sutton has voting and investment authority over the shares held by Cato Holding Company.</w:t>
      </w:r>
    </w:p>
    <w:p>
      <w:pPr>
        <w:spacing w:after="0" w:line="125"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Mark J. Blumenthal has voting and investment authority over the shares held by Morrison &amp; Foerster LLP.</w:t>
      </w:r>
    </w:p>
    <w:p>
      <w:pPr>
        <w:spacing w:after="0" w:line="150" w:lineRule="exact"/>
        <w:rPr>
          <w:rFonts w:ascii="Arial" w:cs="Arial" w:eastAsia="Arial" w:hAnsi="Arial"/>
          <w:sz w:val="12"/>
          <w:szCs w:val="12"/>
          <w:color w:val="auto"/>
        </w:rPr>
      </w:pPr>
    </w:p>
    <w:p>
      <w:pPr>
        <w:jc w:val="both"/>
        <w:ind w:left="608" w:hanging="608"/>
        <w:spacing w:after="0" w:line="259" w:lineRule="auto"/>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Platinum has previously transferred to Michael Goldberg (“</w:t>
      </w:r>
      <w:r>
        <w:rPr>
          <w:rFonts w:ascii="Arial" w:cs="Arial" w:eastAsia="Arial" w:hAnsi="Arial"/>
          <w:sz w:val="12"/>
          <w:szCs w:val="12"/>
          <w:i w:val="1"/>
          <w:iCs w:val="1"/>
          <w:color w:val="auto"/>
        </w:rPr>
        <w:t>Goldberg</w:t>
      </w:r>
      <w:r>
        <w:rPr>
          <w:rFonts w:ascii="Arial" w:cs="Arial" w:eastAsia="Arial" w:hAnsi="Arial"/>
          <w:sz w:val="12"/>
          <w:szCs w:val="12"/>
          <w:color w:val="auto"/>
        </w:rPr>
        <w:t>”) certain of the equity securities initially issued by us to Platinum. The conversion or exercise restrictions in those securities initially applicable to Platinum remain applicable to Goldberg. The number of beneficially owned shares reported both before and after the Offering includes 37,508 restricted shares of common stock owned by Goldberg and 78,975 restricted shares of common stock and a currently exercisable warrant to purchase 56,411 restricted shares of common stock that may currently be acquired by Goldberg upon exchange of 52,650 restricted shares of our Series A Preferred.</w:t>
      </w:r>
    </w:p>
    <w:p>
      <w:pPr>
        <w:spacing w:after="0" w:line="124" w:lineRule="exact"/>
        <w:rPr>
          <w:rFonts w:ascii="Arial" w:cs="Arial" w:eastAsia="Arial" w:hAnsi="Arial"/>
          <w:sz w:val="12"/>
          <w:szCs w:val="12"/>
          <w:color w:val="auto"/>
        </w:rPr>
      </w:pPr>
    </w:p>
    <w:p>
      <w:pPr>
        <w:jc w:val="both"/>
        <w:ind w:left="608"/>
        <w:spacing w:after="0" w:line="257" w:lineRule="auto"/>
        <w:rPr>
          <w:rFonts w:ascii="Arial" w:cs="Arial" w:eastAsia="Arial" w:hAnsi="Arial"/>
          <w:sz w:val="12"/>
          <w:szCs w:val="12"/>
          <w:color w:val="auto"/>
        </w:rPr>
      </w:pPr>
      <w:r>
        <w:rPr>
          <w:rFonts w:ascii="Arial" w:cs="Arial" w:eastAsia="Arial" w:hAnsi="Arial"/>
          <w:sz w:val="12"/>
          <w:szCs w:val="12"/>
          <w:color w:val="auto"/>
        </w:rPr>
        <w:t>The reported number of shares beneficially owned both before and after the Offering excludes 33,525 restricted shares of common stock and a warrant to purchase 23,946 restricted shares of common stock that may currently be acquired by Goldberg upon exchange of 22,350 restricted shares of our Series A Preferred. Pursuant to the October 11, 2012 Note Exchange and Purchase Agreement by and between us and Platinum, there is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25" w:lineRule="exact"/>
        <w:rPr>
          <w:rFonts w:ascii="Arial" w:cs="Arial" w:eastAsia="Arial" w:hAnsi="Arial"/>
          <w:sz w:val="12"/>
          <w:szCs w:val="12"/>
          <w:color w:val="auto"/>
        </w:rPr>
      </w:pPr>
    </w:p>
    <w:p>
      <w:pPr>
        <w:jc w:val="both"/>
        <w:ind w:left="608"/>
        <w:spacing w:after="0" w:line="320" w:lineRule="auto"/>
        <w:rPr>
          <w:rFonts w:ascii="Arial" w:cs="Arial" w:eastAsia="Arial" w:hAnsi="Arial"/>
          <w:sz w:val="12"/>
          <w:szCs w:val="12"/>
          <w:color w:val="auto"/>
        </w:rPr>
      </w:pPr>
      <w:r>
        <w:rPr>
          <w:rFonts w:ascii="Arial" w:cs="Arial" w:eastAsia="Arial" w:hAnsi="Arial"/>
          <w:sz w:val="10"/>
          <w:szCs w:val="10"/>
          <w:color w:val="auto"/>
        </w:rPr>
        <w:t>Further, the reported number of shares beneficially owned by Goldberg before the Offering also excludes 188,854 Registrable Shares pursuant to his ownership of 142,527 shares of our Series B Preferred, immediately convertible into a like number of shares of our restricted common stock, and warrants to purchase 46,327 shares of our restricted common stock.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Goldberg may beneficially acquire upon such conversion or exercise is limited to the extent necessary to ensure that, following such conversion or exercise, the total number of shares of common stock then beneficially owned by Goldberg does not exceed 9.99% of the total number of then issued and outstanding shares of our common stock without providing us with 61 days’ prior notice thereof.</w:t>
      </w:r>
    </w:p>
    <w:p>
      <w:pPr>
        <w:spacing w:after="0" w:line="98" w:lineRule="exact"/>
        <w:rPr>
          <w:rFonts w:ascii="Arial" w:cs="Arial" w:eastAsia="Arial" w:hAnsi="Arial"/>
          <w:sz w:val="12"/>
          <w:szCs w:val="12"/>
          <w:color w:val="auto"/>
        </w:rPr>
      </w:pPr>
    </w:p>
    <w:p>
      <w:pPr>
        <w:jc w:val="both"/>
        <w:ind w:left="608"/>
        <w:spacing w:after="0" w:line="259" w:lineRule="auto"/>
        <w:rPr>
          <w:rFonts w:ascii="Arial" w:cs="Arial" w:eastAsia="Arial" w:hAnsi="Arial"/>
          <w:sz w:val="12"/>
          <w:szCs w:val="12"/>
          <w:color w:val="auto"/>
        </w:rPr>
      </w:pPr>
      <w:r>
        <w:rPr>
          <w:rFonts w:ascii="Arial" w:cs="Arial" w:eastAsia="Arial" w:hAnsi="Arial"/>
          <w:sz w:val="12"/>
          <w:szCs w:val="12"/>
          <w:color w:val="auto"/>
        </w:rPr>
        <w:t>Additionally, the reported number of shares beneficially owned by Goldberg both before and after the Offering excludes currently exercisable warrants to purchase 66,251 shares of our restricted common stock. Pursuant to the terms of the respective common stock warrant agreements, there is a limitation on the exercise of the warrants such that the number of shares of common stock that Goldberg may beneficially acquire upon such exercise is limited to the extent necessary to ensure that, following such exercise, the total number of shares of common stock then beneficially owned by Goldberg does not exceed 9.99% of the total number of then issued and outstanding shares of our common stock without providing us with 61 days’ prior notice thereof.</w:t>
      </w:r>
    </w:p>
    <w:p>
      <w:pPr>
        <w:spacing w:after="0" w:line="124"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Sara Evans has voting and investment authority over the shares held by M Capital Partners LLC.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Mark B. Fisher has voting and investment authority over the shares held by MBF Sierra Ventures LLC.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Christopher Paige, Ph.D. has voting and investment authority over the shares held by University Health Network.</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Michael McCarthy has voting and investment authority over the shares held by Calm Seas Capital LLC.</w:t>
      </w:r>
    </w:p>
    <w:p>
      <w:pPr>
        <w:spacing w:after="0" w:line="150"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Chardan Capital Markets (“</w:t>
      </w:r>
      <w:r>
        <w:rPr>
          <w:rFonts w:ascii="Arial" w:cs="Arial" w:eastAsia="Arial" w:hAnsi="Arial"/>
          <w:sz w:val="12"/>
          <w:szCs w:val="12"/>
          <w:i w:val="1"/>
          <w:iCs w:val="1"/>
          <w:color w:val="auto"/>
        </w:rPr>
        <w:t>Chardan</w:t>
      </w:r>
      <w:r>
        <w:rPr>
          <w:rFonts w:ascii="Arial" w:cs="Arial" w:eastAsia="Arial" w:hAnsi="Arial"/>
          <w:sz w:val="12"/>
          <w:szCs w:val="12"/>
          <w:color w:val="auto"/>
        </w:rPr>
        <w:t>”) is a broker dealer and has received its Registrable Shares from us for services rendered and to be rendered to us pursuant to our financial advisory agreement. Steven Urbach has voting and investment authority over the shares held by Chardan.</w:t>
      </w:r>
    </w:p>
    <w:p>
      <w:pPr>
        <w:spacing w:after="0" w:line="114"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David E. Woollcombe has voting and investment authority over the shares held by McCarthy Tetrault LLP.</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Shaye Hirsch has voting and investment authority over the shares held by Brio Capital Master Fund Ltd.</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Giulio Staiano has voting and investment authority over the shares held by GGG Investments, LLC.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Robert Hellauer has voting and investment authority over the shares held by Icahn School of Medicine at Mount Sinai.</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Anthony Heller has voting and investment authority over the shares held by Plazacorp Investments Limited.</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Benjamin Mayer has voting and investment authority over the shares held by Excell Advisors LLC.</w:t>
      </w:r>
    </w:p>
    <w:p>
      <w:pPr>
        <w:spacing w:after="0" w:line="150"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Desjardins Securities, Inc. (“</w:t>
      </w:r>
      <w:r>
        <w:rPr>
          <w:rFonts w:ascii="Arial" w:cs="Arial" w:eastAsia="Arial" w:hAnsi="Arial"/>
          <w:sz w:val="12"/>
          <w:szCs w:val="12"/>
          <w:i w:val="1"/>
          <w:iCs w:val="1"/>
          <w:color w:val="auto"/>
        </w:rPr>
        <w:t>Desjardins</w:t>
      </w:r>
      <w:r>
        <w:rPr>
          <w:rFonts w:ascii="Arial" w:cs="Arial" w:eastAsia="Arial" w:hAnsi="Arial"/>
          <w:sz w:val="12"/>
          <w:szCs w:val="12"/>
          <w:color w:val="auto"/>
        </w:rPr>
        <w:t>”) is a broker dealer and has received its Registrable Shares in exchange for the cancellation of certain promissory notes previously issued as payment of certain investment advisory services rendered to us. Jean-Yves Bourgeois has voting and investment authority over the shares held by Desjardins.</w:t>
      </w:r>
    </w:p>
    <w:p>
      <w:pPr>
        <w:spacing w:after="0" w:line="114"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Walter Schenker has voting and investment authority over the shares held by MAZ Partners, LP.</w:t>
      </w:r>
    </w:p>
    <w:p>
      <w:pPr>
        <w:spacing w:after="0" w:line="150"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reported number of shares beneficially owned both before and after the Offering includes 16,667 restricted shares of our common stock owned by Disclosure Law Group, of which Daniel W. Rumsey is the managing partner.</w:t>
      </w:r>
    </w:p>
    <w:p>
      <w:pPr>
        <w:spacing w:after="0" w:line="114"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Curtis A. Burr has voting and investment authority over the shares held by Burr Pilger Mayer, Inc.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Christine K. Forkner has voting and investment authority over the shares held by National Jewish Health.</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Gilbert Lam has voting and investment authority over the shares held by MicroConstants, Inc.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Michael Katz has voting and investment authority over the shares held by Clearstone Energy LLC.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James A. Burness has voting and investment authority over the shares held by Reber-Burness Trust.</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Pincus Kievman has voting and investment authority over the shares held by IBH Capital LLC.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Thomas Fell has voting and investment authority over the shares held by Fell 1996 Trust.</w:t>
      </w:r>
    </w:p>
    <w:p>
      <w:pPr>
        <w:spacing w:after="0" w:line="150"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Beneficial ownership assumes the conversion of and/ or exercise of any securities held by the Selling Stockholder that are currently convertible or exercisable or that may become convertible or exercisable within 60 days of August 17, 2015, not otherwise subject to conversion or exercise restrictions.</w:t>
      </w:r>
    </w:p>
    <w:p>
      <w:pPr>
        <w:spacing w:after="0" w:line="115" w:lineRule="exact"/>
        <w:rPr>
          <w:sz w:val="20"/>
          <w:szCs w:val="20"/>
          <w:color w:val="auto"/>
        </w:rPr>
      </w:pPr>
    </w:p>
    <w:p>
      <w:pPr>
        <w:ind w:left="608" w:hanging="608"/>
        <w:spacing w:after="0"/>
        <w:tabs>
          <w:tab w:leader="none" w:pos="608" w:val="left"/>
        </w:tabs>
        <w:numPr>
          <w:ilvl w:val="0"/>
          <w:numId w:val="71"/>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267" w:lineRule="exact"/>
        <w:rPr>
          <w:sz w:val="20"/>
          <w:szCs w:val="20"/>
          <w:color w:val="auto"/>
        </w:rPr>
      </w:pPr>
    </w:p>
    <w:p>
      <w:pPr>
        <w:jc w:val="center"/>
        <w:ind w:right="-147"/>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8"/>
          </w:cols>
          <w:pgMar w:left="212" w:top="392" w:right="359" w:bottom="351" w:gutter="0" w:footer="0" w:header="0"/>
        </w:sectPr>
      </w:pPr>
    </w:p>
    <w:bookmarkStart w:id="121" w:name="page122"/>
    <w:bookmarkEnd w:id="121"/>
    <w:p>
      <w:pPr>
        <w:jc w:val="center"/>
        <w:spacing w:after="0"/>
        <w:rPr>
          <w:sz w:val="20"/>
          <w:szCs w:val="20"/>
          <w:color w:val="auto"/>
        </w:rPr>
      </w:pPr>
      <w:r>
        <w:rPr>
          <w:rFonts w:ascii="Arial" w:cs="Arial" w:eastAsia="Arial" w:hAnsi="Arial"/>
          <w:sz w:val="12"/>
          <w:szCs w:val="12"/>
          <w:b w:val="1"/>
          <w:bCs w:val="1"/>
          <w:color w:val="auto"/>
        </w:rPr>
        <w:t>RELATIONSHIPS BETWEEN THE ISSUER AND THE SELLING SECURITY HOLDERS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than as disclosed herein, none of the Selling Stockholders has at any time during the past three years acted as one of our employees, officers or directors or had a material relationship with us.</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is the parent of Cato Research Ltd., which has served as our contract research organization for the development and regulatory oversight of AV-101 since 2007. Shawn Singh, our Chief Executive Officer and member of our Board of Directors (“</w:t>
      </w:r>
      <w:r>
        <w:rPr>
          <w:rFonts w:ascii="Arial" w:cs="Arial" w:eastAsia="Arial" w:hAnsi="Arial"/>
          <w:sz w:val="12"/>
          <w:szCs w:val="12"/>
          <w:i w:val="1"/>
          <w:iCs w:val="1"/>
          <w:color w:val="auto"/>
        </w:rPr>
        <w:t>Mr. Singh</w:t>
      </w:r>
      <w:r>
        <w:rPr>
          <w:rFonts w:ascii="Arial" w:cs="Arial" w:eastAsia="Arial" w:hAnsi="Arial"/>
          <w:sz w:val="12"/>
          <w:szCs w:val="12"/>
          <w:color w:val="auto"/>
        </w:rPr>
        <w:t>”), served as Managing Principal of CBV and as an officer of CRL until August 2009.</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Morrison &amp; Foerster LLP (“</w:t>
      </w:r>
      <w:r>
        <w:rPr>
          <w:rFonts w:ascii="Arial" w:cs="Arial" w:eastAsia="Arial" w:hAnsi="Arial"/>
          <w:sz w:val="12"/>
          <w:szCs w:val="12"/>
          <w:i w:val="1"/>
          <w:iCs w:val="1"/>
          <w:color w:val="auto"/>
        </w:rPr>
        <w:t>Morrison &amp; Foerster</w:t>
      </w:r>
      <w:r>
        <w:rPr>
          <w:rFonts w:ascii="Arial" w:cs="Arial" w:eastAsia="Arial" w:hAnsi="Arial"/>
          <w:sz w:val="12"/>
          <w:szCs w:val="12"/>
          <w:color w:val="auto"/>
        </w:rPr>
        <w:t>”) has previously provided certain legal services to us, and received its Registrable Securities in exchange for the cancellation of a promissory note previously issued in partial payment of those services.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provides stem cell research and development collaboration services to us through a Sponsored Research Collaboration Agreement (“</w:t>
      </w:r>
      <w:r>
        <w:rPr>
          <w:rFonts w:ascii="Arial" w:cs="Arial" w:eastAsia="Arial" w:hAnsi="Arial"/>
          <w:sz w:val="11"/>
          <w:szCs w:val="11"/>
          <w:i w:val="1"/>
          <w:iCs w:val="1"/>
          <w:color w:val="auto"/>
        </w:rPr>
        <w:t>SRCA</w:t>
      </w:r>
      <w:r>
        <w:rPr>
          <w:rFonts w:ascii="Arial" w:cs="Arial" w:eastAsia="Arial" w:hAnsi="Arial"/>
          <w:sz w:val="11"/>
          <w:szCs w:val="11"/>
          <w:color w:val="auto"/>
        </w:rPr>
        <w:t>”) and is one of our intellectual property licensors.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UHN received its Registrable Securities in exchange for the cancellation of a promissory note previously issued as payment for services under the SRCA.</w:t>
      </w:r>
    </w:p>
    <w:p>
      <w:pPr>
        <w:spacing w:after="0" w:line="1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Icahn School of Medicine at Mount Sinai (“</w:t>
      </w:r>
      <w:r>
        <w:rPr>
          <w:rFonts w:ascii="Arial" w:cs="Arial" w:eastAsia="Arial" w:hAnsi="Arial"/>
          <w:sz w:val="12"/>
          <w:szCs w:val="12"/>
          <w:i w:val="1"/>
          <w:iCs w:val="1"/>
          <w:color w:val="auto"/>
        </w:rPr>
        <w:t>ISMMS</w:t>
      </w:r>
      <w:r>
        <w:rPr>
          <w:rFonts w:ascii="Arial" w:cs="Arial" w:eastAsia="Arial" w:hAnsi="Arial"/>
          <w:sz w:val="12"/>
          <w:szCs w:val="12"/>
          <w:color w:val="auto"/>
        </w:rPr>
        <w:t>”) is one of our intellectual property licensors and received its Registrable Securities in exchange for the cancellation of a promissory note previously issued as payment for certain amounts due under our license agreement with ISMMS.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Daniel W. Rumsey, managing partner of Disclosure Law Group, has served as our legal counsel through Disclosure Law Group since late 2011.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Praim S. Singh and Marlene Singh, trustees of the Singh Family Trust 4/25/1997 are the parents of Mr. Singh. Tracy K Price, trustee of the Price Family Trust 8/15/2007 is the brother of Mr. Singh.</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Chardan Capital Markets (“</w:t>
      </w:r>
      <w:r>
        <w:rPr>
          <w:rFonts w:ascii="Arial" w:cs="Arial" w:eastAsia="Arial" w:hAnsi="Arial"/>
          <w:sz w:val="12"/>
          <w:szCs w:val="12"/>
          <w:i w:val="1"/>
          <w:iCs w:val="1"/>
          <w:color w:val="auto"/>
        </w:rPr>
        <w:t>Chardan</w:t>
      </w:r>
      <w:r>
        <w:rPr>
          <w:rFonts w:ascii="Arial" w:cs="Arial" w:eastAsia="Arial" w:hAnsi="Arial"/>
          <w:sz w:val="12"/>
          <w:szCs w:val="12"/>
          <w:color w:val="auto"/>
        </w:rPr>
        <w:t>”) provides financial advisory services us. We issued to Chardan its Registrable Securities as compensation for such advisory services.</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Desjardins Securities, Inc. (“</w:t>
      </w:r>
      <w:r>
        <w:rPr>
          <w:rFonts w:ascii="Arial" w:cs="Arial" w:eastAsia="Arial" w:hAnsi="Arial"/>
          <w:sz w:val="12"/>
          <w:szCs w:val="12"/>
          <w:i w:val="1"/>
          <w:iCs w:val="1"/>
          <w:color w:val="auto"/>
        </w:rPr>
        <w:t>Desjardins</w:t>
      </w:r>
      <w:r>
        <w:rPr>
          <w:rFonts w:ascii="Arial" w:cs="Arial" w:eastAsia="Arial" w:hAnsi="Arial"/>
          <w:sz w:val="12"/>
          <w:szCs w:val="12"/>
          <w:color w:val="auto"/>
        </w:rPr>
        <w:t>”) previously provided certain investment advisory services to us, and received its Registrable Securities in exchange for the cancellation of a promissory note previously issued as payment of those services and certain current amounts payable by us to Desjardins.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PLAN OF DISTRIBUTION</w:t>
      </w:r>
    </w:p>
    <w:p>
      <w:pPr>
        <w:spacing w:after="0" w:line="172"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Each Selling Stockholder and any of their pledgees, assignees and successors-in-interest may, from time to time, resell any or all of their shares of Common Stock covered hereby on the OTCQB or any other stock exchange, market or trading facility on which the shares are traded or in private transactions. These resales may be at fixed or negotiated prices. A Selling Stockholder may use any one or more of the following methods when reselling shares:</w:t>
      </w:r>
    </w:p>
    <w:p>
      <w:pPr>
        <w:spacing w:after="0" w:line="110" w:lineRule="exact"/>
        <w:rPr>
          <w:sz w:val="20"/>
          <w:szCs w:val="20"/>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on any national securities exchange, market or quotation service on which our Common Stock may be listed or quoted at the time of sale;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transactions other than on these exchanges or systems or in the over-the-counter market;</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ordinary brokerage transactions and transactions in which the broker-dealer solicits purchasers;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block trades in which the broker-dealer will attempt to sell the securities as agent, but may position and resell a portion of the block as principal to facilitate the transaction;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purchases by a broker-dealer as principal and resale by the broker-dealer for its account;</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an exchange distribution in accordance with the rules of the applicable exchange;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privately negotiated transactions;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put or call option transactions;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transactions involving short sales through broker-dealers;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transactions wherein the Selling Stockholder sells securities short themselves and delivers the securities to close out short positions;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through the writing or settlement of options or other hedging transactions, whether through an options exchange or otherwise;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transactions that may involve crosses or block transactions;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transactions where broker-dealers may agree with the Selling Stockholders to sell a specified number of securities at a stipulated price per security;</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 combination of any such methods of sale; or</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any other method permitted by applicable law.</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Selling Stockholders may also resell shares under Rule 144 under the Securities Act, if available, rather than under this prospectus.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22" w:name="page123"/>
    <w:bookmarkEnd w:id="12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Rule 2440 of the Financial Industry Regulatory Authority, Inc.; and in the case of a principal transaction a markup or markdown in compliance with IM-2440 of the Financial Industry Regulatory Authority, Inc.</w:t>
      </w:r>
    </w:p>
    <w:p>
      <w:pPr>
        <w:spacing w:after="0" w:line="10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the Common Stock short and deliver these securities to close out their short positions, or loan or pledge the Common Stock to broker-dealers that in turn may resell these securities. The Selling Stockholders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4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Selling Stockholders and any broker-dealers or agents that are involved in reselling the shares may be deemed to be “underwriters” within the meaning of the Securities Act of 1933, as amended, in connection with such resales. In such event, any commissions received by such broker-dealers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their shares of Common Stock.</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is required to pay certain fees and expenses incurred by the Company incident to the registration of the Registerable Securities. The Company has agreed to indemnify the Selling Stockholders against certain losses, claims, damages and liabilities, including liabilities under the Securities Act.</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Because Selling Stockholders may be deemed to be “underwriters” within the meaning of the Securities Act, they will be subject to the prospectus delivery requirements of the Securities Act, including Rule 172 thereunder. The Selling Stockholders have advised us that there is no underwriter or coordinating broker acting in connection with the potential resale of shares by the Selling Stockholders.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agreed to keep this prospectus effective until the earlier of (i) the date on which the shares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(assuming that the shares were at no time held by any affiliate of ours, and all warrants are exercised by “cashless exercise” as provided in each of the warrants) or (ii) all of the shares have been resold pursuant to this prospectus or Rule 144 under the Securities Act, or any other rule of similar effect. The resale of shares will be only through registered or licensed brokers or dealers if required under applicable state securities laws. In addition, in certain states, resale of the shares of Common Stock covered hereby may not be consummated unless they have been registered or qualified for resale in the applicable state or an exemption from the registration or qualification requirement is available and is complied with.</w:t>
      </w:r>
    </w:p>
    <w:p>
      <w:pPr>
        <w:spacing w:after="0" w:line="1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Under applicable rules and regulations under the Exchange Act, any person engaged in the distribution of the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resales of shares of the Common Stock by the Selling Stockholders or any other person under this prospectus.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financial statements as of March 31, 2015 and 2014,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3" w:name="page124"/>
    <w:bookmarkEnd w:id="12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Disclosure Law Group, San Diego, California, will pass upon the validity of the shares of common stock offered hereby. A partner of the Disclosure Law Group beneficially owns 16,667 restricted shares of our common stock, 25,000 shares of our Series B Preferred stock (included as Registrable Securities in the Selling Stockholder Table) and holds warrants to purchase 12,917 restricted shares of our common stock.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INTERESTS OF NAMED EXPERTS AND COUNSEL</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No expert or counsel named in this prospectus as having prepared or certified any part of this prospectus or, other than as disclosed under “</w:t>
      </w:r>
      <w:r>
        <w:rPr>
          <w:rFonts w:ascii="Arial" w:cs="Arial" w:eastAsia="Arial" w:hAnsi="Arial"/>
          <w:sz w:val="12"/>
          <w:szCs w:val="12"/>
          <w:i w:val="1"/>
          <w:iCs w:val="1"/>
          <w:color w:val="auto"/>
        </w:rPr>
        <w:t>Legal Matters</w:t>
      </w:r>
      <w:r>
        <w:rPr>
          <w:rFonts w:ascii="Arial" w:cs="Arial" w:eastAsia="Arial" w:hAnsi="Arial"/>
          <w:sz w:val="12"/>
          <w:szCs w:val="12"/>
          <w:color w:val="auto"/>
        </w:rPr>
        <w:t>” in this registration statement, having given an opinion upon the validity of the securities being registered or upon other legal matters in connection with the resale of shares of common stock being offered by the Selling Stockholders under this prospectus was employed on a contingency basis or had, or is to receive, in connection with the resale of shares of common stock being offered by us under this prospectus, a substantial interest, directly or indirectly, in the Registrant or any of its subsidiaries. Nor was any such person connected with the Registrant or any of its subsidiaries as a promoter, managing or principal underwriter, voting trustee, director, officer, or employee.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w:t>
      </w:r>
      <w:r>
        <w:rPr>
          <w:rFonts w:ascii="Arial" w:cs="Arial" w:eastAsia="Arial" w:hAnsi="Arial"/>
          <w:sz w:val="12"/>
          <w:szCs w:val="12"/>
          <w:u w:val="single" w:color="auto"/>
          <w:color w:val="auto"/>
        </w:rPr>
        <w:t>http://www.sec.gov</w:t>
      </w:r>
      <w:r>
        <w:rPr>
          <w:rFonts w:ascii="Arial" w:cs="Arial" w:eastAsia="Arial" w:hAnsi="Arial"/>
          <w:sz w:val="12"/>
          <w:szCs w:val="12"/>
          <w:color w:val="auto"/>
        </w:rPr>
        <w:t>.</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have filed with the SEC a Registration Statement on Form S-1 under the Securities Act with respect to the shares of common stock being offered by the Selling Stockholders under this prospectus. This prospectus is part of that registration statement. This prospectus does not contain all of the information set forth in the registration statement or the exhibits to the registration statement. For further information with respect to us and the shares the Selling Stockholders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26"/>
        </w:trPr>
        <w:tc>
          <w:tcPr>
            <w:tcW w:w="10720" w:type="dxa"/>
            <w:vAlign w:val="bottom"/>
            <w:gridSpan w:val="2"/>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760" w:type="dxa"/>
            <w:vAlign w:val="bottom"/>
          </w:tcPr>
          <w:p>
            <w:pPr>
              <w:spacing w:after="0"/>
              <w:rPr>
                <w:sz w:val="10"/>
                <w:szCs w:val="10"/>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9960" w:type="dxa"/>
            <w:vAlign w:val="bottom"/>
          </w:tcPr>
          <w:p>
            <w:pPr>
              <w:jc w:val="center"/>
              <w:spacing w:after="0"/>
              <w:rPr>
                <w:sz w:val="20"/>
                <w:szCs w:val="20"/>
                <w:color w:val="auto"/>
              </w:rPr>
            </w:pPr>
            <w:r>
              <w:rPr>
                <w:rFonts w:ascii="Arial" w:cs="Arial" w:eastAsia="Arial" w:hAnsi="Arial"/>
                <w:sz w:val="12"/>
                <w:szCs w:val="12"/>
                <w:b w:val="1"/>
                <w:bCs w:val="1"/>
                <w:color w:val="auto"/>
              </w:rPr>
              <w:t>VISTAGEN THERAPEUTICS INC.</w:t>
            </w:r>
          </w:p>
        </w:tc>
        <w:tc>
          <w:tcPr>
            <w:tcW w:w="760" w:type="dxa"/>
            <w:vAlign w:val="bottom"/>
          </w:tcPr>
          <w:p>
            <w:pPr>
              <w:spacing w:after="0"/>
              <w:rPr>
                <w:sz w:val="24"/>
                <w:szCs w:val="24"/>
                <w:color w:val="auto"/>
              </w:rPr>
            </w:pPr>
          </w:p>
        </w:tc>
      </w:tr>
      <w:tr>
        <w:trPr>
          <w:trHeight w:val="157"/>
        </w:trPr>
        <w:tc>
          <w:tcPr>
            <w:tcW w:w="760" w:type="dxa"/>
            <w:vAlign w:val="bottom"/>
          </w:tcPr>
          <w:p>
            <w:pPr>
              <w:spacing w:after="0"/>
              <w:rPr>
                <w:sz w:val="13"/>
                <w:szCs w:val="13"/>
                <w:color w:val="auto"/>
              </w:rPr>
            </w:pPr>
          </w:p>
        </w:tc>
        <w:tc>
          <w:tcPr>
            <w:tcW w:w="9960" w:type="dxa"/>
            <w:vAlign w:val="bottom"/>
          </w:tcPr>
          <w:p>
            <w:pPr>
              <w:jc w:val="center"/>
              <w:spacing w:after="0"/>
              <w:rPr>
                <w:sz w:val="20"/>
                <w:szCs w:val="20"/>
                <w:color w:val="auto"/>
              </w:rPr>
            </w:pPr>
            <w:r>
              <w:rPr>
                <w:rFonts w:ascii="Arial" w:cs="Arial" w:eastAsia="Arial" w:hAnsi="Arial"/>
                <w:sz w:val="12"/>
                <w:szCs w:val="12"/>
                <w:b w:val="1"/>
                <w:bCs w:val="1"/>
                <w:color w:val="auto"/>
              </w:rPr>
              <w:t>INDEX TO FINANCIAL STATEMENTS</w:t>
            </w:r>
          </w:p>
        </w:tc>
        <w:tc>
          <w:tcPr>
            <w:tcW w:w="760" w:type="dxa"/>
            <w:vAlign w:val="bottom"/>
          </w:tcPr>
          <w:p>
            <w:pPr>
              <w:spacing w:after="0"/>
              <w:rPr>
                <w:sz w:val="13"/>
                <w:szCs w:val="13"/>
                <w:color w:val="auto"/>
              </w:rPr>
            </w:pPr>
          </w:p>
        </w:tc>
      </w:tr>
      <w:tr>
        <w:trPr>
          <w:trHeight w:val="288"/>
        </w:trPr>
        <w:tc>
          <w:tcPr>
            <w:tcW w:w="76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Page</w:t>
            </w:r>
          </w:p>
        </w:tc>
      </w:tr>
      <w:tr>
        <w:trPr>
          <w:trHeight w:val="133"/>
        </w:trPr>
        <w:tc>
          <w:tcPr>
            <w:tcW w:w="10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Audited Financial Statements for the years ended March 31, 2015 and 2014</w:t>
            </w:r>
          </w:p>
        </w:tc>
        <w:tc>
          <w:tcPr>
            <w:tcW w:w="760" w:type="dxa"/>
            <w:vAlign w:val="bottom"/>
          </w:tcPr>
          <w:p>
            <w:pPr>
              <w:spacing w:after="0"/>
              <w:rPr>
                <w:sz w:val="11"/>
                <w:szCs w:val="11"/>
                <w:color w:val="auto"/>
              </w:rPr>
            </w:pP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Report of Independent Registered Public Accounting Firm</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F-2</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Consolidated Balance Sheets</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F-3</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Consolidated Statements of Operations</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F-4</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Consolidated Statements of Cash Flows</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F-5</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Consolidated Statements of Stockholders' Deficit</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F-6</w:t>
            </w:r>
          </w:p>
        </w:tc>
      </w:tr>
      <w:tr>
        <w:trPr>
          <w:trHeight w:val="153"/>
        </w:trPr>
        <w:tc>
          <w:tcPr>
            <w:tcW w:w="10720" w:type="dxa"/>
            <w:vAlign w:val="bottom"/>
            <w:gridSpan w:val="2"/>
          </w:tcPr>
          <w:p>
            <w:pPr>
              <w:spacing w:after="0"/>
              <w:rPr>
                <w:sz w:val="20"/>
                <w:szCs w:val="20"/>
                <w:color w:val="auto"/>
              </w:rPr>
            </w:pPr>
            <w:r>
              <w:rPr>
                <w:rFonts w:ascii="Arial" w:cs="Arial" w:eastAsia="Arial" w:hAnsi="Arial"/>
                <w:sz w:val="12"/>
                <w:szCs w:val="12"/>
                <w:color w:val="auto"/>
              </w:rPr>
              <w:t>Notes to Consolidated Financial Statements</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F-7</w:t>
            </w:r>
          </w:p>
        </w:tc>
      </w:tr>
      <w:tr>
        <w:trPr>
          <w:trHeight w:val="279"/>
        </w:trPr>
        <w:tc>
          <w:tcPr>
            <w:tcW w:w="10720" w:type="dxa"/>
            <w:vAlign w:val="bottom"/>
            <w:gridSpan w:val="2"/>
          </w:tcPr>
          <w:p>
            <w:pPr>
              <w:spacing w:after="0"/>
              <w:rPr>
                <w:sz w:val="20"/>
                <w:szCs w:val="20"/>
                <w:color w:val="auto"/>
              </w:rPr>
            </w:pPr>
            <w:r>
              <w:rPr>
                <w:rFonts w:ascii="Arial" w:cs="Arial" w:eastAsia="Arial" w:hAnsi="Arial"/>
                <w:sz w:val="12"/>
                <w:szCs w:val="12"/>
                <w:b w:val="1"/>
                <w:bCs w:val="1"/>
                <w:color w:val="auto"/>
              </w:rPr>
              <w:t>Financial statements for the three month periods ended June 30, 2015 and 2014 (Unaudited)</w:t>
            </w:r>
          </w:p>
        </w:tc>
        <w:tc>
          <w:tcPr>
            <w:tcW w:w="760" w:type="dxa"/>
            <w:vAlign w:val="bottom"/>
          </w:tcPr>
          <w:p>
            <w:pPr>
              <w:spacing w:after="0"/>
              <w:rPr>
                <w:sz w:val="24"/>
                <w:szCs w:val="24"/>
                <w:color w:val="auto"/>
              </w:rPr>
            </w:pP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Condensed Consolidated Balance Sheets at June 30, 2015 and March 31, 2015</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F-50</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Condensed Consolidated Statements of Operations and Comprehensive Loss for the three months ended June 30, 2015 and 2014</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F-51</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Condensed Consolidated Statements of Cash Flows for the three months ended June 30, 2015 and 2014</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F-52</w:t>
            </w:r>
          </w:p>
        </w:tc>
      </w:tr>
      <w:tr>
        <w:trPr>
          <w:trHeight w:val="153"/>
        </w:trPr>
        <w:tc>
          <w:tcPr>
            <w:tcW w:w="10720" w:type="dxa"/>
            <w:vAlign w:val="bottom"/>
            <w:gridSpan w:val="2"/>
          </w:tcPr>
          <w:p>
            <w:pPr>
              <w:spacing w:after="0"/>
              <w:rPr>
                <w:sz w:val="20"/>
                <w:szCs w:val="20"/>
                <w:color w:val="auto"/>
              </w:rPr>
            </w:pPr>
            <w:r>
              <w:rPr>
                <w:rFonts w:ascii="Arial" w:cs="Arial" w:eastAsia="Arial" w:hAnsi="Arial"/>
                <w:sz w:val="12"/>
                <w:szCs w:val="12"/>
                <w:color w:val="auto"/>
              </w:rPr>
              <w:t>Notes to the Condensed Consolidated Financial Statements</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F-53</w:t>
            </w:r>
          </w:p>
        </w:tc>
      </w:tr>
      <w:tr>
        <w:trPr>
          <w:trHeight w:val="405"/>
        </w:trPr>
        <w:tc>
          <w:tcPr>
            <w:tcW w:w="760" w:type="dxa"/>
            <w:vAlign w:val="bottom"/>
          </w:tcPr>
          <w:p>
            <w:pPr>
              <w:spacing w:after="0"/>
              <w:rPr>
                <w:sz w:val="24"/>
                <w:szCs w:val="24"/>
                <w:color w:val="auto"/>
              </w:rPr>
            </w:pPr>
          </w:p>
        </w:tc>
        <w:tc>
          <w:tcPr>
            <w:tcW w:w="9960" w:type="dxa"/>
            <w:vAlign w:val="bottom"/>
          </w:tcPr>
          <w:p>
            <w:pPr>
              <w:jc w:val="center"/>
              <w:spacing w:after="0"/>
              <w:rPr>
                <w:sz w:val="20"/>
                <w:szCs w:val="20"/>
                <w:color w:val="auto"/>
              </w:rPr>
            </w:pPr>
            <w:r>
              <w:rPr>
                <w:rFonts w:ascii="Arial" w:cs="Arial" w:eastAsia="Arial" w:hAnsi="Arial"/>
                <w:sz w:val="12"/>
                <w:szCs w:val="12"/>
                <w:color w:val="auto"/>
                <w:w w:val="88"/>
              </w:rPr>
              <w:t>F-1</w:t>
            </w:r>
          </w:p>
        </w:tc>
        <w:tc>
          <w:tcPr>
            <w:tcW w:w="760" w:type="dxa"/>
            <w:vAlign w:val="bottom"/>
          </w:tcPr>
          <w:p>
            <w:pPr>
              <w:spacing w:after="0"/>
              <w:rPr>
                <w:sz w:val="24"/>
                <w:szCs w:val="24"/>
                <w:color w:val="auto"/>
              </w:rPr>
            </w:pPr>
          </w:p>
        </w:tc>
      </w:tr>
      <w:tr>
        <w:trPr>
          <w:trHeight w:val="76"/>
        </w:trPr>
        <w:tc>
          <w:tcPr>
            <w:tcW w:w="760" w:type="dxa"/>
            <w:vAlign w:val="bottom"/>
            <w:tcBorders>
              <w:bottom w:val="single" w:sz="8" w:color="808080"/>
            </w:tcBorders>
          </w:tcPr>
          <w:p>
            <w:pPr>
              <w:spacing w:after="0"/>
              <w:rPr>
                <w:sz w:val="6"/>
                <w:szCs w:val="6"/>
                <w:color w:val="auto"/>
              </w:rPr>
            </w:pPr>
          </w:p>
        </w:tc>
        <w:tc>
          <w:tcPr>
            <w:tcW w:w="99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5" w:name="page126"/>
    <w:bookmarkEnd w:id="12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141"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We have audited the accompanying consolidated balance sheets of VistaGen Therapeutics, Inc. as of March 31, 2015 and 2014 and the related consolidated statements of operations and comprehensive loss, cash flows, preferred stock, and stockholders’ deficit for the years then ended. These financial statements are the responsibility of the Company's management. Our responsibility is to express an opinion on these consolidated financial statements based on our audits.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consolidated financial position of VistaGen Therapeutics, Inc. at March 31, 2015 and 2014, and the consolidated results of its operations and its cash flows for the years then ended, in conformity with U.S. generally accepted accounting principles.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29, 2015</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26"/>
        </w:trPr>
        <w:tc>
          <w:tcPr>
            <w:tcW w:w="8720" w:type="dxa"/>
            <w:vAlign w:val="bottom"/>
            <w:gridSpan w:val="2"/>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760" w:type="dxa"/>
            <w:vAlign w:val="bottom"/>
            <w:tcBorders>
              <w:top w:val="single" w:sz="8" w:color="0000EE"/>
            </w:tcBorders>
          </w:tcPr>
          <w:p>
            <w:pPr>
              <w:spacing w:after="0"/>
              <w:rPr>
                <w:sz w:val="24"/>
                <w:szCs w:val="24"/>
                <w:color w:val="auto"/>
              </w:rPr>
            </w:pPr>
          </w:p>
        </w:tc>
        <w:tc>
          <w:tcPr>
            <w:tcW w:w="7960" w:type="dxa"/>
            <w:vAlign w:val="bottom"/>
          </w:tcPr>
          <w:p>
            <w:pPr>
              <w:jc w:val="center"/>
              <w:ind w:left="1920"/>
              <w:spacing w:after="0"/>
              <w:rPr>
                <w:sz w:val="20"/>
                <w:szCs w:val="20"/>
                <w:color w:val="auto"/>
              </w:rPr>
            </w:pPr>
            <w:r>
              <w:rPr>
                <w:rFonts w:ascii="Arial" w:cs="Arial" w:eastAsia="Arial" w:hAnsi="Arial"/>
                <w:sz w:val="12"/>
                <w:szCs w:val="12"/>
                <w:b w:val="1"/>
                <w:bCs w:val="1"/>
                <w:color w:val="auto"/>
              </w:rPr>
              <w:t>VISTAGEN THERAPEUTICS,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3"/>
        </w:trPr>
        <w:tc>
          <w:tcPr>
            <w:tcW w:w="760" w:type="dxa"/>
            <w:vAlign w:val="bottom"/>
          </w:tcPr>
          <w:p>
            <w:pPr>
              <w:spacing w:after="0"/>
              <w:rPr>
                <w:sz w:val="24"/>
                <w:szCs w:val="24"/>
                <w:color w:val="auto"/>
              </w:rPr>
            </w:pPr>
          </w:p>
        </w:tc>
        <w:tc>
          <w:tcPr>
            <w:tcW w:w="7960" w:type="dxa"/>
            <w:vAlign w:val="bottom"/>
          </w:tcPr>
          <w:p>
            <w:pPr>
              <w:jc w:val="center"/>
              <w:ind w:left="1940"/>
              <w:spacing w:after="0"/>
              <w:rPr>
                <w:sz w:val="20"/>
                <w:szCs w:val="20"/>
                <w:color w:val="auto"/>
              </w:rPr>
            </w:pPr>
            <w:r>
              <w:rPr>
                <w:rFonts w:ascii="Arial" w:cs="Arial" w:eastAsia="Arial" w:hAnsi="Arial"/>
                <w:sz w:val="12"/>
                <w:szCs w:val="12"/>
                <w:b w:val="1"/>
                <w:bCs w:val="1"/>
                <w:color w:val="auto"/>
                <w:w w:val="99"/>
              </w:rPr>
              <w:t>CONSOLIDATED BALANCE SHEETS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760" w:type="dxa"/>
            <w:vAlign w:val="bottom"/>
          </w:tcPr>
          <w:p>
            <w:pPr>
              <w:spacing w:after="0"/>
              <w:rPr>
                <w:sz w:val="13"/>
                <w:szCs w:val="13"/>
                <w:color w:val="auto"/>
              </w:rPr>
            </w:pPr>
          </w:p>
        </w:tc>
        <w:tc>
          <w:tcPr>
            <w:tcW w:w="7960" w:type="dxa"/>
            <w:vAlign w:val="bottom"/>
          </w:tcPr>
          <w:p>
            <w:pPr>
              <w:jc w:val="center"/>
              <w:ind w:left="192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760" w:type="dxa"/>
            <w:vAlign w:val="bottom"/>
          </w:tcPr>
          <w:p>
            <w:pPr>
              <w:spacing w:after="0"/>
              <w:rPr>
                <w:sz w:val="24"/>
                <w:szCs w:val="24"/>
                <w:color w:val="auto"/>
              </w:rPr>
            </w:pPr>
          </w:p>
        </w:tc>
        <w:tc>
          <w:tcPr>
            <w:tcW w:w="7960" w:type="dxa"/>
            <w:vAlign w:val="bottom"/>
          </w:tcPr>
          <w:p>
            <w:pPr>
              <w:jc w:val="center"/>
              <w:ind w:left="1820"/>
              <w:spacing w:after="0"/>
              <w:rPr>
                <w:sz w:val="20"/>
                <w:szCs w:val="20"/>
                <w:color w:val="auto"/>
              </w:rPr>
            </w:pPr>
            <w:r>
              <w:rPr>
                <w:rFonts w:ascii="Arial" w:cs="Arial" w:eastAsia="Arial" w:hAnsi="Arial"/>
                <w:sz w:val="12"/>
                <w:szCs w:val="12"/>
                <w:b w:val="1"/>
                <w:bCs w:val="1"/>
                <w:color w:val="auto"/>
              </w:rPr>
              <w:t>VISTAGEN THERAPEUTICS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8"/>
        </w:trPr>
        <w:tc>
          <w:tcPr>
            <w:tcW w:w="760" w:type="dxa"/>
            <w:vAlign w:val="bottom"/>
          </w:tcPr>
          <w:p>
            <w:pPr>
              <w:spacing w:after="0"/>
              <w:rPr>
                <w:sz w:val="12"/>
                <w:szCs w:val="12"/>
                <w:color w:val="auto"/>
              </w:rPr>
            </w:pPr>
          </w:p>
        </w:tc>
        <w:tc>
          <w:tcPr>
            <w:tcW w:w="7960" w:type="dxa"/>
            <w:vAlign w:val="bottom"/>
          </w:tcPr>
          <w:p>
            <w:pPr>
              <w:jc w:val="center"/>
              <w:ind w:left="1820"/>
              <w:spacing w:after="0"/>
              <w:rPr>
                <w:sz w:val="20"/>
                <w:szCs w:val="20"/>
                <w:color w:val="auto"/>
              </w:rPr>
            </w:pPr>
            <w:r>
              <w:rPr>
                <w:rFonts w:ascii="Arial" w:cs="Arial" w:eastAsia="Arial" w:hAnsi="Arial"/>
                <w:sz w:val="12"/>
                <w:szCs w:val="12"/>
                <w:b w:val="1"/>
                <w:bCs w:val="1"/>
                <w:color w:val="auto"/>
                <w:w w:val="88"/>
              </w:rPr>
              <w:t>Consolidated Balance Sheets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60" w:type="dxa"/>
            <w:vAlign w:val="bottom"/>
          </w:tcPr>
          <w:p>
            <w:pPr>
              <w:spacing w:after="0"/>
              <w:rPr>
                <w:sz w:val="13"/>
                <w:szCs w:val="13"/>
                <w:color w:val="auto"/>
              </w:rPr>
            </w:pPr>
          </w:p>
        </w:tc>
        <w:tc>
          <w:tcPr>
            <w:tcW w:w="7960" w:type="dxa"/>
            <w:vAlign w:val="bottom"/>
          </w:tcPr>
          <w:p>
            <w:pPr>
              <w:jc w:val="center"/>
              <w:ind w:left="1820"/>
              <w:spacing w:after="0"/>
              <w:rPr>
                <w:sz w:val="20"/>
                <w:szCs w:val="20"/>
                <w:color w:val="auto"/>
              </w:rPr>
            </w:pPr>
            <w:r>
              <w:rPr>
                <w:rFonts w:ascii="Arial" w:cs="Arial" w:eastAsia="Arial" w:hAnsi="Arial"/>
                <w:sz w:val="12"/>
                <w:szCs w:val="12"/>
                <w:color w:val="auto"/>
                <w:w w:val="95"/>
              </w:rPr>
              <w:t>Amounts in Dollars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76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23"/>
                <w:szCs w:val="2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March 31,</w:t>
            </w:r>
          </w:p>
        </w:tc>
      </w:tr>
      <w:tr>
        <w:trPr>
          <w:trHeight w:val="157"/>
        </w:trPr>
        <w:tc>
          <w:tcPr>
            <w:tcW w:w="76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3"/>
                <w:szCs w:val="13"/>
                <w:color w:val="auto"/>
              </w:rPr>
            </w:pPr>
          </w:p>
        </w:tc>
      </w:tr>
      <w:tr>
        <w:trPr>
          <w:trHeight w:val="133"/>
        </w:trPr>
        <w:tc>
          <w:tcPr>
            <w:tcW w:w="760" w:type="dxa"/>
            <w:vAlign w:val="bottom"/>
          </w:tcPr>
          <w:p>
            <w:pPr>
              <w:spacing w:after="0"/>
              <w:rPr>
                <w:sz w:val="11"/>
                <w:szCs w:val="11"/>
                <w:color w:val="auto"/>
              </w:rPr>
            </w:pPr>
          </w:p>
        </w:tc>
        <w:tc>
          <w:tcPr>
            <w:tcW w:w="7960" w:type="dxa"/>
            <w:vAlign w:val="bottom"/>
          </w:tcPr>
          <w:p>
            <w:pPr>
              <w:jc w:val="center"/>
              <w:ind w:left="1820"/>
              <w:spacing w:after="0" w:line="133" w:lineRule="exact"/>
              <w:rPr>
                <w:sz w:val="20"/>
                <w:szCs w:val="20"/>
                <w:color w:val="auto"/>
              </w:rPr>
            </w:pPr>
            <w:r>
              <w:rPr>
                <w:rFonts w:ascii="Arial" w:cs="Arial" w:eastAsia="Arial" w:hAnsi="Arial"/>
                <w:sz w:val="12"/>
                <w:szCs w:val="12"/>
                <w:b w:val="1"/>
                <w:bCs w:val="1"/>
                <w:color w:val="auto"/>
                <w:w w:val="91"/>
              </w:rPr>
              <w:t>ASSETS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35,700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40,500</w:t>
            </w: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8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40,500</w:t>
            </w: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Property and equipment, net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117,100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176,300</w:t>
            </w: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46,900</w:t>
            </w:r>
          </w:p>
        </w:tc>
      </w:tr>
      <w:tr>
        <w:trPr>
          <w:trHeight w:val="20"/>
        </w:trPr>
        <w:tc>
          <w:tcPr>
            <w:tcW w:w="760" w:type="dxa"/>
            <w:vAlign w:val="bottom"/>
            <w:shd w:val="clear" w:color="auto" w:fill="CCEEFF"/>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20" w:type="dxa"/>
            <w:vAlign w:val="bottom"/>
            <w:gridSpan w:val="2"/>
          </w:tcPr>
          <w:p>
            <w:pPr>
              <w:ind w:left="460"/>
              <w:spacing w:after="0"/>
              <w:rPr>
                <w:sz w:val="20"/>
                <w:szCs w:val="20"/>
                <w:color w:val="auto"/>
              </w:rPr>
            </w:pPr>
            <w:r>
              <w:rPr>
                <w:rFonts w:ascii="Arial" w:cs="Arial" w:eastAsia="Arial" w:hAnsi="Arial"/>
                <w:sz w:val="12"/>
                <w:szCs w:val="12"/>
                <w:color w:val="auto"/>
              </w:rPr>
              <w:t>Total assets</w:t>
            </w:r>
          </w:p>
        </w:tc>
        <w:tc>
          <w:tcPr>
            <w:tcW w:w="1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269,700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263,700</w:t>
            </w: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760" w:type="dxa"/>
            <w:vAlign w:val="bottom"/>
            <w:shd w:val="clear" w:color="auto" w:fill="CCEEFF"/>
          </w:tcPr>
          <w:p>
            <w:pPr>
              <w:spacing w:after="0"/>
              <w:rPr>
                <w:sz w:val="10"/>
                <w:szCs w:val="10"/>
                <w:color w:val="auto"/>
              </w:rPr>
            </w:pPr>
          </w:p>
        </w:tc>
        <w:tc>
          <w:tcPr>
            <w:tcW w:w="7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760" w:type="dxa"/>
            <w:vAlign w:val="bottom"/>
          </w:tcPr>
          <w:p>
            <w:pPr>
              <w:spacing w:after="0"/>
              <w:rPr>
                <w:sz w:val="12"/>
                <w:szCs w:val="12"/>
                <w:color w:val="auto"/>
              </w:rPr>
            </w:pPr>
          </w:p>
        </w:tc>
        <w:tc>
          <w:tcPr>
            <w:tcW w:w="7960" w:type="dxa"/>
            <w:vAlign w:val="bottom"/>
          </w:tcPr>
          <w:p>
            <w:pPr>
              <w:jc w:val="center"/>
              <w:ind w:left="1820"/>
              <w:spacing w:after="0"/>
              <w:rPr>
                <w:sz w:val="20"/>
                <w:szCs w:val="20"/>
                <w:color w:val="auto"/>
              </w:rPr>
            </w:pPr>
            <w:r>
              <w:rPr>
                <w:rFonts w:ascii="Arial" w:cs="Arial" w:eastAsia="Arial" w:hAnsi="Arial"/>
                <w:sz w:val="12"/>
                <w:szCs w:val="12"/>
                <w:b w:val="1"/>
                <w:bCs w:val="1"/>
                <w:color w:val="auto"/>
              </w:rPr>
              <w:t>LIABILITIES AND STOCKHOLDERS’ DEFICIT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320" w:type="dxa"/>
            <w:vAlign w:val="bottom"/>
            <w:gridSpan w:val="2"/>
          </w:tcPr>
          <w:p>
            <w:pPr>
              <w:jc w:val="right"/>
              <w:ind w:right="9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2,251,100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2,443,900</w:t>
            </w:r>
          </w:p>
        </w:tc>
        <w:tc>
          <w:tcPr>
            <w:tcW w:w="120" w:type="dxa"/>
            <w:vAlign w:val="bottom"/>
          </w:tcPr>
          <w:p>
            <w:pPr>
              <w:spacing w:after="0"/>
              <w:rPr>
                <w:sz w:val="12"/>
                <w:szCs w:val="12"/>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625,600</w:t>
            </w: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Advance from officer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3,600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 maturities of senior secured convertible promissory notes and accrued interest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4,146,100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Current portion of notes payable, net of discount of $474,500 at March 31, 2014 and accrued 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4,117,000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1,442,300</w:t>
            </w:r>
          </w:p>
        </w:tc>
        <w:tc>
          <w:tcPr>
            <w:tcW w:w="120" w:type="dxa"/>
            <w:vAlign w:val="bottom"/>
          </w:tcPr>
          <w:p>
            <w:pPr>
              <w:spacing w:after="0"/>
              <w:rPr>
                <w:sz w:val="12"/>
                <w:szCs w:val="12"/>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 portion of notes payable to related parties, net of discount of $54,500 at March 31, 2015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and accrued interest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1,508,800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290,400</w:t>
            </w:r>
          </w:p>
        </w:tc>
      </w:tr>
      <w:tr>
        <w:trPr>
          <w:trHeight w:val="135"/>
        </w:trPr>
        <w:tc>
          <w:tcPr>
            <w:tcW w:w="8720" w:type="dxa"/>
            <w:vAlign w:val="bottom"/>
            <w:gridSpan w:val="2"/>
          </w:tcPr>
          <w:p>
            <w:pPr>
              <w:ind w:left="240"/>
              <w:spacing w:after="0" w:line="136" w:lineRule="exact"/>
              <w:rPr>
                <w:sz w:val="20"/>
                <w:szCs w:val="20"/>
                <w:color w:val="auto"/>
              </w:rPr>
            </w:pPr>
            <w:r>
              <w:rPr>
                <w:rFonts w:ascii="Arial" w:cs="Arial" w:eastAsia="Arial" w:hAnsi="Arial"/>
                <w:sz w:val="12"/>
                <w:szCs w:val="12"/>
                <w:color w:val="auto"/>
              </w:rPr>
              <w:t>Convertible promissory notes and accrued interest, net of discount of $180,000 at March 31, 2015 and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720" w:type="dxa"/>
            <w:vAlign w:val="bottom"/>
            <w:gridSpan w:val="2"/>
          </w:tcPr>
          <w:p>
            <w:pPr>
              <w:ind w:left="360"/>
              <w:spacing w:after="0"/>
              <w:rPr>
                <w:sz w:val="20"/>
                <w:szCs w:val="20"/>
                <w:color w:val="auto"/>
              </w:rPr>
            </w:pPr>
            <w:r>
              <w:rPr>
                <w:rFonts w:ascii="Arial" w:cs="Arial" w:eastAsia="Arial" w:hAnsi="Arial"/>
                <w:sz w:val="12"/>
                <w:szCs w:val="12"/>
                <w:color w:val="auto"/>
              </w:rPr>
              <w:t>$697,400 at March 31, 2014, respectively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4,157,600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396,000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Capital lease obligations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3,900</w:t>
            </w:r>
          </w:p>
        </w:tc>
      </w:tr>
      <w:tr>
        <w:trPr>
          <w:trHeight w:val="142"/>
        </w:trPr>
        <w:tc>
          <w:tcPr>
            <w:tcW w:w="8720" w:type="dxa"/>
            <w:vAlign w:val="bottom"/>
            <w:tcBorders>
              <w:top w:val="single" w:sz="8" w:color="CCEEFF"/>
            </w:tcBorders>
            <w:gridSpan w:val="2"/>
          </w:tcPr>
          <w:p>
            <w:pPr>
              <w:ind w:left="460"/>
              <w:spacing w:after="0"/>
              <w:rPr>
                <w:sz w:val="20"/>
                <w:szCs w:val="20"/>
                <w:color w:val="auto"/>
              </w:rPr>
            </w:pPr>
            <w:r>
              <w:rPr>
                <w:rFonts w:ascii="Arial" w:cs="Arial" w:eastAsia="Arial" w:hAnsi="Arial"/>
                <w:sz w:val="12"/>
                <w:szCs w:val="12"/>
                <w:color w:val="auto"/>
              </w:rPr>
              <w:t>Total current liabilities</w:t>
            </w: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17,388,100</w:t>
            </w: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5,205,700</w:t>
            </w:r>
          </w:p>
        </w:tc>
        <w:tc>
          <w:tcPr>
            <w:tcW w:w="120" w:type="dxa"/>
            <w:vAlign w:val="bottom"/>
            <w:tcBorders>
              <w:top w:val="single" w:sz="8" w:color="CCEEFF"/>
            </w:tcBorders>
          </w:tcPr>
          <w:p>
            <w:pPr>
              <w:spacing w:after="0"/>
              <w:rPr>
                <w:sz w:val="12"/>
                <w:szCs w:val="12"/>
                <w:color w:val="auto"/>
              </w:rPr>
            </w:pPr>
          </w:p>
        </w:tc>
      </w:tr>
      <w:tr>
        <w:trPr>
          <w:trHeight w:val="14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Non-current liabilities: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5"/>
        </w:trPr>
        <w:tc>
          <w:tcPr>
            <w:tcW w:w="872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Senior secured convertible promissory notes, net of discount of $0 at March 31, 2015 and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720" w:type="dxa"/>
            <w:vAlign w:val="bottom"/>
            <w:gridSpan w:val="2"/>
          </w:tcPr>
          <w:p>
            <w:pPr>
              <w:ind w:left="360"/>
              <w:spacing w:after="0"/>
              <w:rPr>
                <w:sz w:val="20"/>
                <w:szCs w:val="20"/>
                <w:color w:val="auto"/>
              </w:rPr>
            </w:pPr>
            <w:r>
              <w:rPr>
                <w:rFonts w:ascii="Arial" w:cs="Arial" w:eastAsia="Arial" w:hAnsi="Arial"/>
                <w:sz w:val="12"/>
                <w:szCs w:val="12"/>
                <w:color w:val="auto"/>
              </w:rPr>
              <w:t>$2,085,900 at March 31, 2014, respectively, and accrued interest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296,200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1,929,800</w:t>
            </w:r>
          </w:p>
        </w:tc>
        <w:tc>
          <w:tcPr>
            <w:tcW w:w="120" w:type="dxa"/>
            <w:vAlign w:val="bottom"/>
          </w:tcPr>
          <w:p>
            <w:pPr>
              <w:spacing w:after="0"/>
              <w:rPr>
                <w:sz w:val="13"/>
                <w:szCs w:val="13"/>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Notes payable, net of discount of $0 at March 31, 2015 and $848,100 at March 31, 2014, and</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and accrued interest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1,797,600</w:t>
            </w: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Notes payable to related parties, net of discount of $103,200 at March 31, 2014 and accrued 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1,057,100</w:t>
            </w:r>
          </w:p>
        </w:tc>
        <w:tc>
          <w:tcPr>
            <w:tcW w:w="120" w:type="dxa"/>
            <w:vAlign w:val="bottom"/>
          </w:tcPr>
          <w:p>
            <w:pPr>
              <w:spacing w:after="0"/>
              <w:rPr>
                <w:sz w:val="12"/>
                <w:szCs w:val="12"/>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Warrant liability</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Deferred rent liability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83,000</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97,400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Capital lease obligations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2,100</w:t>
            </w:r>
          </w:p>
        </w:tc>
      </w:tr>
      <w:tr>
        <w:trPr>
          <w:trHeight w:val="142"/>
        </w:trPr>
        <w:tc>
          <w:tcPr>
            <w:tcW w:w="8720" w:type="dxa"/>
            <w:vAlign w:val="bottom"/>
            <w:tcBorders>
              <w:top w:val="single" w:sz="8" w:color="CCEEFF"/>
            </w:tcBorders>
            <w:gridSpan w:val="2"/>
          </w:tcPr>
          <w:p>
            <w:pPr>
              <w:ind w:left="340"/>
              <w:spacing w:after="0"/>
              <w:rPr>
                <w:sz w:val="20"/>
                <w:szCs w:val="20"/>
                <w:color w:val="auto"/>
              </w:rPr>
            </w:pPr>
            <w:r>
              <w:rPr>
                <w:rFonts w:ascii="Arial" w:cs="Arial" w:eastAsia="Arial" w:hAnsi="Arial"/>
                <w:sz w:val="12"/>
                <w:szCs w:val="12"/>
                <w:color w:val="auto"/>
              </w:rPr>
              <w:t>Total non-current liabilities</w:t>
            </w: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3,424,400</w:t>
            </w: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7,857,900</w:t>
            </w:r>
          </w:p>
        </w:tc>
        <w:tc>
          <w:tcPr>
            <w:tcW w:w="120" w:type="dxa"/>
            <w:vAlign w:val="bottom"/>
            <w:tcBorders>
              <w:top w:val="single" w:sz="8" w:color="CCEEFF"/>
            </w:tcBorders>
          </w:tcPr>
          <w:p>
            <w:pPr>
              <w:spacing w:after="0"/>
              <w:rPr>
                <w:sz w:val="12"/>
                <w:szCs w:val="12"/>
                <w:color w:val="auto"/>
              </w:rPr>
            </w:pPr>
          </w:p>
        </w:tc>
      </w:tr>
      <w:tr>
        <w:trPr>
          <w:trHeight w:val="142"/>
        </w:trPr>
        <w:tc>
          <w:tcPr>
            <w:tcW w:w="87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Total liabilities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20,812,500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13,063,600</w:t>
            </w:r>
          </w:p>
        </w:tc>
      </w:tr>
      <w:tr>
        <w:trPr>
          <w:trHeight w:val="142"/>
        </w:trPr>
        <w:tc>
          <w:tcPr>
            <w:tcW w:w="760" w:type="dxa"/>
            <w:vAlign w:val="bottom"/>
            <w:tcBorders>
              <w:top w:val="single" w:sz="8" w:color="CCEEFF"/>
            </w:tcBorders>
          </w:tcPr>
          <w:p>
            <w:pPr>
              <w:spacing w:after="0"/>
              <w:rPr>
                <w:sz w:val="12"/>
                <w:szCs w:val="12"/>
                <w:color w:val="auto"/>
              </w:rPr>
            </w:pPr>
          </w:p>
        </w:tc>
        <w:tc>
          <w:tcPr>
            <w:tcW w:w="7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Commitments and contingencies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6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Stockholders’ deficit: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5"/>
        </w:trPr>
        <w:tc>
          <w:tcPr>
            <w:tcW w:w="8720" w:type="dxa"/>
            <w:vAlign w:val="bottom"/>
            <w:gridSpan w:val="2"/>
          </w:tcPr>
          <w:p>
            <w:pPr>
              <w:ind w:left="180"/>
              <w:spacing w:after="0" w:line="136" w:lineRule="exact"/>
              <w:rPr>
                <w:sz w:val="20"/>
                <w:szCs w:val="20"/>
                <w:color w:val="auto"/>
              </w:rPr>
            </w:pPr>
            <w:r>
              <w:rPr>
                <w:rFonts w:ascii="Arial" w:cs="Arial" w:eastAsia="Arial" w:hAnsi="Arial"/>
                <w:sz w:val="12"/>
                <w:szCs w:val="12"/>
                <w:color w:val="auto"/>
              </w:rPr>
              <w:t>Preferred stock, $0.001 par value; 10,000,000 shares, including 500,000 Series A shares, authorized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720" w:type="dxa"/>
            <w:vAlign w:val="bottom"/>
            <w:gridSpan w:val="2"/>
          </w:tcPr>
          <w:p>
            <w:pPr>
              <w:ind w:left="300"/>
              <w:spacing w:after="0"/>
              <w:rPr>
                <w:sz w:val="20"/>
                <w:szCs w:val="20"/>
                <w:color w:val="auto"/>
              </w:rPr>
            </w:pPr>
            <w:r>
              <w:rPr>
                <w:rFonts w:ascii="Arial" w:cs="Arial" w:eastAsia="Arial" w:hAnsi="Arial"/>
                <w:sz w:val="12"/>
                <w:szCs w:val="12"/>
                <w:color w:val="auto"/>
              </w:rPr>
              <w:t>at March 31, 2015 and March 31, 2014, respectively; 500,000 Series A shares issued and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720" w:type="dxa"/>
            <w:vAlign w:val="bottom"/>
            <w:gridSpan w:val="2"/>
          </w:tcPr>
          <w:p>
            <w:pPr>
              <w:ind w:left="300"/>
              <w:spacing w:after="0"/>
              <w:rPr>
                <w:sz w:val="20"/>
                <w:szCs w:val="20"/>
                <w:color w:val="auto"/>
              </w:rPr>
            </w:pPr>
            <w:r>
              <w:rPr>
                <w:rFonts w:ascii="Arial" w:cs="Arial" w:eastAsia="Arial" w:hAnsi="Arial"/>
                <w:sz w:val="12"/>
                <w:szCs w:val="12"/>
                <w:color w:val="auto"/>
              </w:rPr>
              <w:t>outstanding at March 31, 2015 and March 31, 2014, respectively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500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Common stock, $0.001 par value; 10,000,000 shares authorized at March 31, 2015 and March 31, 2014,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respectively; 1,677,110 shares and 1,310,093 shares issued at March 31, 2015 and March 31,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2014, respectively</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1,300</w:t>
            </w: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Additional paid-in capital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67,945,800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62,001,400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Treasury stock, at cost, 135,665 shares of common stock held at March 31, 2015 and March 31, 2014,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respectively</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(3,968,100)</w:t>
            </w: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Note receivable from sale of common 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(198,100)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deficit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(84,522,700)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(70,636,900)</w:t>
            </w:r>
          </w:p>
        </w:tc>
      </w:tr>
      <w:tr>
        <w:trPr>
          <w:trHeight w:val="20"/>
        </w:trPr>
        <w:tc>
          <w:tcPr>
            <w:tcW w:w="760" w:type="dxa"/>
            <w:vAlign w:val="bottom"/>
            <w:shd w:val="clear" w:color="auto" w:fill="CCEEFF"/>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20" w:type="dxa"/>
            <w:vAlign w:val="bottom"/>
            <w:gridSpan w:val="2"/>
          </w:tcPr>
          <w:p>
            <w:pPr>
              <w:ind w:left="460"/>
              <w:spacing w:after="0"/>
              <w:rPr>
                <w:sz w:val="20"/>
                <w:szCs w:val="20"/>
                <w:color w:val="auto"/>
              </w:rPr>
            </w:pPr>
            <w:r>
              <w:rPr>
                <w:rFonts w:ascii="Arial" w:cs="Arial" w:eastAsia="Arial" w:hAnsi="Arial"/>
                <w:sz w:val="12"/>
                <w:szCs w:val="12"/>
                <w:color w:val="auto"/>
              </w:rPr>
              <w:t>Total stockholders’ deficit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(20,542,800)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(12,799,900)</w:t>
            </w: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8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liabilities and stockholders’ deficit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269,700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263,700</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26"/>
        </w:trPr>
        <w:tc>
          <w:tcPr>
            <w:tcW w:w="2780" w:type="dxa"/>
            <w:vAlign w:val="bottom"/>
            <w:gridSpan w:val="3"/>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6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6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CONSOLIDATED STATEMENTS OF OPERATIONS AND COMPREHENSIVE LOSS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780" w:type="dxa"/>
            <w:vAlign w:val="bottom"/>
            <w:gridSpan w:val="3"/>
          </w:tcPr>
          <w:p>
            <w:pPr>
              <w:spacing w:after="0"/>
              <w:rPr>
                <w:sz w:val="20"/>
                <w:szCs w:val="20"/>
                <w:color w:val="auto"/>
              </w:rPr>
            </w:pPr>
            <w:r>
              <w:rPr>
                <w:rFonts w:ascii="Arial" w:cs="Arial" w:eastAsia="Arial" w:hAnsi="Arial"/>
                <w:sz w:val="12"/>
                <w:szCs w:val="12"/>
                <w:color w:val="auto"/>
              </w:rPr>
              <w:t>Operating expenses:</w:t>
            </w: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6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2,432,700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2,480,600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6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4,344,400</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2,548,300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60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6,777,100</w:t>
            </w: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5,028,900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(6,777,100)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(5,028,900)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tcPr>
          <w:p>
            <w:pPr>
              <w:ind w:left="220"/>
              <w:spacing w:after="0"/>
              <w:rPr>
                <w:sz w:val="20"/>
                <w:szCs w:val="20"/>
                <w:color w:val="auto"/>
              </w:rPr>
            </w:pPr>
            <w:r>
              <w:rPr>
                <w:rFonts w:ascii="Arial" w:cs="Arial" w:eastAsia="Arial" w:hAnsi="Arial"/>
                <w:sz w:val="12"/>
                <w:szCs w:val="12"/>
                <w:color w:val="auto"/>
              </w:rPr>
              <w:t>Interest expense, net</w:t>
            </w:r>
          </w:p>
        </w:tc>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(4,548,700)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(1,503,000)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Change in warrant liability</w:t>
            </w:r>
          </w:p>
        </w:tc>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3,566,900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tcPr>
          <w:p>
            <w:pPr>
              <w:ind w:left="240"/>
              <w:spacing w:after="0"/>
              <w:rPr>
                <w:sz w:val="20"/>
                <w:szCs w:val="20"/>
                <w:color w:val="auto"/>
              </w:rPr>
            </w:pPr>
            <w:r>
              <w:rPr>
                <w:rFonts w:ascii="Arial" w:cs="Arial" w:eastAsia="Arial" w:hAnsi="Arial"/>
                <w:sz w:val="12"/>
                <w:szCs w:val="12"/>
                <w:color w:val="auto"/>
              </w:rPr>
              <w:t>Loss on extinguishment of debt</w:t>
            </w:r>
          </w:p>
        </w:tc>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(2,388,000)</w:t>
            </w: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Other expense</w:t>
            </w:r>
          </w:p>
        </w:tc>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(135,000)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60" w:type="dxa"/>
            <w:vAlign w:val="bottom"/>
            <w:gridSpan w:val="2"/>
          </w:tcPr>
          <w:p>
            <w:pPr>
              <w:spacing w:after="0"/>
              <w:rPr>
                <w:sz w:val="20"/>
                <w:szCs w:val="20"/>
                <w:color w:val="auto"/>
              </w:rPr>
            </w:pPr>
            <w:r>
              <w:rPr>
                <w:rFonts w:ascii="Arial" w:cs="Arial" w:eastAsia="Arial" w:hAnsi="Arial"/>
                <w:sz w:val="12"/>
                <w:szCs w:val="12"/>
                <w:color w:val="auto"/>
              </w:rPr>
              <w:t>Loss before income taxes</w:t>
            </w:r>
          </w:p>
        </w:tc>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(13,883,400)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(2,965,000)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(2,400)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020" w:type="dxa"/>
            <w:vAlign w:val="bottom"/>
            <w:tcBorders>
              <w:top w:val="single" w:sz="8" w:color="CCEEFF"/>
            </w:tcBorders>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 and comprehensive loss</w:t>
            </w:r>
          </w:p>
        </w:tc>
        <w:tc>
          <w:tcPr>
            <w:tcW w:w="6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(13,885,800)</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spacing w:after="0"/>
              <w:rPr>
                <w:sz w:val="10"/>
                <w:szCs w:val="10"/>
                <w:color w:val="auto"/>
              </w:rPr>
            </w:pPr>
          </w:p>
        </w:tc>
        <w:tc>
          <w:tcPr>
            <w:tcW w:w="60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loss per common share</w:t>
            </w:r>
          </w:p>
        </w:tc>
        <w:tc>
          <w:tcPr>
            <w:tcW w:w="6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(10.53)</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spacing w:after="0"/>
              <w:rPr>
                <w:sz w:val="10"/>
                <w:szCs w:val="10"/>
                <w:color w:val="auto"/>
              </w:rPr>
            </w:pPr>
          </w:p>
        </w:tc>
        <w:tc>
          <w:tcPr>
            <w:tcW w:w="60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net loss per common share</w:t>
            </w:r>
          </w:p>
        </w:tc>
        <w:tc>
          <w:tcPr>
            <w:tcW w:w="6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(10.61)</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spacing w:after="0"/>
              <w:rPr>
                <w:sz w:val="10"/>
                <w:szCs w:val="10"/>
                <w:color w:val="auto"/>
              </w:rPr>
            </w:pPr>
          </w:p>
        </w:tc>
        <w:tc>
          <w:tcPr>
            <w:tcW w:w="6060" w:type="dxa"/>
            <w:vAlign w:val="bottom"/>
            <w:tcBorders>
              <w:top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tcPr>
          <w:p>
            <w:pPr>
              <w:ind w:left="180"/>
              <w:spacing w:after="0"/>
              <w:rPr>
                <w:sz w:val="20"/>
                <w:szCs w:val="20"/>
                <w:color w:val="auto"/>
              </w:rPr>
            </w:pPr>
            <w:r>
              <w:rPr>
                <w:rFonts w:ascii="Arial" w:cs="Arial" w:eastAsia="Arial" w:hAnsi="Arial"/>
                <w:sz w:val="12"/>
                <w:szCs w:val="12"/>
                <w:color w:val="auto"/>
              </w:rPr>
              <w:t>Basic net loss per common share</w:t>
            </w:r>
          </w:p>
        </w:tc>
        <w:tc>
          <w:tcPr>
            <w:tcW w:w="6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1,318,797</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1,098,742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tcPr>
          <w:p>
            <w:pPr>
              <w:ind w:left="180"/>
              <w:spacing w:after="0"/>
              <w:rPr>
                <w:sz w:val="20"/>
                <w:szCs w:val="20"/>
                <w:color w:val="auto"/>
              </w:rPr>
            </w:pPr>
            <w:r>
              <w:rPr>
                <w:rFonts w:ascii="Arial" w:cs="Arial" w:eastAsia="Arial" w:hAnsi="Arial"/>
                <w:sz w:val="12"/>
                <w:szCs w:val="12"/>
                <w:color w:val="auto"/>
              </w:rPr>
              <w:t>Diluted net loss per common share</w:t>
            </w:r>
          </w:p>
        </w:tc>
        <w:tc>
          <w:tcPr>
            <w:tcW w:w="6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1,318,797</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1,099,216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32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32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20" w:type="dxa"/>
            <w:vAlign w:val="bottom"/>
            <w:tcBorders>
              <w:bottom w:val="single" w:sz="8" w:color="808080"/>
            </w:tcBorders>
          </w:tcPr>
          <w:p>
            <w:pPr>
              <w:spacing w:after="0"/>
              <w:rPr>
                <w:sz w:val="6"/>
                <w:szCs w:val="6"/>
                <w:color w:val="auto"/>
              </w:rPr>
            </w:pPr>
          </w:p>
        </w:tc>
        <w:tc>
          <w:tcPr>
            <w:tcW w:w="60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26"/>
        </w:trPr>
        <w:tc>
          <w:tcPr>
            <w:tcW w:w="4120" w:type="dxa"/>
            <w:vAlign w:val="bottom"/>
            <w:gridSpan w:val="2"/>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4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76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4980" w:type="dxa"/>
            <w:vAlign w:val="bottom"/>
            <w:gridSpan w:val="2"/>
          </w:tcPr>
          <w:p>
            <w:pPr>
              <w:jc w:val="center"/>
              <w:ind w:right="1710"/>
              <w:spacing w:after="0"/>
              <w:rPr>
                <w:sz w:val="20"/>
                <w:szCs w:val="20"/>
                <w:color w:val="auto"/>
              </w:rPr>
            </w:pPr>
            <w:r>
              <w:rPr>
                <w:rFonts w:ascii="Arial" w:cs="Arial" w:eastAsia="Arial" w:hAnsi="Arial"/>
                <w:sz w:val="12"/>
                <w:szCs w:val="12"/>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3"/>
        </w:trPr>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80" w:type="dxa"/>
            <w:vAlign w:val="bottom"/>
            <w:gridSpan w:val="2"/>
          </w:tcPr>
          <w:p>
            <w:pPr>
              <w:jc w:val="center"/>
              <w:ind w:right="1710"/>
              <w:spacing w:after="0"/>
              <w:rPr>
                <w:sz w:val="20"/>
                <w:szCs w:val="20"/>
                <w:color w:val="auto"/>
              </w:rPr>
            </w:pPr>
            <w:r>
              <w:rPr>
                <w:rFonts w:ascii="Arial" w:cs="Arial" w:eastAsia="Arial" w:hAnsi="Arial"/>
                <w:sz w:val="12"/>
                <w:szCs w:val="12"/>
                <w:b w:val="1"/>
                <w:bCs w:val="1"/>
                <w:color w:val="auto"/>
                <w:w w:val="99"/>
              </w:rPr>
              <w:t>CONSOLIDATED STATEMENTS OF CASH FLOWS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980" w:type="dxa"/>
            <w:vAlign w:val="bottom"/>
            <w:gridSpan w:val="2"/>
          </w:tcPr>
          <w:p>
            <w:pPr>
              <w:jc w:val="center"/>
              <w:ind w:right="1710"/>
              <w:spacing w:after="0"/>
              <w:rPr>
                <w:sz w:val="20"/>
                <w:szCs w:val="20"/>
                <w:color w:val="auto"/>
              </w:rPr>
            </w:pPr>
            <w:r>
              <w:rPr>
                <w:rFonts w:ascii="Arial" w:cs="Arial" w:eastAsia="Arial" w:hAnsi="Arial"/>
                <w:sz w:val="12"/>
                <w:szCs w:val="12"/>
                <w:b w:val="1"/>
                <w:bCs w:val="1"/>
                <w:color w:val="auto"/>
                <w:w w:val="90"/>
              </w:rPr>
              <w:t>(Amounts in dollars)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r>
      <w:tr>
        <w:trPr>
          <w:trHeight w:val="142"/>
        </w:trPr>
        <w:tc>
          <w:tcPr>
            <w:tcW w:w="7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r>
      <w:tr>
        <w:trPr>
          <w:trHeight w:val="142"/>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Cash flows from operating activities: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Net loss</w:t>
            </w:r>
          </w:p>
        </w:tc>
        <w:tc>
          <w:tcPr>
            <w:tcW w:w="49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(13,885,800)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(2,967,700)</w:t>
            </w: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w w:val="99"/>
              </w:rPr>
              <w:t>Adjustments to reconcile net loss to net cash used in operating activities: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59,100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54,600</w:t>
            </w: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Amortization of discounts on convertible and promissory notes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3,372,000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640,000</w:t>
            </w: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Change in warrant liability</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34,600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(3,566,900)</w:t>
            </w: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Stock-based compensation</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2,460,100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1,137,300</w:t>
            </w: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Expense related to modification of warrants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98,400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204,300</w:t>
            </w: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Non-cash rent and relocation expense</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(14,400)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56,800</w:t>
            </w: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Interest income on note receivable for stock purchase</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(1,200)</w:t>
            </w: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Loss on settlement of note receivable for stock purchase</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134,900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Fair value of common stock granted for services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Fair value of warrants granted for services and interest</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44,500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60,700</w:t>
            </w: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Gain on currency fluctuation</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(63,600)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(48,600)</w:t>
            </w: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Loss on extinguishment of debt</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2,388,000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Changes in operating assets and liabilities: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540"/>
              <w:spacing w:after="0"/>
              <w:rPr>
                <w:sz w:val="20"/>
                <w:szCs w:val="20"/>
                <w:color w:val="auto"/>
              </w:rPr>
            </w:pPr>
            <w:r>
              <w:rPr>
                <w:rFonts w:ascii="Arial" w:cs="Arial" w:eastAsia="Arial" w:hAnsi="Arial"/>
                <w:sz w:val="12"/>
                <w:szCs w:val="12"/>
                <w:color w:val="auto"/>
              </w:rPr>
              <w:t>Prepaid expenses and other current assets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107,400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92,700</w:t>
            </w:r>
          </w:p>
        </w:tc>
      </w:tr>
      <w:tr>
        <w:trPr>
          <w:trHeight w:val="144"/>
        </w:trPr>
        <w:tc>
          <w:tcPr>
            <w:tcW w:w="41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Security deposits and other assets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(17,900)</w:t>
            </w:r>
          </w:p>
        </w:tc>
      </w:tr>
      <w:tr>
        <w:trPr>
          <w:trHeight w:val="144"/>
        </w:trPr>
        <w:tc>
          <w:tcPr>
            <w:tcW w:w="4120" w:type="dxa"/>
            <w:vAlign w:val="bottom"/>
            <w:gridSpan w:val="2"/>
          </w:tcPr>
          <w:p>
            <w:pPr>
              <w:ind w:left="540"/>
              <w:spacing w:after="0"/>
              <w:rPr>
                <w:sz w:val="20"/>
                <w:szCs w:val="20"/>
                <w:color w:val="auto"/>
              </w:rPr>
            </w:pPr>
            <w:r>
              <w:rPr>
                <w:rFonts w:ascii="Arial" w:cs="Arial" w:eastAsia="Arial" w:hAnsi="Arial"/>
                <w:sz w:val="12"/>
                <w:szCs w:val="12"/>
                <w:color w:val="auto"/>
                <w:w w:val="98"/>
              </w:rPr>
              <w:t>Accounts payable and accrued expenses, including accrued interest</w:t>
            </w:r>
          </w:p>
        </w:tc>
        <w:tc>
          <w:tcPr>
            <w:tcW w:w="4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2,024,100</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2,229,900</w:t>
            </w:r>
          </w:p>
        </w:tc>
        <w:tc>
          <w:tcPr>
            <w:tcW w:w="120" w:type="dxa"/>
            <w:vAlign w:val="bottom"/>
          </w:tcPr>
          <w:p>
            <w:pPr>
              <w:spacing w:after="0"/>
              <w:rPr>
                <w:sz w:val="12"/>
                <w:szCs w:val="12"/>
                <w:color w:val="auto"/>
              </w:rPr>
            </w:pPr>
          </w:p>
        </w:tc>
      </w:tr>
      <w:tr>
        <w:trPr>
          <w:trHeight w:val="142"/>
        </w:trPr>
        <w:tc>
          <w:tcPr>
            <w:tcW w:w="41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Net cash used in operating activities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(2,768,900)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(2,126,000)</w:t>
            </w:r>
          </w:p>
        </w:tc>
      </w:tr>
      <w:tr>
        <w:trPr>
          <w:trHeight w:val="142"/>
        </w:trPr>
        <w:tc>
          <w:tcPr>
            <w:tcW w:w="760" w:type="dxa"/>
            <w:vAlign w:val="bottom"/>
            <w:tcBorders>
              <w:top w:val="single" w:sz="8" w:color="CCEEFF"/>
            </w:tcBorders>
          </w:tcPr>
          <w:p>
            <w:pPr>
              <w:spacing w:after="0"/>
              <w:rPr>
                <w:sz w:val="12"/>
                <w:szCs w:val="12"/>
                <w:color w:val="auto"/>
              </w:rPr>
            </w:pPr>
          </w:p>
        </w:tc>
        <w:tc>
          <w:tcPr>
            <w:tcW w:w="3360" w:type="dxa"/>
            <w:vAlign w:val="bottom"/>
            <w:tcBorders>
              <w:top w:val="single" w:sz="8" w:color="CCEEFF"/>
            </w:tcBorders>
          </w:tcPr>
          <w:p>
            <w:pPr>
              <w:spacing w:after="0"/>
              <w:rPr>
                <w:sz w:val="12"/>
                <w:szCs w:val="12"/>
                <w:color w:val="auto"/>
              </w:rPr>
            </w:pPr>
          </w:p>
        </w:tc>
        <w:tc>
          <w:tcPr>
            <w:tcW w:w="47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rPr>
              <w:t>Purchases of equipment, net</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(9,600)</w:t>
            </w:r>
          </w:p>
        </w:tc>
      </w:tr>
      <w:tr>
        <w:trPr>
          <w:trHeight w:val="20"/>
        </w:trPr>
        <w:tc>
          <w:tcPr>
            <w:tcW w:w="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41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Net cash used in investing activities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(9,600)</w:t>
            </w:r>
          </w:p>
        </w:tc>
      </w:tr>
      <w:tr>
        <w:trPr>
          <w:trHeight w:val="142"/>
        </w:trPr>
        <w:tc>
          <w:tcPr>
            <w:tcW w:w="760" w:type="dxa"/>
            <w:vAlign w:val="bottom"/>
            <w:tcBorders>
              <w:top w:val="single" w:sz="8" w:color="CCEEFF"/>
            </w:tcBorders>
          </w:tcPr>
          <w:p>
            <w:pPr>
              <w:spacing w:after="0"/>
              <w:rPr>
                <w:sz w:val="12"/>
                <w:szCs w:val="12"/>
                <w:color w:val="auto"/>
              </w:rPr>
            </w:pPr>
          </w:p>
        </w:tc>
        <w:tc>
          <w:tcPr>
            <w:tcW w:w="3360" w:type="dxa"/>
            <w:vAlign w:val="bottom"/>
            <w:tcBorders>
              <w:top w:val="single" w:sz="8" w:color="CCEEFF"/>
            </w:tcBorders>
          </w:tcPr>
          <w:p>
            <w:pPr>
              <w:spacing w:after="0"/>
              <w:rPr>
                <w:sz w:val="12"/>
                <w:szCs w:val="12"/>
                <w:color w:val="auto"/>
              </w:rPr>
            </w:pPr>
          </w:p>
        </w:tc>
        <w:tc>
          <w:tcPr>
            <w:tcW w:w="47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w w:val="95"/>
              </w:rPr>
              <w:t>Net proceeds from issuance of common stock and warrants, including Units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3,146,600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1,075,500</w:t>
            </w: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Proceeds from exercise of modified warrants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264,200</w:t>
            </w: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rPr>
              <w:t>Proceeds from sale of note and warrant to Platinum</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250,000</w:t>
            </w:r>
          </w:p>
        </w:tc>
      </w:tr>
      <w:tr>
        <w:trPr>
          <w:trHeight w:val="144"/>
        </w:trPr>
        <w:tc>
          <w:tcPr>
            <w:tcW w:w="4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Advance from officer</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64,000</w:t>
            </w: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rPr>
              <w:t>Repayment of capital lease obligations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(7,600)</w:t>
            </w:r>
          </w:p>
        </w:tc>
      </w:tr>
      <w:tr>
        <w:trPr>
          <w:trHeight w:val="144"/>
        </w:trPr>
        <w:tc>
          <w:tcPr>
            <w:tcW w:w="4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Repayment of notes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(303,800)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(148,600)</w:t>
            </w:r>
          </w:p>
        </w:tc>
      </w:tr>
      <w:tr>
        <w:trPr>
          <w:trHeight w:val="142"/>
        </w:trPr>
        <w:tc>
          <w:tcPr>
            <w:tcW w:w="4120" w:type="dxa"/>
            <w:vAlign w:val="bottom"/>
            <w:tcBorders>
              <w:top w:val="single" w:sz="8" w:color="CCEEFF"/>
            </w:tcBorders>
            <w:gridSpan w:val="2"/>
          </w:tcPr>
          <w:p>
            <w:pPr>
              <w:ind w:left="460"/>
              <w:spacing w:after="0"/>
              <w:rPr>
                <w:sz w:val="20"/>
                <w:szCs w:val="20"/>
                <w:color w:val="auto"/>
              </w:rPr>
            </w:pPr>
            <w:r>
              <w:rPr>
                <w:rFonts w:ascii="Arial" w:cs="Arial" w:eastAsia="Arial" w:hAnsi="Arial"/>
                <w:sz w:val="12"/>
                <w:szCs w:val="12"/>
                <w:color w:val="auto"/>
              </w:rPr>
              <w:t>Net cash provided by financing activities</w:t>
            </w:r>
          </w:p>
        </w:tc>
        <w:tc>
          <w:tcPr>
            <w:tcW w:w="472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2,838,900</w:t>
            </w: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1,497,500</w:t>
            </w:r>
          </w:p>
        </w:tc>
        <w:tc>
          <w:tcPr>
            <w:tcW w:w="120" w:type="dxa"/>
            <w:vAlign w:val="bottom"/>
            <w:tcBorders>
              <w:top w:val="single" w:sz="8" w:color="CCEEFF"/>
            </w:tcBorders>
          </w:tcPr>
          <w:p>
            <w:pPr>
              <w:spacing w:after="0"/>
              <w:rPr>
                <w:sz w:val="12"/>
                <w:szCs w:val="12"/>
                <w:color w:val="auto"/>
              </w:rPr>
            </w:pPr>
          </w:p>
        </w:tc>
      </w:tr>
      <w:tr>
        <w:trPr>
          <w:trHeight w:val="142"/>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increase (decrease) in cash and cash equivalents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70,000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(638,100)</w:t>
            </w:r>
          </w:p>
        </w:tc>
      </w:tr>
      <w:tr>
        <w:trPr>
          <w:trHeight w:val="144"/>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638,100</w:t>
            </w:r>
          </w:p>
        </w:tc>
      </w:tr>
      <w:tr>
        <w:trPr>
          <w:trHeight w:val="182"/>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47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70,000</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7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7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Supplemental disclosure of cash flow activities: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Cash paid for interest</w:t>
            </w:r>
          </w:p>
        </w:tc>
        <w:tc>
          <w:tcPr>
            <w:tcW w:w="49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35,700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21,000</w:t>
            </w: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rPr>
              <w:t>Cash paid for income taxes</w:t>
            </w:r>
          </w:p>
        </w:tc>
        <w:tc>
          <w:tcPr>
            <w:tcW w:w="49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2,400</w:t>
            </w:r>
          </w:p>
        </w:tc>
        <w:tc>
          <w:tcPr>
            <w:tcW w:w="2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2,700</w:t>
            </w:r>
          </w:p>
        </w:tc>
      </w:tr>
      <w:tr>
        <w:trPr>
          <w:trHeight w:val="144"/>
        </w:trPr>
        <w:tc>
          <w:tcPr>
            <w:tcW w:w="7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Supplemental disclosure of noncash activities: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240"/>
              <w:spacing w:after="0"/>
              <w:rPr>
                <w:sz w:val="20"/>
                <w:szCs w:val="20"/>
                <w:color w:val="auto"/>
              </w:rPr>
            </w:pPr>
            <w:r>
              <w:rPr>
                <w:rFonts w:ascii="Arial" w:cs="Arial" w:eastAsia="Arial" w:hAnsi="Arial"/>
                <w:sz w:val="12"/>
                <w:szCs w:val="12"/>
                <w:color w:val="auto"/>
              </w:rPr>
              <w:t>Insurance premiums settled by issuing note payable</w:t>
            </w:r>
          </w:p>
        </w:tc>
        <w:tc>
          <w:tcPr>
            <w:tcW w:w="49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105,300</w:t>
            </w:r>
          </w:p>
        </w:tc>
        <w:tc>
          <w:tcPr>
            <w:tcW w:w="2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98,300</w:t>
            </w:r>
          </w:p>
        </w:tc>
      </w:tr>
      <w:tr>
        <w:trPr>
          <w:trHeight w:val="144"/>
        </w:trPr>
        <w:tc>
          <w:tcPr>
            <w:tcW w:w="41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98"/>
              </w:rPr>
              <w:t>Accounts payable settled by issuance of stock or notes payable and stock</w:t>
            </w:r>
          </w:p>
        </w:tc>
        <w:tc>
          <w:tcPr>
            <w:tcW w:w="49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438,400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240"/>
              <w:spacing w:after="0"/>
              <w:rPr>
                <w:sz w:val="20"/>
                <w:szCs w:val="20"/>
                <w:color w:val="auto"/>
              </w:rPr>
            </w:pPr>
            <w:r>
              <w:rPr>
                <w:rFonts w:ascii="Arial" w:cs="Arial" w:eastAsia="Arial" w:hAnsi="Arial"/>
                <w:sz w:val="12"/>
                <w:szCs w:val="12"/>
                <w:color w:val="auto"/>
              </w:rPr>
              <w:t>Recognition of warrant liability upon issuance to Platinum of July 2013</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Senior Secured Convertible Note</w:t>
            </w:r>
          </w:p>
        </w:tc>
        <w:tc>
          <w:tcPr>
            <w:tcW w:w="49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146,800</w:t>
            </w: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26"/>
        </w:trPr>
        <w:tc>
          <w:tcPr>
            <w:tcW w:w="1260" w:type="dxa"/>
            <w:vAlign w:val="bottom"/>
            <w:gridSpan w:val="3"/>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2"/>
                <w:szCs w:val="12"/>
                <w:b w:val="1"/>
                <w:bCs w:val="1"/>
                <w:color w:val="auto"/>
              </w:rPr>
              <w:t>VISTAGEN THERAPEUTICS, INC.</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13"/>
          </w:tcPr>
          <w:p>
            <w:pPr>
              <w:jc w:val="center"/>
              <w:ind w:right="220"/>
              <w:spacing w:after="0"/>
              <w:rPr>
                <w:sz w:val="20"/>
                <w:szCs w:val="20"/>
                <w:color w:val="auto"/>
              </w:rPr>
            </w:pPr>
            <w:r>
              <w:rPr>
                <w:rFonts w:ascii="Arial" w:cs="Arial" w:eastAsia="Arial" w:hAnsi="Arial"/>
                <w:sz w:val="12"/>
                <w:szCs w:val="12"/>
                <w:b w:val="1"/>
                <w:bCs w:val="1"/>
                <w:color w:val="auto"/>
              </w:rPr>
              <w:t>CONSOLIDATED STATEMENTS OF STOCKHOLDERS’ DEFICIT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20" w:type="dxa"/>
            <w:vAlign w:val="bottom"/>
            <w:gridSpan w:val="8"/>
          </w:tcPr>
          <w:p>
            <w:pPr>
              <w:jc w:val="center"/>
              <w:ind w:right="160"/>
              <w:spacing w:after="0"/>
              <w:rPr>
                <w:sz w:val="20"/>
                <w:szCs w:val="20"/>
                <w:color w:val="auto"/>
              </w:rPr>
            </w:pPr>
            <w:r>
              <w:rPr>
                <w:rFonts w:ascii="Arial" w:cs="Arial" w:eastAsia="Arial" w:hAnsi="Arial"/>
                <w:sz w:val="12"/>
                <w:szCs w:val="12"/>
                <w:b w:val="1"/>
                <w:bCs w:val="1"/>
                <w:color w:val="auto"/>
                <w:w w:val="89"/>
              </w:rPr>
              <w:t>Fiscal Years Ended march 31, 2015 and 2014</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20" w:type="dxa"/>
            <w:vAlign w:val="bottom"/>
            <w:gridSpan w:val="8"/>
          </w:tcPr>
          <w:p>
            <w:pPr>
              <w:jc w:val="center"/>
              <w:ind w:right="18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9"/>
              </w:rPr>
              <w:t>Note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Receivable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2"/>
                <w:szCs w:val="12"/>
                <w:b w:val="1"/>
                <w:bCs w:val="1"/>
                <w:color w:val="auto"/>
              </w:rPr>
              <w:t>Series A Preferred Stock</w:t>
            </w:r>
          </w:p>
        </w:tc>
        <w:tc>
          <w:tcPr>
            <w:tcW w:w="220" w:type="dxa"/>
            <w:vAlign w:val="bottom"/>
            <w:tcBorders>
              <w:bottom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bottom w:val="single" w:sz="8" w:color="auto"/>
            </w:tcBorders>
            <w:gridSpan w:val="4"/>
          </w:tcPr>
          <w:p>
            <w:pPr>
              <w:ind w:left="660"/>
              <w:spacing w:after="0"/>
              <w:rPr>
                <w:sz w:val="20"/>
                <w:szCs w:val="20"/>
                <w:color w:val="auto"/>
              </w:rPr>
            </w:pPr>
            <w:r>
              <w:rPr>
                <w:rFonts w:ascii="Arial" w:cs="Arial" w:eastAsia="Arial" w:hAnsi="Arial"/>
                <w:sz w:val="12"/>
                <w:szCs w:val="12"/>
                <w:b w:val="1"/>
                <w:bCs w:val="1"/>
                <w:color w:val="auto"/>
              </w:rPr>
              <w:t>Common Stock</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from Sale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b w:val="1"/>
                <w:bCs w:val="1"/>
                <w:color w:val="auto"/>
                <w:w w:val="97"/>
              </w:rPr>
              <w:t>Balances at March 31,</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2013</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9"/>
              </w:rPr>
              <w:t>500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1,174,092</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1,200</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59,288,300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(209,100)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(67,669,200)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(12,556,400)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8"/>
              </w:rPr>
              <w:t>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1,137,300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1,137,300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Proceeds from sale of</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w w:val="97"/>
              </w:rPr>
              <w:t>common stock for cash,</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including exercises of</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warrants under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Discount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Exercise Program</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32,751</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335,900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335,900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Beneficial conversion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feature on note issued</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 Platinum in July</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100,700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Payment on note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receivable from sale of</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stock</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Allocated proceeds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from sale of Units for</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under 2013</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Unit Private Placement,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beneficial</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100,750</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838,100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Allocated proceeds</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from sale of Units for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cash under 2014</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w w:val="98"/>
              </w:rPr>
              <w:t>Unit Private Placement,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including beneficial</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conversion feature</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2,500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36,000</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36,000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Incremental fair value</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of warrant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modifications</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204,300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Fair value of warrants</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issued to Morrison &amp;</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Foerster, Cato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Research Ltd. and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University Health</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Network in connection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w w:val="97"/>
              </w:rPr>
              <w:t>with accrued interest 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underlying notes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60,800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60,800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Net loss for fiscal year</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2014</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(2,967,700)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b w:val="1"/>
                <w:bCs w:val="1"/>
                <w:color w:val="auto"/>
                <w:w w:val="97"/>
              </w:rPr>
              <w:t>Balances at March 31,</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2014</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9"/>
              </w:rPr>
              <w:t>500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1,310,093</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1,300</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62,001,400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(198,100)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(70,636,900)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(12,799,900)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Allocated proceeds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from sale of Units for</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under 2014</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Unit Private Placement,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beneficial</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280,350</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2,746,800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2,747,100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Share-based</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compensation expense</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2,460,100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2,460,100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Payment on and</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settlement of note</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receivable from sale of</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198,100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198,100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Incremental fair value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of modified warrants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98,400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98,400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Fair Value of common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 issued for</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71,667</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635,600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635,700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Fair value of common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stock and warrants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issued in settlement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of technology license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expenses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15,000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230,200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230,200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issued to Morrison &amp;</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Foerster, Cato</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Ltd. and</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University Health</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Network in connection</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6"/>
              </w:rPr>
              <w:t>with accrued interest on</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underlying notes</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44,400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Effect of amendments</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of 2013 Unit Notes and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warrants,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w w:val="99"/>
              </w:rPr>
              <w:t>including repurchase of</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beneficial conversion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feature</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109,300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109,300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Effect of amendments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of Platinum Senior</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Secured Promissory</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including</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repurchase of beneficial</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(380,400)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(380,400)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Net loss for fiscal year</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0" w:type="dxa"/>
            <w:vAlign w:val="bottom"/>
            <w:gridSpan w:val="2"/>
          </w:tcPr>
          <w:p>
            <w:pPr>
              <w:spacing w:after="0"/>
              <w:rPr>
                <w:sz w:val="20"/>
                <w:szCs w:val="20"/>
                <w:color w:val="auto"/>
              </w:rPr>
            </w:pPr>
            <w:r>
              <w:rPr>
                <w:rFonts w:ascii="Arial" w:cs="Arial" w:eastAsia="Arial" w:hAnsi="Arial"/>
                <w:sz w:val="12"/>
                <w:szCs w:val="12"/>
                <w:color w:val="auto"/>
              </w:rPr>
              <w:t>2015</w:t>
            </w: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(13,885,800)</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(13,885,800)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7"/>
              </w:rPr>
              <w:t>Balances at March 31,</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2015</w:t>
            </w: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500,000</w:t>
            </w:r>
          </w:p>
        </w:tc>
        <w:tc>
          <w:tcPr>
            <w:tcW w:w="240" w:type="dxa"/>
            <w:vAlign w:val="bottom"/>
          </w:tcPr>
          <w:p>
            <w:pPr>
              <w:spacing w:after="0"/>
              <w:rPr>
                <w:sz w:val="13"/>
                <w:szCs w:val="13"/>
                <w:color w:val="auto"/>
              </w:rPr>
            </w:pPr>
          </w:p>
        </w:tc>
        <w:tc>
          <w:tcPr>
            <w:tcW w:w="720" w:type="dxa"/>
            <w:vAlign w:val="bottom"/>
          </w:tcPr>
          <w:p>
            <w:pPr>
              <w:jc w:val="right"/>
              <w:ind w:right="607"/>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w w:val="99"/>
              </w:rPr>
              <w:t>500</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1,677,110</w:t>
            </w:r>
          </w:p>
        </w:tc>
        <w:tc>
          <w:tcPr>
            <w:tcW w:w="720" w:type="dxa"/>
            <w:vAlign w:val="bottom"/>
            <w:gridSpan w:val="2"/>
          </w:tcPr>
          <w:p>
            <w:pPr>
              <w:ind w:left="18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1,700</w:t>
            </w:r>
          </w:p>
        </w:tc>
        <w:tc>
          <w:tcPr>
            <w:tcW w:w="1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67,945,800</w:t>
            </w:r>
          </w:p>
        </w:tc>
        <w:tc>
          <w:tcPr>
            <w:tcW w:w="140" w:type="dxa"/>
            <w:vAlign w:val="bottom"/>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(84,522,700)</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(20,542,800)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ectPr>
          <w:pgSz w:w="11900" w:h="16838" w:orient="portrait"/>
          <w:cols w:equalWidth="0" w:num="1">
            <w:col w:w="11480"/>
          </w:cols>
          <w:pgMar w:left="220" w:top="121" w:right="199" w:bottom="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9325"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0" w:gutter="0" w:footer="0" w:header="0"/>
          <w:type w:val="continuous"/>
        </w:sectPr>
      </w:pPr>
    </w:p>
    <w:bookmarkStart w:id="130" w:name="page131"/>
    <w:bookmarkEnd w:id="13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Description of Business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VistaGen Therapeutics, Inc., a Nevada corporation, is a clinical-stage biopharmaceutical company committed to developing and commercializing product candidates for patients with depression, other diseases and disorders related to the central nervous system (CNS), and cancer. Our principal executive offices are located at 343 Allerton Avenue, South San Francisco, California 94080, and our telephone number is (650) 577-3600. Our website address is </w:t>
      </w:r>
      <w:r>
        <w:rPr>
          <w:rFonts w:ascii="Arial" w:cs="Arial" w:eastAsia="Arial" w:hAnsi="Arial"/>
          <w:sz w:val="11"/>
          <w:szCs w:val="11"/>
          <w:i w:val="1"/>
          <w:iCs w:val="1"/>
          <w:color w:val="auto"/>
        </w:rPr>
        <w:t>www.vistagen.com</w:t>
      </w:r>
      <w:r>
        <w:rPr>
          <w:rFonts w:ascii="Arial" w:cs="Arial" w:eastAsia="Arial" w:hAnsi="Arial"/>
          <w:sz w:val="11"/>
          <w:szCs w:val="11"/>
          <w:color w:val="auto"/>
        </w:rPr>
        <w:t>. Unless the context otherwise requires, the words “</w:t>
      </w:r>
      <w:r>
        <w:rPr>
          <w:rFonts w:ascii="Arial" w:cs="Arial" w:eastAsia="Arial" w:hAnsi="Arial"/>
          <w:sz w:val="11"/>
          <w:szCs w:val="11"/>
          <w:i w:val="1"/>
          <w:iCs w:val="1"/>
          <w:color w:val="auto"/>
        </w:rPr>
        <w:t>VistaGen Therapeutics, Inc.</w:t>
      </w:r>
      <w:r>
        <w:rPr>
          <w:rFonts w:ascii="Arial" w:cs="Arial" w:eastAsia="Arial" w:hAnsi="Arial"/>
          <w:sz w:val="11"/>
          <w:szCs w:val="11"/>
          <w:color w:val="auto"/>
        </w:rPr>
        <w:t>” “</w:t>
      </w:r>
      <w:r>
        <w:rPr>
          <w:rFonts w:ascii="Arial" w:cs="Arial" w:eastAsia="Arial" w:hAnsi="Arial"/>
          <w:sz w:val="11"/>
          <w:szCs w:val="11"/>
          <w:i w:val="1"/>
          <w:iCs w:val="1"/>
          <w:color w:val="auto"/>
        </w:rPr>
        <w:t>VistaGen</w:t>
      </w:r>
      <w:r>
        <w:rPr>
          <w:rFonts w:ascii="Arial" w:cs="Arial" w:eastAsia="Arial" w:hAnsi="Arial"/>
          <w:sz w:val="11"/>
          <w:szCs w:val="11"/>
          <w:color w:val="auto"/>
        </w:rPr>
        <w:t>,” “</w:t>
      </w:r>
      <w:r>
        <w:rPr>
          <w:rFonts w:ascii="Arial" w:cs="Arial" w:eastAsia="Arial" w:hAnsi="Arial"/>
          <w:sz w:val="11"/>
          <w:szCs w:val="11"/>
          <w:i w:val="1"/>
          <w:iCs w:val="1"/>
          <w:color w:val="auto"/>
        </w:rPr>
        <w:t>we</w:t>
      </w:r>
      <w:r>
        <w:rPr>
          <w:rFonts w:ascii="Arial" w:cs="Arial" w:eastAsia="Arial" w:hAnsi="Arial"/>
          <w:sz w:val="11"/>
          <w:szCs w:val="11"/>
          <w:color w:val="auto"/>
        </w:rPr>
        <w:t>,” “</w:t>
      </w:r>
      <w:r>
        <w:rPr>
          <w:rFonts w:ascii="Arial" w:cs="Arial" w:eastAsia="Arial" w:hAnsi="Arial"/>
          <w:sz w:val="11"/>
          <w:szCs w:val="11"/>
          <w:i w:val="1"/>
          <w:iCs w:val="1"/>
          <w:color w:val="auto"/>
        </w:rPr>
        <w:t>the Company</w:t>
      </w:r>
      <w:r>
        <w:rPr>
          <w:rFonts w:ascii="Arial" w:cs="Arial" w:eastAsia="Arial" w:hAnsi="Arial"/>
          <w:sz w:val="11"/>
          <w:szCs w:val="11"/>
          <w:color w:val="auto"/>
        </w:rPr>
        <w:t>,” “</w:t>
      </w:r>
      <w:r>
        <w:rPr>
          <w:rFonts w:ascii="Arial" w:cs="Arial" w:eastAsia="Arial" w:hAnsi="Arial"/>
          <w:sz w:val="11"/>
          <w:szCs w:val="11"/>
          <w:i w:val="1"/>
          <w:iCs w:val="1"/>
          <w:color w:val="auto"/>
        </w:rPr>
        <w:t>us</w:t>
      </w:r>
      <w:r>
        <w:rPr>
          <w:rFonts w:ascii="Arial" w:cs="Arial" w:eastAsia="Arial" w:hAnsi="Arial"/>
          <w:sz w:val="11"/>
          <w:szCs w:val="11"/>
          <w:color w:val="auto"/>
        </w:rPr>
        <w:t>” and “</w:t>
      </w:r>
      <w:r>
        <w:rPr>
          <w:rFonts w:ascii="Arial" w:cs="Arial" w:eastAsia="Arial" w:hAnsi="Arial"/>
          <w:sz w:val="11"/>
          <w:szCs w:val="11"/>
          <w:i w:val="1"/>
          <w:iCs w:val="1"/>
          <w:color w:val="auto"/>
        </w:rPr>
        <w:t>our</w:t>
      </w:r>
      <w:r>
        <w:rPr>
          <w:rFonts w:ascii="Arial" w:cs="Arial" w:eastAsia="Arial" w:hAnsi="Arial"/>
          <w:sz w:val="11"/>
          <w:szCs w:val="11"/>
          <w:color w:val="auto"/>
        </w:rPr>
        <w:t>” refer to VistaGen Therapeutics, Inc., a Nevada corporation.</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VistaGen Therapeutics, Inc., a California corporation incorporated on May 26, 1998 (</w:t>
      </w:r>
      <w:r>
        <w:rPr>
          <w:rFonts w:ascii="Arial" w:cs="Arial" w:eastAsia="Arial" w:hAnsi="Arial"/>
          <w:sz w:val="11"/>
          <w:szCs w:val="11"/>
          <w:i w:val="1"/>
          <w:iCs w:val="1"/>
          <w:color w:val="auto"/>
        </w:rPr>
        <w:t>VistaGen California</w:t>
      </w:r>
      <w:r>
        <w:rPr>
          <w:rFonts w:ascii="Arial" w:cs="Arial" w:eastAsia="Arial" w:hAnsi="Arial"/>
          <w:sz w:val="11"/>
          <w:szCs w:val="11"/>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1"/>
          <w:szCs w:val="11"/>
          <w:i w:val="1"/>
          <w:iCs w:val="1"/>
          <w:color w:val="auto"/>
        </w:rPr>
        <w:t>Merger</w:t>
      </w:r>
      <w:r>
        <w:rPr>
          <w:rFonts w:ascii="Arial" w:cs="Arial" w:eastAsia="Arial" w:hAnsi="Arial"/>
          <w:sz w:val="11"/>
          <w:szCs w:val="11"/>
          <w:color w:val="auto"/>
        </w:rPr>
        <w:t>), and assumed all of VistaGen California’s pre-Merger obligations. The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Our lead product candidate, AV-101, is an orally available small molecule prodrug in Phase 2 development for Major Depressive Disorder (MDD). AV-101’s mechanism of action (MOA), as an N-methyl-D-aspartate receptor (NMDAR) antagonist binding selectively at the glycine-binding (GlyB) co-agonist site of the NMDAR, is fundamentally different from all currently-approved antidepressants. In three preclinical studies utilizing well-validated animal models of depression, AV-101 was shown to induce fast-acting, dose-dependent, persistent and statistically significant antidepressant-like responses, following a single treatment, which were equivalent to response seen with a single sub-anesthetic dose of ketamine. In the same studies, fluoxetine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Following our two successful randomized, double-blind, placebo-controlled Phase 1 safety studies funded by the U.S. National Institutes of Health (NIH), in February 2015, we entered a Cooperative Research and Development Agreement (CRADA) with the U.S. National Institute of Mental Health (NIMH), part of the NIH. Under this agreement, we will collaborate with the NIH on a Phase 2 clinical study of AV-101 in subjects with treatment resistant Major Depressive Disorder. Pursuant to the CRADA, this study will be conducted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addition to developing AV-101 for MDD and other CNS indications, we are using our stem cell technology platform for drug rescue –to identify and develop proprietary new chemical entities (NCEs) for our internal drug candidate pipeline by leveraging our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prior investment by pharmaceutical companies and others to discover, optimize and test for efficacy NCEs terminated before FDA approval due to unexpected toxicity and medicinal chemistry.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bioassay system uses our human pluripotent stem cell (hPSC)-derived cardiomyocytes, or heart cells.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3D™bioassay system uses our stem cell-derived hepatocytes, or liver cells. We believe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and</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offer a new paradigm for evaluating and predicting potential heart and liver toxicity of NCEs, including potential drug rescue NCEs, early in development, long before costly, high risk animal studies and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human clinical trials. We intend to develop each optimized drug rescue NCE internally to establish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preclinical proof-of-concept (POC), as to both efficacy and safety, using both established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models, as well as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when available,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Although we have previously generated approximately $16.4 million of revenue from grant awards and collaborations, we currently have no commercially available, revenue-generating products and, since inception, we have devoted substantially all of our time and efforts to development of AV-101 for CNS indications and our human pluripotent stem cell technology research and development programs, including, customized bioassay system development, creating, protecting and patenting intellectual property, recruiting personnel and raising working capital.</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1" w:name="page132"/>
    <w:bookmarkEnd w:id="13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Going Concern</w:t>
      </w:r>
    </w:p>
    <w:p>
      <w:pPr>
        <w:spacing w:after="0" w:line="17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 xml:space="preserve">Effective August 14, 2014, we consummated a 1-for-20 reverse split of our authorized, and issued and outstanding shares of common stock (the </w:t>
      </w:r>
      <w:r>
        <w:rPr>
          <w:rFonts w:ascii="Arial" w:cs="Arial" w:eastAsia="Arial" w:hAnsi="Arial"/>
          <w:sz w:val="11"/>
          <w:szCs w:val="11"/>
          <w:i w:val="1"/>
          <w:iCs w:val="1"/>
          <w:color w:val="auto"/>
        </w:rPr>
        <w:t>Stock Consolidation</w:t>
      </w:r>
      <w:r>
        <w:rPr>
          <w:rFonts w:ascii="Arial" w:cs="Arial" w:eastAsia="Arial" w:hAnsi="Arial"/>
          <w:sz w:val="11"/>
          <w:szCs w:val="11"/>
          <w:color w:val="auto"/>
        </w:rPr>
        <w:t xml:space="preserve">). Each reference to shares of common stock or the price per share of common stock in these financial statements is post-Stock Consolidation, and reflects the 1-for-20 adjustment as a result of the Stock Consolidation. See Note 8, </w:t>
      </w:r>
      <w:r>
        <w:rPr>
          <w:rFonts w:ascii="Arial" w:cs="Arial" w:eastAsia="Arial" w:hAnsi="Arial"/>
          <w:sz w:val="11"/>
          <w:szCs w:val="11"/>
          <w:i w:val="1"/>
          <w:iCs w:val="1"/>
          <w:color w:val="auto"/>
        </w:rPr>
        <w:t>Capital Stock</w:t>
      </w:r>
      <w:r>
        <w:rPr>
          <w:rFonts w:ascii="Arial" w:cs="Arial" w:eastAsia="Arial" w:hAnsi="Arial"/>
          <w:sz w:val="11"/>
          <w:szCs w:val="11"/>
          <w:color w:val="auto"/>
        </w:rPr>
        <w:t>, for more information regarding the Stock Consolidation.</w:t>
      </w:r>
    </w:p>
    <w:p>
      <w:pPr>
        <w:spacing w:after="0" w:line="110"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accompanying Consolidated Financial Statements have been prepared assuming that we will continue as a going concern. As a developing-technology company having not yet developed commercial products or achieved sustainable revenues, we have experienced recurring losses and negative cash flows from operations resulting in a deficit of $84.5 million accumulated from inception through March 31, 2015.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Since our inception in May 1998 through March 31, 2015, we have financed our operations and technology acquisitions primarily through the issuance and sale of equity and debt securities, including convertible promissory notes and short-term promissory notes, for cash proceeds of approximately $29.0 million, as well as from an aggregate of approximately $16.4 million of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Between late-March 2014 and March 31, 2015, we entered into securities purchase agreements with accredited investors and institutions, including Platinum, pursuant to which we sold units to such accredited investors, in private placement transactions (</w:t>
      </w:r>
      <w:r>
        <w:rPr>
          <w:rFonts w:ascii="Arial" w:cs="Arial" w:eastAsia="Arial" w:hAnsi="Arial"/>
          <w:sz w:val="12"/>
          <w:szCs w:val="12"/>
          <w:i w:val="1"/>
          <w:iCs w:val="1"/>
          <w:color w:val="auto"/>
        </w:rPr>
        <w:t>2014 Units</w:t>
      </w:r>
      <w:r>
        <w:rPr>
          <w:rFonts w:ascii="Arial" w:cs="Arial" w:eastAsia="Arial" w:hAnsi="Arial"/>
          <w:sz w:val="12"/>
          <w:szCs w:val="12"/>
          <w:color w:val="auto"/>
        </w:rPr>
        <w:t xml:space="preserve"> or </w:t>
      </w:r>
      <w:r>
        <w:rPr>
          <w:rFonts w:ascii="Arial" w:cs="Arial" w:eastAsia="Arial" w:hAnsi="Arial"/>
          <w:sz w:val="12"/>
          <w:szCs w:val="12"/>
          <w:i w:val="1"/>
          <w:iCs w:val="1"/>
          <w:color w:val="auto"/>
        </w:rPr>
        <w:t>2014 Unit Private Placement</w:t>
      </w:r>
      <w:r>
        <w:rPr>
          <w:rFonts w:ascii="Arial" w:cs="Arial" w:eastAsia="Arial" w:hAnsi="Arial"/>
          <w:sz w:val="12"/>
          <w:szCs w:val="12"/>
          <w:color w:val="auto"/>
        </w:rPr>
        <w:t>), for aggregate cash proceeds of approximately $3.1 million, consisting of (i) 2014 Unit Notes in the aggregate face amount of approximately $3.1 million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2"/>
          <w:szCs w:val="12"/>
          <w:i w:val="1"/>
          <w:iCs w:val="1"/>
          <w:color w:val="auto"/>
        </w:rPr>
        <w:t>2014 Unit Stock)</w:t>
      </w:r>
      <w:r>
        <w:rPr>
          <w:rFonts w:ascii="Arial" w:cs="Arial" w:eastAsia="Arial" w:hAnsi="Arial"/>
          <w:sz w:val="12"/>
          <w:szCs w:val="12"/>
          <w:color w:val="auto"/>
        </w:rPr>
        <w:t>; and (iii) warrants exercisable through December 31, 2016 to purchase an aggregate of 282,850 restricted shares of our common stock at an exercise price of $10.00 per share (</w:t>
      </w:r>
      <w:r>
        <w:rPr>
          <w:rFonts w:ascii="Arial" w:cs="Arial" w:eastAsia="Arial" w:hAnsi="Arial"/>
          <w:sz w:val="12"/>
          <w:szCs w:val="12"/>
          <w:i w:val="1"/>
          <w:iCs w:val="1"/>
          <w:color w:val="auto"/>
        </w:rPr>
        <w:t>2014 Unit Warrants).</w:t>
      </w:r>
      <w:r>
        <w:rPr>
          <w:rFonts w:ascii="Arial" w:cs="Arial" w:eastAsia="Arial" w:hAnsi="Arial"/>
          <w:sz w:val="12"/>
          <w:szCs w:val="12"/>
          <w:color w:val="auto"/>
        </w:rPr>
        <w:t xml:space="preserve"> At March 31, 2015, we did not have sufficient cash and cash equivalents to enable us to fund our planned operations, including expected cash expenditures of approximately $7 million over the next twelve months, including expenditures required to prepare for further clinical trials of AV-101.</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As described more completely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between April 1 and May 14, 2015, we continued the 2014 Unit Private Placement, pursuant to which we sold to accredited investors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 As also described more completely in Note 16, Subsequent Events, during May 2015, we entered into an agreement with Platinum (</w:t>
      </w:r>
      <w:r>
        <w:rPr>
          <w:rFonts w:ascii="Arial" w:cs="Arial" w:eastAsia="Arial" w:hAnsi="Arial"/>
          <w:sz w:val="12"/>
          <w:szCs w:val="12"/>
          <w:i w:val="1"/>
          <w:iCs w:val="1"/>
          <w:color w:val="auto"/>
        </w:rPr>
        <w:t>Platinum Agreement</w:t>
      </w:r>
      <w:r>
        <w:rPr>
          <w:rFonts w:ascii="Arial" w:cs="Arial" w:eastAsia="Arial" w:hAnsi="Arial"/>
          <w:sz w:val="12"/>
          <w:szCs w:val="12"/>
          <w:color w:val="auto"/>
        </w:rPr>
        <w:t>), pursuant to which, Platinum has, among other things:</w:t>
      </w:r>
    </w:p>
    <w:p>
      <w:pPr>
        <w:spacing w:after="0" w:line="143" w:lineRule="exact"/>
        <w:rPr>
          <w:sz w:val="20"/>
          <w:szCs w:val="20"/>
          <w:color w:val="auto"/>
        </w:rPr>
      </w:pPr>
    </w:p>
    <w:p>
      <w:pPr>
        <w:ind w:left="920" w:right="20" w:hanging="340"/>
        <w:spacing w:after="0" w:line="276" w:lineRule="auto"/>
        <w:tabs>
          <w:tab w:leader="none" w:pos="9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 thereby cancelling approximately $4.5 million of our outstanding indebtedness;</w:t>
      </w:r>
    </w:p>
    <w:p>
      <w:pPr>
        <w:spacing w:after="0" w:line="114" w:lineRule="exact"/>
        <w:rPr>
          <w:rFonts w:ascii="Arial" w:cs="Arial" w:eastAsia="Arial" w:hAnsi="Arial"/>
          <w:sz w:val="12"/>
          <w:szCs w:val="12"/>
          <w:color w:val="auto"/>
        </w:rPr>
      </w:pPr>
    </w:p>
    <w:p>
      <w:pPr>
        <w:ind w:left="920" w:right="20" w:hanging="340"/>
        <w:spacing w:after="0" w:line="276" w:lineRule="auto"/>
        <w:tabs>
          <w:tab w:leader="none" w:pos="9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Released all of its security interests in our assets and those of our subsidiaries by terminating the Amended and Restated Security Agreement, IP Security Agreement and Negative Covenant, which we had entered into with Platinum in October 2012; and</w:t>
      </w:r>
    </w:p>
    <w:p>
      <w:pPr>
        <w:spacing w:after="0" w:line="132" w:lineRule="exact"/>
        <w:rPr>
          <w:rFonts w:ascii="Arial" w:cs="Arial" w:eastAsia="Arial" w:hAnsi="Arial"/>
          <w:sz w:val="12"/>
          <w:szCs w:val="12"/>
          <w:color w:val="auto"/>
        </w:rPr>
      </w:pPr>
    </w:p>
    <w:p>
      <w:pPr>
        <w:jc w:val="both"/>
        <w:ind w:left="920" w:hanging="340"/>
        <w:spacing w:after="0" w:line="263" w:lineRule="auto"/>
        <w:tabs>
          <w:tab w:leader="none" w:pos="9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Converted the approximately $1.3 million outstanding balance (principal and accrued but unpaid interest) of the convertible promissory notes we issued to Platinum in the 2014 Unit Private Placement (</w:t>
      </w:r>
      <w:r>
        <w:rPr>
          <w:rFonts w:ascii="Arial" w:cs="Arial" w:eastAsia="Arial" w:hAnsi="Arial"/>
          <w:sz w:val="12"/>
          <w:szCs w:val="12"/>
          <w:i w:val="1"/>
          <w:iCs w:val="1"/>
          <w:color w:val="auto"/>
        </w:rPr>
        <w:t>2014 Unit Notes</w:t>
      </w:r>
      <w:r>
        <w:rPr>
          <w:rFonts w:ascii="Arial" w:cs="Arial" w:eastAsia="Arial" w:hAnsi="Arial"/>
          <w:sz w:val="12"/>
          <w:szCs w:val="12"/>
          <w:color w:val="auto"/>
        </w:rPr>
        <w:t>) into 240,305 shares of Series B Preferred and five-year warrants to purchase 240,305 shares of our common stock at a fixed exercise price of $7.00 per share (</w:t>
      </w:r>
      <w:r>
        <w:rPr>
          <w:rFonts w:ascii="Arial" w:cs="Arial" w:eastAsia="Arial" w:hAnsi="Arial"/>
          <w:sz w:val="12"/>
          <w:szCs w:val="12"/>
          <w:i w:val="1"/>
          <w:iCs w:val="1"/>
          <w:color w:val="auto"/>
        </w:rPr>
        <w:t>Series B Warrants</w:t>
      </w:r>
      <w:r>
        <w:rPr>
          <w:rFonts w:ascii="Arial" w:cs="Arial" w:eastAsia="Arial" w:hAnsi="Arial"/>
          <w:sz w:val="12"/>
          <w:szCs w:val="12"/>
          <w:color w:val="auto"/>
        </w:rPr>
        <w:t>), thereby cancelling approximately $1.3 million of our outstanding indebtedness; and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2" w:name="page133"/>
    <w:bookmarkEnd w:id="13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ind w:left="920" w:hanging="340"/>
        <w:spacing w:after="0" w:line="263" w:lineRule="auto"/>
        <w:tabs>
          <w:tab w:leader="none" w:pos="9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Purchased approximately $1.5 million (principal and accrued but unpaid interest) of outstanding 2014 Unit Notes we issued to various other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xml:space="preserve"> ) and converted the entire outstanding balance of the Investor 2014 Unit Notes into 265,699 shares of Series B Preferred and Series B Warrants to purchase 265,699 shares of our common stock, thereby cancelling approximately $1.5 million of our outstanding indebtedness; and</w:t>
      </w:r>
    </w:p>
    <w:p>
      <w:pPr>
        <w:spacing w:after="0" w:line="140"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Entered into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to purchase, for $1.0 million, a total of 142,857 shares of Series B Preferred and a Series B Warrant (</w:t>
      </w:r>
      <w:r>
        <w:rPr>
          <w:rFonts w:ascii="Arial" w:cs="Arial" w:eastAsia="Arial" w:hAnsi="Arial"/>
          <w:sz w:val="12"/>
          <w:szCs w:val="12"/>
          <w:i w:val="1"/>
          <w:iCs w:val="1"/>
          <w:color w:val="auto"/>
        </w:rPr>
        <w:t>Series B Preferred Unit</w:t>
      </w:r>
      <w:r>
        <w:rPr>
          <w:rFonts w:ascii="Arial" w:cs="Arial" w:eastAsia="Arial" w:hAnsi="Arial"/>
          <w:sz w:val="12"/>
          <w:szCs w:val="12"/>
          <w:color w:val="auto"/>
        </w:rPr>
        <w:t>) to purchase 142,857 shares of our common stock, on or before June 11, 2015 (a portion of which purchase was consummated on June 19, 2015).</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As further described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effective May 20, 2015, holders of the remaining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 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2"/>
          <w:szCs w:val="12"/>
          <w:i w:val="1"/>
          <w:iCs w:val="1"/>
          <w:color w:val="auto"/>
        </w:rPr>
        <w:t>Series B Preferred Units</w:t>
      </w:r>
      <w:r>
        <w:rPr>
          <w:rFonts w:ascii="Arial" w:cs="Arial" w:eastAsia="Arial" w:hAnsi="Arial"/>
          <w:sz w:val="12"/>
          <w:szCs w:val="12"/>
          <w:color w:val="auto"/>
        </w:rPr>
        <w:t>),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Additionally, as further described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strategic adjustments) into 831,577 shares of Series B Preferred stock.</w:t>
      </w:r>
    </w:p>
    <w:p>
      <w:pPr>
        <w:spacing w:after="0" w:line="141"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Since March 31, 2015, we have eliminated approximately $14.9 million of promissory notes, other debt and certain adjustments thereto that was either already due and payable or would have otherwise matured prior to March 31, 2016, through conversion into our Series B Preferred stock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We believe that our participation in potential strategic collaborations, including potential transactions involving AV-101 such as our February 2015 Cooperative Research and Development Agreement with the U.S. National Institutes of Health (NIH) for an NIH-funded and sponsored Phase 2 study of AV-101 in major depressive disorder, may provide resources to support a portion of our future cash needs and working capital requirements.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major depressive disorder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and public company consulting, contract research and development, legal, accounting and other professional services and working capital costs.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Consolidated Financial Statements do not include any adjustments that might result from the outcome of this uncertainty.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3" w:name="page134"/>
    <w:bookmarkEnd w:id="13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preparation of financial statements in conformity with U.S. generally accepted accounting principles (“</w:t>
      </w:r>
      <w:r>
        <w:rPr>
          <w:rFonts w:ascii="Arial" w:cs="Arial" w:eastAsia="Arial" w:hAnsi="Arial"/>
          <w:sz w:val="11"/>
          <w:szCs w:val="11"/>
          <w:i w:val="1"/>
          <w:iCs w:val="1"/>
          <w:color w:val="auto"/>
        </w:rPr>
        <w:t>U.S. GAAP</w:t>
      </w:r>
      <w:r>
        <w:rPr>
          <w:rFonts w:ascii="Arial" w:cs="Arial" w:eastAsia="Arial" w:hAnsi="Arial"/>
          <w:sz w:val="11"/>
          <w:szCs w:val="11"/>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consolidated financial statements include the Company’s accounts, and the accounts of VistaGen California’s wholly-owned inactive subsidiaries, Artemis Neurosciences and VistaStem Canada.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Cash and cash equivalents are considered to be highly liquid investments with maturities of three months or less at the date of purchase.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or Disposal of Long-Lived Assets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evaluate our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we record an impairment loss in the amount by which the carrying value of the assets exceeds their fair value. If the assets are determined to be recoverable, but the useful lives are shorter than originally estimated, we depreciate or amortize the net book value of the assets over the newly determined remaining useful lives. We have not recorded any impairment charges to date.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Although we do not currently have any such arrangements, we have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4" w:name="page135"/>
    <w:bookmarkEnd w:id="13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920" w:hanging="340"/>
        <w:spacing w:after="0" w:line="281" w:lineRule="auto"/>
        <w:tabs>
          <w:tab w:leader="none" w:pos="920" w:val="left"/>
        </w:tabs>
        <w:numPr>
          <w:ilvl w:val="0"/>
          <w:numId w:val="75"/>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920" w:hanging="340"/>
        <w:spacing w:after="0" w:line="259" w:lineRule="auto"/>
        <w:tabs>
          <w:tab w:leader="none" w:pos="9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42"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68"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5" w:name="page136"/>
    <w:bookmarkEnd w:id="13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Financial instruments, which potentially subject us to concentrations of credit risk, consist principally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Liability</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We have issued to Platinum Long Term Growth VII, LLC, our largest investor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1"/>
          <w:szCs w:val="11"/>
          <w:i w:val="1"/>
          <w:iCs w:val="1"/>
          <w:color w:val="auto"/>
        </w:rPr>
        <w:t>Platinum Warrants</w:t>
      </w:r>
      <w:r>
        <w:rPr>
          <w:rFonts w:ascii="Arial" w:cs="Arial" w:eastAsia="Arial" w:hAnsi="Arial"/>
          <w:sz w:val="11"/>
          <w:szCs w:val="11"/>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Note 8,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 Note 9</w:t>
      </w:r>
      <w:r>
        <w:rPr>
          <w:rFonts w:ascii="Arial" w:cs="Arial" w:eastAsia="Arial" w:hAnsi="Arial"/>
          <w:sz w:val="11"/>
          <w:szCs w:val="11"/>
          <w:i w:val="1"/>
          <w:iCs w:val="1"/>
          <w:color w:val="auto"/>
        </w:rPr>
        <w:t>, Capital Stock</w:t>
      </w:r>
      <w:r>
        <w:rPr>
          <w:rFonts w:ascii="Arial" w:cs="Arial" w:eastAsia="Arial" w:hAnsi="Arial"/>
          <w:sz w:val="11"/>
          <w:szCs w:val="11"/>
          <w:color w:val="auto"/>
        </w:rPr>
        <w:t xml:space="preserve">. We compute the fair value of the warrant liability at each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 As described in Note 16, </w:t>
      </w:r>
      <w:r>
        <w:rPr>
          <w:rFonts w:ascii="Arial" w:cs="Arial" w:eastAsia="Arial" w:hAnsi="Arial"/>
          <w:sz w:val="11"/>
          <w:szCs w:val="11"/>
          <w:i w:val="1"/>
          <w:iCs w:val="1"/>
          <w:color w:val="auto"/>
        </w:rPr>
        <w:t>Subsequent Events</w:t>
      </w:r>
      <w:r>
        <w:rPr>
          <w:rFonts w:ascii="Arial" w:cs="Arial" w:eastAsia="Arial" w:hAnsi="Arial"/>
          <w:sz w:val="11"/>
          <w:szCs w:val="11"/>
          <w:color w:val="auto"/>
        </w:rPr>
        <w:t>, during May 2015, we entered into an agreement with Platinum pursuant to which Platinum agreed to amend the Platinum Warrants to fix the exercise price thereof at $7.00 per share and eliminate the exercise price reset features and fix the number of shares of our common stock issuable thereunder. This amendment will result in the elimination of the warrant liability with respect to the Platinum Warrants during the first quarter of our fiscal year ended March 31, 2016.</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have no components of other comprehensive loss other than net loss, and accordingly our comprehensive loss is equivalent to our net loss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per Common Share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the outstanding Platinum Warrants, only if dilutive, and increase the denominator to include the number of potentially dilutive common shares assumed to be outstanding during the period using the treasury stock method. As a result of our net loss for both periods presented, potentially dilutive securities were excluded from the computation of diluted loss per share, as their effect would be antidilutive.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26"/>
        </w:trPr>
        <w:tc>
          <w:tcPr>
            <w:tcW w:w="8840" w:type="dxa"/>
            <w:vAlign w:val="bottom"/>
            <w:gridSpan w:val="3"/>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VISTAGEN THERAPEUTICS, INC.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NOTES TO CONSOLIDATED FINANCIAL STATEMENTS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color w:val="auto"/>
              </w:rPr>
              <w:t>Basic and diluted net loss attributable to common stockholders per share was computed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3"/>
          </w:tcPr>
          <w:p>
            <w:pPr>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loss attributable to common stockholders for basic earnings per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(13,885,800)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ind w:left="160"/>
              <w:spacing w:after="0"/>
              <w:rPr>
                <w:sz w:val="20"/>
                <w:szCs w:val="20"/>
                <w:color w:val="auto"/>
              </w:rPr>
            </w:pPr>
            <w:r>
              <w:rPr>
                <w:rFonts w:ascii="Arial" w:cs="Arial" w:eastAsia="Arial" w:hAnsi="Arial"/>
                <w:sz w:val="12"/>
                <w:szCs w:val="12"/>
                <w:color w:val="auto"/>
              </w:rPr>
              <w:t>less: change in fair value of warrant liability attributable to Exchange, Investment and Bridge Warrants issued to Platinum</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(105,200)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(1,219,500)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440"/>
              <w:spacing w:after="0"/>
              <w:rPr>
                <w:sz w:val="20"/>
                <w:szCs w:val="20"/>
                <w:color w:val="auto"/>
              </w:rPr>
            </w:pPr>
            <w:r>
              <w:rPr>
                <w:rFonts w:ascii="Arial" w:cs="Arial" w:eastAsia="Arial" w:hAnsi="Arial"/>
                <w:sz w:val="12"/>
                <w:szCs w:val="12"/>
                <w:color w:val="auto"/>
              </w:rPr>
              <w:t>Net loss for diluted earnings per share attributable to common stockholders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(13,991,000)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(4,187,200)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Denominator: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Weighted average basic common shares outstanding</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1,318,797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1,098,742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440"/>
              <w:spacing w:after="0"/>
              <w:rPr>
                <w:sz w:val="20"/>
                <w:szCs w:val="20"/>
                <w:color w:val="auto"/>
              </w:rPr>
            </w:pPr>
            <w:r>
              <w:rPr>
                <w:rFonts w:ascii="Arial" w:cs="Arial" w:eastAsia="Arial" w:hAnsi="Arial"/>
                <w:sz w:val="12"/>
                <w:szCs w:val="12"/>
                <w:color w:val="auto"/>
              </w:rPr>
              <w:t>Assumed conversion of dilutive securities: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Warrants to purchase common stock</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ind w:left="160"/>
              <w:spacing w:after="0"/>
              <w:rPr>
                <w:sz w:val="20"/>
                <w:szCs w:val="20"/>
                <w:color w:val="auto"/>
              </w:rPr>
            </w:pPr>
            <w:r>
              <w:rPr>
                <w:rFonts w:ascii="Arial" w:cs="Arial" w:eastAsia="Arial" w:hAnsi="Arial"/>
                <w:sz w:val="12"/>
                <w:szCs w:val="12"/>
                <w:color w:val="auto"/>
              </w:rPr>
              <w:t>Potentially dilutive common shares assumed converted</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2"/>
                <w:szCs w:val="12"/>
                <w:color w:val="auto"/>
              </w:rPr>
              <w:t>Denominator for diluted earnings per share - adjusted weighted average shares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1,318,797</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1,099,216</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60" w:type="dxa"/>
            <w:vAlign w:val="bottom"/>
            <w:gridSpan w:val="2"/>
          </w:tcPr>
          <w:p>
            <w:pPr>
              <w:spacing w:after="0"/>
              <w:rPr>
                <w:sz w:val="10"/>
                <w:szCs w:val="10"/>
                <w:color w:val="auto"/>
              </w:rPr>
            </w:pPr>
          </w:p>
        </w:tc>
        <w:tc>
          <w:tcPr>
            <w:tcW w:w="8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(10.53)</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(10.61)</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vMerge w:val="restart"/>
          </w:tcPr>
          <w:p>
            <w:pPr>
              <w:jc w:val="center"/>
              <w:ind w:left="1800"/>
              <w:spacing w:after="0"/>
              <w:rPr>
                <w:sz w:val="20"/>
                <w:szCs w:val="20"/>
                <w:color w:val="auto"/>
              </w:rPr>
            </w:pPr>
            <w:r>
              <w:rPr>
                <w:rFonts w:ascii="Arial" w:cs="Arial" w:eastAsia="Arial" w:hAnsi="Arial"/>
                <w:sz w:val="12"/>
                <w:szCs w:val="12"/>
                <w:color w:val="auto"/>
                <w:w w:val="88"/>
              </w:rPr>
              <w:t>F-13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80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37" w:name="page138"/>
    <w:bookmarkEnd w:id="137"/>
    <w:tbl>
      <w:tblPr>
        <w:tblLayout w:type="fixed"/>
        <w:tblInd w:w="8" w:type="dxa"/>
        <w:tblCellMar>
          <w:top w:w="0" w:type="dxa"/>
          <w:left w:w="0" w:type="dxa"/>
          <w:bottom w:w="0" w:type="dxa"/>
          <w:right w:w="0" w:type="dxa"/>
        </w:tblCellMar>
      </w:tblPr>
      <w:tr>
        <w:trPr>
          <w:trHeight w:val="126"/>
        </w:trPr>
        <w:tc>
          <w:tcPr>
            <w:tcW w:w="8720" w:type="dxa"/>
            <w:vAlign w:val="bottom"/>
            <w:gridSpan w:val="3"/>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960" w:type="dxa"/>
            <w:vAlign w:val="bottom"/>
          </w:tcPr>
          <w:p>
            <w:pPr>
              <w:jc w:val="center"/>
              <w:ind w:left="1920"/>
              <w:spacing w:after="0"/>
              <w:rPr>
                <w:sz w:val="20"/>
                <w:szCs w:val="20"/>
                <w:color w:val="auto"/>
              </w:rPr>
            </w:pPr>
            <w:r>
              <w:rPr>
                <w:rFonts w:ascii="Arial" w:cs="Arial" w:eastAsia="Arial" w:hAnsi="Arial"/>
                <w:sz w:val="12"/>
                <w:szCs w:val="12"/>
                <w:b w:val="1"/>
                <w:bCs w:val="1"/>
                <w:color w:val="auto"/>
              </w:rPr>
              <w:t>VISTAGEN THERAPEUTICS, INC.</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960" w:type="dxa"/>
            <w:vAlign w:val="bottom"/>
          </w:tcPr>
          <w:p>
            <w:pPr>
              <w:jc w:val="center"/>
              <w:ind w:left="1920"/>
              <w:spacing w:after="0"/>
              <w:rPr>
                <w:sz w:val="20"/>
                <w:szCs w:val="20"/>
                <w:color w:val="auto"/>
              </w:rPr>
            </w:pPr>
            <w:r>
              <w:rPr>
                <w:rFonts w:ascii="Arial" w:cs="Arial" w:eastAsia="Arial" w:hAnsi="Arial"/>
                <w:sz w:val="12"/>
                <w:szCs w:val="12"/>
                <w:b w:val="1"/>
                <w:bCs w:val="1"/>
                <w:color w:val="auto"/>
              </w:rPr>
              <w:t>NOTES TO CONSOLIDATED FINANCIAL STATEMENTS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720" w:type="dxa"/>
            <w:vAlign w:val="bottom"/>
            <w:gridSpan w:val="3"/>
          </w:tcPr>
          <w:p>
            <w:pPr>
              <w:spacing w:after="0"/>
              <w:rPr>
                <w:sz w:val="20"/>
                <w:szCs w:val="20"/>
                <w:color w:val="auto"/>
              </w:rPr>
            </w:pPr>
            <w:r>
              <w:rPr>
                <w:rFonts w:ascii="Arial" w:cs="Arial" w:eastAsia="Arial" w:hAnsi="Arial"/>
                <w:sz w:val="12"/>
                <w:szCs w:val="12"/>
                <w:color w:val="auto"/>
              </w:rPr>
              <w:t>Potentially dilutive securities excluded in determining diluted net loss per common share for the fiscal years ended March 31, 2015 and 2014 are as follows: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4"/>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Warrant shares issuable to Platinum upon exercise of common stock warrants by Platinum</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upon exchange of Series A Preferred under the terms of the October 11, 2012 Note</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Exchange and Purchase Agreement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375,000</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207,638</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212,486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1,544,474</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854,782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 convertible Exchange Note and Investment Notes issued to Platinum in October 2012,</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0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rPr>
              <w:t>February 2013 and March 2013, including accrued interest through March 31, 2015</w:t>
            </w: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0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2"/>
                <w:szCs w:val="12"/>
                <w:color w:val="auto"/>
              </w:rPr>
              <w:t xml:space="preserve">and 2014, respectively </w:t>
            </w:r>
            <w:r>
              <w:rPr>
                <w:rFonts w:ascii="Arial" w:cs="Arial" w:eastAsia="Arial" w:hAnsi="Arial"/>
                <w:sz w:val="16"/>
                <w:szCs w:val="16"/>
                <w:color w:val="auto"/>
                <w:vertAlign w:val="superscript"/>
              </w:rPr>
              <w:t>(2)</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414,615</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374,798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 convertible note issued to Platinum on July 26, 2013, including accrued interest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through March 31, 2015 and 2014, respectively</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29,620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26,776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7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10% convertible notes issued as a component of Unit Private Placements, including accrued interest through March 31, 2014</w:t>
            </w: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0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2"/>
                <w:szCs w:val="12"/>
                <w:color w:val="auto"/>
              </w:rPr>
              <w:t xml:space="preserve">accrued interest through March 31, 2015 and 2014, respectively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433,758</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109,341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7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3,755,105</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2,703,183</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760" w:type="dxa"/>
            <w:vAlign w:val="bottom"/>
            <w:gridSpan w:val="2"/>
          </w:tcPr>
          <w:p>
            <w:pPr>
              <w:spacing w:after="0"/>
              <w:rPr>
                <w:sz w:val="20"/>
                <w:szCs w:val="20"/>
                <w:color w:val="auto"/>
              </w:rPr>
            </w:pPr>
            <w:r>
              <w:rPr>
                <w:rFonts w:ascii="Arial" w:cs="Arial" w:eastAsia="Arial" w:hAnsi="Arial"/>
                <w:sz w:val="12"/>
                <w:szCs w:val="12"/>
                <w:color w:val="auto"/>
                <w:w w:val="92"/>
              </w:rPr>
              <w:t>____________</w:t>
            </w:r>
          </w:p>
        </w:tc>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48" w:hanging="148"/>
        <w:spacing w:after="0" w:line="180" w:lineRule="auto"/>
        <w:tabs>
          <w:tab w:leader="none" w:pos="148" w:val="left"/>
        </w:tabs>
        <w:numPr>
          <w:ilvl w:val="0"/>
          <w:numId w:val="76"/>
        </w:numPr>
        <w:rPr>
          <w:rFonts w:ascii="Arial" w:cs="Arial" w:eastAsia="Arial" w:hAnsi="Arial"/>
          <w:sz w:val="17"/>
          <w:szCs w:val="17"/>
          <w:color w:val="auto"/>
          <w:vertAlign w:val="superscript"/>
        </w:rPr>
      </w:pPr>
      <w:r>
        <w:rPr>
          <w:rFonts w:ascii="Arial" w:cs="Arial" w:eastAsia="Arial" w:hAnsi="Arial"/>
          <w:sz w:val="12"/>
          <w:szCs w:val="12"/>
          <w:color w:val="auto"/>
        </w:rPr>
        <w:t>Assumes exchange under the terms of the October 11, 2012 Note Exchange and Purchase Agreement with Platinum</w:t>
      </w:r>
    </w:p>
    <w:p>
      <w:pPr>
        <w:spacing w:after="0" w:line="1" w:lineRule="exact"/>
        <w:rPr>
          <w:rFonts w:ascii="Arial" w:cs="Arial" w:eastAsia="Arial" w:hAnsi="Arial"/>
          <w:sz w:val="17"/>
          <w:szCs w:val="17"/>
          <w:color w:val="auto"/>
          <w:vertAlign w:val="superscript"/>
        </w:rPr>
      </w:pPr>
    </w:p>
    <w:p>
      <w:pPr>
        <w:ind w:left="148" w:hanging="148"/>
        <w:spacing w:after="0" w:line="186" w:lineRule="auto"/>
        <w:tabs>
          <w:tab w:leader="none" w:pos="148" w:val="left"/>
        </w:tabs>
        <w:numPr>
          <w:ilvl w:val="0"/>
          <w:numId w:val="76"/>
        </w:numPr>
        <w:rPr>
          <w:rFonts w:ascii="Arial" w:cs="Arial" w:eastAsia="Arial" w:hAnsi="Arial"/>
          <w:sz w:val="16"/>
          <w:szCs w:val="16"/>
          <w:color w:val="auto"/>
          <w:vertAlign w:val="superscript"/>
        </w:rPr>
      </w:pPr>
      <w:r>
        <w:rPr>
          <w:rFonts w:ascii="Arial" w:cs="Arial" w:eastAsia="Arial" w:hAnsi="Arial"/>
          <w:sz w:val="11"/>
          <w:szCs w:val="11"/>
          <w:color w:val="auto"/>
        </w:rPr>
        <w:t>Assumes conversion under the terms of the October 11, 2012 Note Exchange and Purchase Agreement with Platinum and the terms of the individual notes</w:t>
      </w:r>
    </w:p>
    <w:p>
      <w:pPr>
        <w:spacing w:after="0" w:line="1" w:lineRule="exact"/>
        <w:rPr>
          <w:rFonts w:ascii="Arial" w:cs="Arial" w:eastAsia="Arial" w:hAnsi="Arial"/>
          <w:sz w:val="16"/>
          <w:szCs w:val="16"/>
          <w:color w:val="auto"/>
          <w:vertAlign w:val="superscript"/>
        </w:rPr>
      </w:pPr>
    </w:p>
    <w:p>
      <w:pPr>
        <w:ind w:left="128" w:hanging="128"/>
        <w:spacing w:after="0" w:line="198" w:lineRule="auto"/>
        <w:tabs>
          <w:tab w:leader="none" w:pos="128" w:val="left"/>
        </w:tabs>
        <w:numPr>
          <w:ilvl w:val="0"/>
          <w:numId w:val="76"/>
        </w:numPr>
        <w:rPr>
          <w:rFonts w:ascii="Arial" w:cs="Arial" w:eastAsia="Arial" w:hAnsi="Arial"/>
          <w:sz w:val="15"/>
          <w:szCs w:val="15"/>
          <w:color w:val="auto"/>
          <w:vertAlign w:val="superscript"/>
        </w:rPr>
      </w:pPr>
      <w:r>
        <w:rPr>
          <w:rFonts w:ascii="Arial" w:cs="Arial" w:eastAsia="Arial" w:hAnsi="Arial"/>
          <w:sz w:val="11"/>
          <w:szCs w:val="11"/>
          <w:color w:val="auto"/>
        </w:rPr>
        <w:t>Excludes effect of conversion premium upon conversion into securities which may be issued in a Qualified Financing, as defined in the notes</w:t>
      </w: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138" w:name="page139"/>
    <w:bookmarkEnd w:id="13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May 2014, the Financial Accounting Standards Board (</w:t>
      </w:r>
      <w:r>
        <w:rPr>
          <w:rFonts w:ascii="Arial" w:cs="Arial" w:eastAsia="Arial" w:hAnsi="Arial"/>
          <w:sz w:val="11"/>
          <w:szCs w:val="11"/>
          <w:i w:val="1"/>
          <w:iCs w:val="1"/>
          <w:color w:val="auto"/>
        </w:rPr>
        <w:t>FASB</w:t>
      </w:r>
      <w:r>
        <w:rPr>
          <w:rFonts w:ascii="Arial" w:cs="Arial" w:eastAsia="Arial" w:hAnsi="Arial"/>
          <w:sz w:val="11"/>
          <w:szCs w:val="11"/>
          <w:color w:val="auto"/>
        </w:rPr>
        <w:t>) issued Accounting Standards Update (</w:t>
      </w:r>
      <w:r>
        <w:rPr>
          <w:rFonts w:ascii="Arial" w:cs="Arial" w:eastAsia="Arial" w:hAnsi="Arial"/>
          <w:sz w:val="11"/>
          <w:szCs w:val="11"/>
          <w:i w:val="1"/>
          <w:iCs w:val="1"/>
          <w:color w:val="auto"/>
        </w:rPr>
        <w:t>ASU</w:t>
      </w:r>
      <w:r>
        <w:rPr>
          <w:rFonts w:ascii="Arial" w:cs="Arial" w:eastAsia="Arial" w:hAnsi="Arial"/>
          <w:sz w:val="11"/>
          <w:szCs w:val="11"/>
          <w:color w:val="auto"/>
        </w:rPr>
        <w:t xml:space="preserve">) No. 2014-09, </w:t>
      </w:r>
      <w:r>
        <w:rPr>
          <w:rFonts w:ascii="Arial" w:cs="Arial" w:eastAsia="Arial" w:hAnsi="Arial"/>
          <w:sz w:val="11"/>
          <w:szCs w:val="11"/>
          <w:i w:val="1"/>
          <w:iCs w:val="1"/>
          <w:color w:val="auto"/>
        </w:rPr>
        <w:t>Revenue from Contracts with Customers (Topic 606).</w:t>
      </w:r>
      <w:r>
        <w:rPr>
          <w:rFonts w:ascii="Arial" w:cs="Arial" w:eastAsia="Arial" w:hAnsi="Arial"/>
          <w:sz w:val="11"/>
          <w:szCs w:val="11"/>
          <w:color w:val="auto"/>
        </w:rPr>
        <w:t>which supersedes the revenue recognition requirements in ASC 605, Revenue Recognition.</w:t>
      </w:r>
      <w:r>
        <w:rPr>
          <w:rFonts w:ascii="Arial" w:cs="Arial" w:eastAsia="Arial" w:hAnsi="Arial"/>
          <w:sz w:val="11"/>
          <w:szCs w:val="11"/>
          <w:i w:val="1"/>
          <w:iCs w:val="1"/>
          <w:color w:val="auto"/>
        </w:rPr>
        <w:t>,</w:t>
      </w:r>
      <w:r>
        <w:rPr>
          <w:rFonts w:ascii="Arial" w:cs="Arial" w:eastAsia="Arial" w:hAnsi="Arial"/>
          <w:sz w:val="11"/>
          <w:szCs w:val="11"/>
          <w:color w:val="auto"/>
        </w:rPr>
        <w:t xml:space="preserve"> The amendment in this ASU provides 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In June 2014, the FASB issued ASU No. 2014-10, </w:t>
      </w:r>
      <w:r>
        <w:rPr>
          <w:rFonts w:ascii="Arial" w:cs="Arial" w:eastAsia="Arial" w:hAnsi="Arial"/>
          <w:sz w:val="12"/>
          <w:szCs w:val="12"/>
          <w:i w:val="1"/>
          <w:iCs w:val="1"/>
          <w:color w:val="auto"/>
        </w:rPr>
        <w:t>Development Stage Entities (Topic 915): Elimination of Certain Financial Reporting Requirements, Including an Amendment to Variable Interest Entities Guidance in Topic 810,</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Consolidation</w:t>
      </w:r>
      <w:r>
        <w:rPr>
          <w:rFonts w:ascii="Arial" w:cs="Arial" w:eastAsia="Arial" w:hAnsi="Arial"/>
          <w:sz w:val="12"/>
          <w:szCs w:val="12"/>
          <w:color w:val="auto"/>
        </w:rPr>
        <w:t>. The amendments in this ASU remove all incremental financial reporting requirements for development stage entities. Among other changes, this ASU no 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Consolidated Statements of Operations and Comprehensive Loss and Consolidated Statements of Cash Flows.</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In August 2014, the FASB issued ASU No. 2014-15, </w:t>
      </w:r>
      <w:r>
        <w:rPr>
          <w:rFonts w:ascii="Arial" w:cs="Arial" w:eastAsia="Arial" w:hAnsi="Arial"/>
          <w:sz w:val="11"/>
          <w:szCs w:val="11"/>
          <w:i w:val="1"/>
          <w:iCs w:val="1"/>
          <w:color w:val="auto"/>
        </w:rPr>
        <w:t>Presentation of Financial Statements—Going Concern (Subtopic 205-40): Disclosure of Uncertainties about an Entity’s Ability to Continue as a Going Concern.</w:t>
      </w:r>
      <w:r>
        <w:rPr>
          <w:rFonts w:ascii="Arial" w:cs="Arial" w:eastAsia="Arial" w:hAnsi="Arial"/>
          <w:sz w:val="11"/>
          <w:szCs w:val="11"/>
          <w:color w:val="auto"/>
        </w:rPr>
        <w:t xml:space="preserve"> The amendments in this ASU define when and how an entity is required to disclose going concern uncertainties, which must be evaluated each interim and annual period. Specifically, 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1"/>
          <w:szCs w:val="11"/>
          <w:i w:val="1"/>
          <w:iCs w:val="1"/>
          <w:color w:val="auto"/>
        </w:rPr>
        <w:t>Contingencies</w:t>
      </w:r>
      <w:r>
        <w:rPr>
          <w:rFonts w:ascii="Arial" w:cs="Arial" w:eastAsia="Arial" w:hAnsi="Arial"/>
          <w:sz w:val="11"/>
          <w:szCs w:val="11"/>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we have indicated in Note 2, </w:t>
      </w:r>
      <w:r>
        <w:rPr>
          <w:rFonts w:ascii="Arial" w:cs="Arial" w:eastAsia="Arial" w:hAnsi="Arial"/>
          <w:sz w:val="11"/>
          <w:szCs w:val="11"/>
          <w:i w:val="1"/>
          <w:iCs w:val="1"/>
          <w:color w:val="auto"/>
        </w:rPr>
        <w:t>Basis of Presentation and Going Concern</w:t>
      </w:r>
      <w:r>
        <w:rPr>
          <w:rFonts w:ascii="Arial" w:cs="Arial" w:eastAsia="Arial" w:hAnsi="Arial"/>
          <w:sz w:val="11"/>
          <w:szCs w:val="11"/>
          <w:color w:val="auto"/>
        </w:rPr>
        <w:t>, steps we have taken to eliminate certain of our indebtedness and raise additional financing that is expected to permit us to 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9" w:name="page140"/>
    <w:bookmarkEnd w:id="13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Fair Value Measurements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follow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27" w:lineRule="exact"/>
        <w:rPr>
          <w:sz w:val="20"/>
          <w:szCs w:val="20"/>
          <w:color w:val="auto"/>
        </w:rPr>
      </w:pPr>
    </w:p>
    <w:p>
      <w:pPr>
        <w:ind w:left="920" w:hanging="340"/>
        <w:spacing w:after="0"/>
        <w:tabs>
          <w:tab w:leader="none" w:pos="920" w:val="left"/>
        </w:tabs>
        <w:numPr>
          <w:ilvl w:val="0"/>
          <w:numId w:val="77"/>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77"/>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w:t>
      </w:r>
      <w:r>
        <w:rPr>
          <w:rFonts w:ascii="Arial" w:cs="Arial" w:eastAsia="Arial" w:hAnsi="Arial"/>
          <w:sz w:val="12"/>
          <w:szCs w:val="12"/>
          <w:i w:val="1"/>
          <w:iCs w:val="1"/>
          <w:color w:val="auto"/>
        </w:rPr>
        <w:t xml:space="preserve"> </w:t>
      </w:r>
      <w:r>
        <w:rPr>
          <w:rFonts w:ascii="Arial" w:cs="Arial" w:eastAsia="Arial" w:hAnsi="Arial"/>
          <w:sz w:val="12"/>
          <w:szCs w:val="12"/>
          <w:color w:val="auto"/>
        </w:rPr>
        <w:t>can be 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77"/>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w:t>
      </w:r>
      <w:r>
        <w:rPr>
          <w:rFonts w:ascii="Arial" w:cs="Arial" w:eastAsia="Arial" w:hAnsi="Arial"/>
          <w:sz w:val="12"/>
          <w:szCs w:val="12"/>
          <w:i w:val="1"/>
          <w:iCs w:val="1"/>
          <w:color w:val="auto"/>
        </w:rPr>
        <w:t xml:space="preserve"> </w:t>
      </w:r>
      <w:r>
        <w:rPr>
          <w:rFonts w:ascii="Arial" w:cs="Arial" w:eastAsia="Arial" w:hAnsi="Arial"/>
          <w:sz w:val="12"/>
          <w:szCs w:val="12"/>
          <w:color w:val="auto"/>
        </w:rPr>
        <w:t>little or no market data is available. The fair value hierarchy gives the lowest priority to Level 3 inputs.</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23" w:lineRule="exact"/>
        <w:rPr>
          <w:sz w:val="20"/>
          <w:szCs w:val="20"/>
          <w:color w:val="auto"/>
        </w:rPr>
      </w:pPr>
    </w:p>
    <w:p>
      <w:pPr>
        <w:jc w:val="both"/>
        <w:spacing w:after="0" w:line="316" w:lineRule="auto"/>
        <w:rPr>
          <w:sz w:val="20"/>
          <w:szCs w:val="20"/>
          <w:color w:val="auto"/>
        </w:rPr>
      </w:pPr>
      <w:r>
        <w:rPr>
          <w:rFonts w:ascii="Arial" w:cs="Arial" w:eastAsia="Arial" w:hAnsi="Arial"/>
          <w:sz w:val="10"/>
          <w:szCs w:val="10"/>
          <w:color w:val="auto"/>
        </w:rPr>
        <w:t xml:space="preserve">We do not use derivative instruments for hedging of market risks or for trading or speculative purposes. In conjunction with the Senior Secured Convertible Promissory Notes issued to Platinum between October 2012 and July 2013 and the related Platinum Warrants (see Note 8, </w:t>
      </w:r>
      <w:r>
        <w:rPr>
          <w:rFonts w:ascii="Arial" w:cs="Arial" w:eastAsia="Arial" w:hAnsi="Arial"/>
          <w:sz w:val="10"/>
          <w:szCs w:val="10"/>
          <w:i w:val="1"/>
          <w:iCs w:val="1"/>
          <w:color w:val="auto"/>
        </w:rPr>
        <w:t>Convertible Promissory Notes and Other Notes Payable</w:t>
      </w:r>
      <w:r>
        <w:rPr>
          <w:rFonts w:ascii="Arial" w:cs="Arial" w:eastAsia="Arial" w:hAnsi="Arial"/>
          <w:sz w:val="10"/>
          <w:szCs w:val="10"/>
          <w:color w:val="auto"/>
        </w:rPr>
        <w:t xml:space="preserve">), and the contingently issuable Series A Exchange Warrant (see Note 9, </w:t>
      </w:r>
      <w:r>
        <w:rPr>
          <w:rFonts w:ascii="Arial" w:cs="Arial" w:eastAsia="Arial" w:hAnsi="Arial"/>
          <w:sz w:val="10"/>
          <w:szCs w:val="10"/>
          <w:i w:val="1"/>
          <w:iCs w:val="1"/>
          <w:color w:val="auto"/>
        </w:rPr>
        <w:t>Capital Stock</w:t>
      </w:r>
      <w:r>
        <w:rPr>
          <w:rFonts w:ascii="Arial" w:cs="Arial" w:eastAsia="Arial" w:hAnsi="Arial"/>
          <w:sz w:val="10"/>
          <w:szCs w:val="10"/>
          <w:color w:val="auto"/>
        </w:rPr>
        <w:t>), we determined that the warrants included certain exercise price adjustment features requiring the warrants to be treated as liabilities, which were recorded at their issuance-date estimated fair values. We determined the fair value of the warrant liabilities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2015 and 2014.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The fair value hierarchy for liabilities measured at fair value on a recurring basis is as follows:</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gridSpan w:val="9"/>
          </w:tcPr>
          <w:p>
            <w:pPr>
              <w:ind w:left="640"/>
              <w:spacing w:after="0"/>
              <w:rPr>
                <w:sz w:val="20"/>
                <w:szCs w:val="20"/>
                <w:color w:val="auto"/>
              </w:rPr>
            </w:pPr>
            <w:r>
              <w:rPr>
                <w:rFonts w:ascii="Arial" w:cs="Arial" w:eastAsia="Arial" w:hAnsi="Arial"/>
                <w:sz w:val="12"/>
                <w:szCs w:val="12"/>
                <w:b w:val="1"/>
                <w:bCs w:val="1"/>
                <w:color w:val="auto"/>
              </w:rPr>
              <w:t>Fair Value Measurements at Reporting Date Using</w:t>
            </w: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Quoted Prices in</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60"/>
              <w:spacing w:after="0" w:line="129" w:lineRule="exact"/>
              <w:rPr>
                <w:sz w:val="20"/>
                <w:szCs w:val="20"/>
                <w:color w:val="auto"/>
              </w:rPr>
            </w:pPr>
            <w:r>
              <w:rPr>
                <w:rFonts w:ascii="Arial" w:cs="Arial" w:eastAsia="Arial" w:hAnsi="Arial"/>
                <w:sz w:val="12"/>
                <w:szCs w:val="12"/>
                <w:b w:val="1"/>
                <w:bCs w:val="1"/>
                <w:color w:val="auto"/>
                <w:w w:val="91"/>
              </w:rPr>
              <w:t>Significant</w:t>
            </w:r>
          </w:p>
        </w:tc>
        <w:tc>
          <w:tcPr>
            <w:tcW w:w="1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2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Active Markets for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0"/>
              </w:rPr>
              <w:t>Significant Other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Unobservable</w:t>
            </w:r>
          </w:p>
        </w:tc>
      </w:tr>
      <w:tr>
        <w:trPr>
          <w:trHeight w:val="144"/>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40"/>
              <w:spacing w:after="0"/>
              <w:rPr>
                <w:sz w:val="20"/>
                <w:szCs w:val="20"/>
                <w:color w:val="auto"/>
              </w:rPr>
            </w:pPr>
            <w:r>
              <w:rPr>
                <w:rFonts w:ascii="Arial" w:cs="Arial" w:eastAsia="Arial" w:hAnsi="Arial"/>
                <w:sz w:val="12"/>
                <w:szCs w:val="12"/>
                <w:b w:val="1"/>
                <w:bCs w:val="1"/>
                <w:color w:val="auto"/>
                <w:w w:val="97"/>
              </w:rPr>
              <w:t>Carrying</w:t>
            </w:r>
          </w:p>
        </w:tc>
        <w:tc>
          <w:tcPr>
            <w:tcW w:w="240" w:type="dxa"/>
            <w:vAlign w:val="bottom"/>
          </w:tcPr>
          <w:p>
            <w:pPr>
              <w:spacing w:after="0"/>
              <w:rPr>
                <w:sz w:val="12"/>
                <w:szCs w:val="12"/>
                <w:color w:val="auto"/>
              </w:rPr>
            </w:pPr>
          </w:p>
        </w:tc>
        <w:tc>
          <w:tcPr>
            <w:tcW w:w="1080" w:type="dxa"/>
            <w:vAlign w:val="bottom"/>
          </w:tcPr>
          <w:p>
            <w:pPr>
              <w:jc w:val="center"/>
              <w:ind w:left="20"/>
              <w:spacing w:after="0"/>
              <w:rPr>
                <w:sz w:val="20"/>
                <w:szCs w:val="20"/>
                <w:color w:val="auto"/>
              </w:rPr>
            </w:pPr>
            <w:r>
              <w:rPr>
                <w:rFonts w:ascii="Arial" w:cs="Arial" w:eastAsia="Arial" w:hAnsi="Arial"/>
                <w:sz w:val="12"/>
                <w:szCs w:val="12"/>
                <w:b w:val="1"/>
                <w:bCs w:val="1"/>
                <w:color w:val="auto"/>
                <w:w w:val="87"/>
              </w:rPr>
              <w:t>Identical Assets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1"/>
              </w:rPr>
              <w:t>Observable Inputs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Inputs</w:t>
            </w:r>
          </w:p>
        </w:tc>
      </w:tr>
      <w:tr>
        <w:trPr>
          <w:trHeight w:val="157"/>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20"/>
              <w:spacing w:after="0"/>
              <w:rPr>
                <w:sz w:val="20"/>
                <w:szCs w:val="20"/>
                <w:color w:val="auto"/>
              </w:rPr>
            </w:pPr>
            <w:r>
              <w:rPr>
                <w:rFonts w:ascii="Arial" w:cs="Arial" w:eastAsia="Arial" w:hAnsi="Arial"/>
                <w:sz w:val="12"/>
                <w:szCs w:val="12"/>
                <w:b w:val="1"/>
                <w:bCs w:val="1"/>
                <w:color w:val="auto"/>
                <w:w w:val="93"/>
              </w:rPr>
              <w:t>Value</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(Level 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0"/>
              </w:rPr>
              <w:t>(Level 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(Level 3)</w:t>
            </w:r>
          </w:p>
        </w:tc>
      </w:tr>
      <w:tr>
        <w:trPr>
          <w:trHeight w:val="142"/>
        </w:trPr>
        <w:tc>
          <w:tcPr>
            <w:tcW w:w="5080" w:type="dxa"/>
            <w:vAlign w:val="bottom"/>
            <w:gridSpan w:val="2"/>
          </w:tcPr>
          <w:p>
            <w:pPr>
              <w:spacing w:after="0"/>
              <w:rPr>
                <w:sz w:val="20"/>
                <w:szCs w:val="20"/>
                <w:color w:val="auto"/>
              </w:rPr>
            </w:pPr>
            <w:r>
              <w:rPr>
                <w:rFonts w:ascii="Arial" w:cs="Arial" w:eastAsia="Arial" w:hAnsi="Arial"/>
                <w:sz w:val="12"/>
                <w:szCs w:val="12"/>
                <w:color w:val="auto"/>
              </w:rPr>
              <w:t>March 31, 2015:</w:t>
            </w:r>
          </w:p>
        </w:tc>
        <w:tc>
          <w:tcPr>
            <w:tcW w:w="10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120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32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8"/>
              </w:rPr>
              <w:t>-</w:t>
            </w:r>
          </w:p>
        </w:tc>
        <w:tc>
          <w:tcPr>
            <w:tcW w:w="1080" w:type="dxa"/>
            <w:vAlign w:val="bottom"/>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shd w:val="clear" w:color="auto" w:fill="CCEEFF"/>
          </w:tcPr>
          <w:p>
            <w:pPr>
              <w:spacing w:after="0"/>
              <w:rPr>
                <w:sz w:val="15"/>
                <w:szCs w:val="15"/>
                <w:color w:val="auto"/>
              </w:rPr>
            </w:pPr>
          </w:p>
        </w:tc>
      </w:tr>
      <w:tr>
        <w:trPr>
          <w:trHeight w:val="120"/>
        </w:trPr>
        <w:tc>
          <w:tcPr>
            <w:tcW w:w="20" w:type="dxa"/>
            <w:vAlign w:val="bottom"/>
          </w:tcPr>
          <w:p>
            <w:pPr>
              <w:spacing w:after="0"/>
              <w:rPr>
                <w:sz w:val="10"/>
                <w:szCs w:val="10"/>
                <w:color w:val="auto"/>
              </w:rPr>
            </w:pPr>
          </w:p>
        </w:tc>
        <w:tc>
          <w:tcPr>
            <w:tcW w:w="506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color w:val="auto"/>
              </w:rPr>
              <w:t>March 31, 2014:</w:t>
            </w:r>
          </w:p>
        </w:tc>
        <w:tc>
          <w:tcPr>
            <w:tcW w:w="10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20" w:type="dxa"/>
            <w:vAlign w:val="bottom"/>
          </w:tcPr>
          <w:p>
            <w:pPr>
              <w:spacing w:after="0"/>
              <w:rPr>
                <w:sz w:val="16"/>
                <w:szCs w:val="16"/>
                <w:color w:val="auto"/>
              </w:rPr>
            </w:pPr>
          </w:p>
        </w:tc>
        <w:tc>
          <w:tcPr>
            <w:tcW w:w="5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2,973,900</w:t>
            </w:r>
          </w:p>
        </w:tc>
        <w:tc>
          <w:tcPr>
            <w:tcW w:w="132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8"/>
              </w:rPr>
              <w:t>-</w:t>
            </w:r>
          </w:p>
        </w:tc>
        <w:tc>
          <w:tcPr>
            <w:tcW w:w="1080" w:type="dxa"/>
            <w:vAlign w:val="bottom"/>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shd w:val="clear" w:color="auto" w:fill="CCEEFF"/>
          </w:tcPr>
          <w:p>
            <w:pPr>
              <w:spacing w:after="0"/>
              <w:rPr>
                <w:sz w:val="16"/>
                <w:szCs w:val="16"/>
                <w:color w:val="auto"/>
              </w:rPr>
            </w:pPr>
          </w:p>
        </w:tc>
      </w:tr>
      <w:tr>
        <w:trPr>
          <w:trHeight w:val="381"/>
        </w:trPr>
        <w:tc>
          <w:tcPr>
            <w:tcW w:w="20" w:type="dxa"/>
            <w:vAlign w:val="bottom"/>
          </w:tcPr>
          <w:p>
            <w:pPr>
              <w:spacing w:after="0"/>
              <w:rPr>
                <w:sz w:val="24"/>
                <w:szCs w:val="24"/>
                <w:color w:val="auto"/>
              </w:rPr>
            </w:pPr>
          </w:p>
        </w:tc>
        <w:tc>
          <w:tcPr>
            <w:tcW w:w="50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ind w:left="540"/>
              <w:spacing w:after="0"/>
              <w:rPr>
                <w:sz w:val="20"/>
                <w:szCs w:val="20"/>
                <w:color w:val="auto"/>
              </w:rPr>
            </w:pPr>
            <w:r>
              <w:rPr>
                <w:rFonts w:ascii="Arial" w:cs="Arial" w:eastAsia="Arial" w:hAnsi="Arial"/>
                <w:sz w:val="12"/>
                <w:szCs w:val="12"/>
                <w:color w:val="auto"/>
              </w:rPr>
              <w:t>F-16</w:t>
            </w: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20" w:type="dxa"/>
            <w:vAlign w:val="bottom"/>
          </w:tcPr>
          <w:p>
            <w:pPr>
              <w:spacing w:after="0"/>
              <w:rPr>
                <w:sz w:val="6"/>
                <w:szCs w:val="6"/>
                <w:color w:val="auto"/>
              </w:rPr>
            </w:pPr>
          </w:p>
        </w:tc>
        <w:tc>
          <w:tcPr>
            <w:tcW w:w="506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26"/>
        </w:trPr>
        <w:tc>
          <w:tcPr>
            <w:tcW w:w="10100" w:type="dxa"/>
            <w:vAlign w:val="bottom"/>
            <w:gridSpan w:val="3"/>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9340" w:type="dxa"/>
            <w:vAlign w:val="bottom"/>
          </w:tcPr>
          <w:p>
            <w:pPr>
              <w:jc w:val="center"/>
              <w:ind w:left="540"/>
              <w:spacing w:after="0"/>
              <w:rPr>
                <w:sz w:val="20"/>
                <w:szCs w:val="20"/>
                <w:color w:val="auto"/>
              </w:rPr>
            </w:pPr>
            <w:r>
              <w:rPr>
                <w:rFonts w:ascii="Arial" w:cs="Arial" w:eastAsia="Arial" w:hAnsi="Arial"/>
                <w:sz w:val="12"/>
                <w:szCs w:val="12"/>
                <w:b w:val="1"/>
                <w:bCs w:val="1"/>
                <w:color w:val="auto"/>
              </w:rPr>
              <w:t>VISTAGEN THERAPEUTICS,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340" w:type="dxa"/>
            <w:vAlign w:val="bottom"/>
          </w:tcPr>
          <w:p>
            <w:pPr>
              <w:jc w:val="center"/>
              <w:ind w:left="540"/>
              <w:spacing w:after="0"/>
              <w:rPr>
                <w:sz w:val="20"/>
                <w:szCs w:val="20"/>
                <w:color w:val="auto"/>
              </w:rPr>
            </w:pPr>
            <w:r>
              <w:rPr>
                <w:rFonts w:ascii="Arial" w:cs="Arial" w:eastAsia="Arial" w:hAnsi="Arial"/>
                <w:sz w:val="12"/>
                <w:szCs w:val="12"/>
                <w:b w:val="1"/>
                <w:bCs w:val="1"/>
                <w:color w:val="auto"/>
              </w:rPr>
              <w:t>NOTES TO CONSOLIDATED FINANCIAL STATEMENTS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0100" w:type="dxa"/>
            <w:vAlign w:val="bottom"/>
            <w:gridSpan w:val="3"/>
          </w:tcPr>
          <w:p>
            <w:pPr>
              <w:spacing w:after="0"/>
              <w:rPr>
                <w:sz w:val="20"/>
                <w:szCs w:val="20"/>
                <w:color w:val="auto"/>
              </w:rPr>
            </w:pPr>
            <w:r>
              <w:rPr>
                <w:rFonts w:ascii="Arial" w:cs="Arial" w:eastAsia="Arial" w:hAnsi="Arial"/>
                <w:sz w:val="12"/>
                <w:szCs w:val="12"/>
                <w:color w:val="auto"/>
                <w:w w:val="98"/>
              </w:rPr>
              <w:t>During the fiscal years ended March 31, 2015 and 2014, there were no significant changes to the valuation models used for purposes of determining the fair value of the Level 3 warrant liability.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100" w:type="dxa"/>
            <w:vAlign w:val="bottom"/>
            <w:gridSpan w:val="3"/>
          </w:tcPr>
          <w:p>
            <w:pPr>
              <w:spacing w:after="0"/>
              <w:rPr>
                <w:sz w:val="20"/>
                <w:szCs w:val="20"/>
                <w:color w:val="auto"/>
              </w:rPr>
            </w:pPr>
            <w:r>
              <w:rPr>
                <w:rFonts w:ascii="Arial" w:cs="Arial" w:eastAsia="Arial" w:hAnsi="Arial"/>
                <w:sz w:val="12"/>
                <w:szCs w:val="12"/>
                <w:color w:val="auto"/>
              </w:rPr>
              <w:t>The changes in Level 3 liabilities measured at fair value on a recurring basis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Measurements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Using 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Unobservable Inputs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7"/>
              </w:rPr>
              <w:t>Warrant Liability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March 31, 2013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Recognition of warrant liability upon issuance of Senior Secured Convertible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Promissory Note and warrant to Platinum on July 26, 2013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80" w:type="dxa"/>
            <w:vAlign w:val="bottom"/>
            <w:gridSpan w:val="2"/>
          </w:tcPr>
          <w:p>
            <w:pPr>
              <w:spacing w:after="0"/>
              <w:rPr>
                <w:sz w:val="20"/>
                <w:szCs w:val="20"/>
                <w:color w:val="auto"/>
              </w:rPr>
            </w:pPr>
            <w:r>
              <w:rPr>
                <w:rFonts w:ascii="Arial" w:cs="Arial" w:eastAsia="Arial" w:hAnsi="Arial"/>
                <w:sz w:val="12"/>
                <w:szCs w:val="12"/>
                <w:color w:val="auto"/>
              </w:rPr>
              <w:t>Mark to market gain included in net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(3,566,900)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tcPr>
          <w:p>
            <w:pPr>
              <w:spacing w:after="0"/>
              <w:rPr>
                <w:sz w:val="20"/>
                <w:szCs w:val="20"/>
                <w:color w:val="auto"/>
              </w:rPr>
            </w:pPr>
            <w:r>
              <w:rPr>
                <w:rFonts w:ascii="Arial" w:cs="Arial" w:eastAsia="Arial" w:hAnsi="Arial"/>
                <w:sz w:val="12"/>
                <w:szCs w:val="12"/>
                <w:color w:val="auto"/>
              </w:rPr>
              <w:t>Balance at March 31, 2014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Mark to market loss included in net loss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34,600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0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Balance at March 31, 2015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described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20" w:type="dxa"/>
            <w:vAlign w:val="bottom"/>
          </w:tcPr>
          <w:p>
            <w:pPr>
              <w:spacing w:after="0"/>
              <w:rPr>
                <w:sz w:val="20"/>
                <w:szCs w:val="20"/>
                <w:color w:val="auto"/>
              </w:rPr>
            </w:pPr>
            <w:r>
              <w:rPr>
                <w:rFonts w:ascii="Arial" w:cs="Arial" w:eastAsia="Arial" w:hAnsi="Arial"/>
                <w:sz w:val="12"/>
                <w:szCs w:val="12"/>
                <w:color w:val="auto"/>
                <w:w w:val="95"/>
              </w:rPr>
              <w:t>No assets or other liabilities were measured on a recurring basis at fair value at March 31, 2015 or 2014.</w:t>
            </w:r>
          </w:p>
        </w:tc>
        <w:tc>
          <w:tcPr>
            <w:tcW w:w="3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5320" w:type="dxa"/>
            <w:vAlign w:val="bottom"/>
          </w:tcPr>
          <w:p>
            <w:pPr>
              <w:spacing w:after="0"/>
              <w:rPr>
                <w:sz w:val="20"/>
                <w:szCs w:val="20"/>
                <w:color w:val="auto"/>
              </w:rPr>
            </w:pPr>
            <w:r>
              <w:rPr>
                <w:rFonts w:ascii="Arial" w:cs="Arial" w:eastAsia="Arial" w:hAnsi="Arial"/>
                <w:sz w:val="12"/>
                <w:szCs w:val="12"/>
                <w:b w:val="1"/>
                <w:bCs w:val="1"/>
                <w:color w:val="auto"/>
              </w:rPr>
              <w:t>5. Prepaid Expenses and Other Current Assets</w:t>
            </w:r>
          </w:p>
        </w:tc>
        <w:tc>
          <w:tcPr>
            <w:tcW w:w="3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5320" w:type="dxa"/>
            <w:vAlign w:val="bottom"/>
          </w:tcPr>
          <w:p>
            <w:pPr>
              <w:spacing w:after="0"/>
              <w:rPr>
                <w:sz w:val="20"/>
                <w:szCs w:val="20"/>
                <w:color w:val="auto"/>
              </w:rPr>
            </w:pPr>
            <w:r>
              <w:rPr>
                <w:rFonts w:ascii="Arial" w:cs="Arial" w:eastAsia="Arial" w:hAnsi="Arial"/>
                <w:sz w:val="12"/>
                <w:szCs w:val="12"/>
                <w:color w:val="auto"/>
              </w:rPr>
              <w:t>Prepaid expenses and other current assets consist of the following:</w:t>
            </w:r>
          </w:p>
        </w:tc>
        <w:tc>
          <w:tcPr>
            <w:tcW w:w="3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5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3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2015</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Insurance</w:t>
            </w:r>
          </w:p>
        </w:tc>
        <w:tc>
          <w:tcPr>
            <w:tcW w:w="4280" w:type="dxa"/>
            <w:vAlign w:val="bottom"/>
            <w:gridSpan w:val="2"/>
            <w:shd w:val="clear" w:color="auto" w:fill="CCEEFF"/>
          </w:tcPr>
          <w:p>
            <w:pPr>
              <w:jc w:val="right"/>
              <w:ind w:right="645"/>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27,300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21,800</w:t>
            </w:r>
          </w:p>
        </w:tc>
      </w:tr>
      <w:tr>
        <w:trPr>
          <w:trHeight w:val="144"/>
        </w:trPr>
        <w:tc>
          <w:tcPr>
            <w:tcW w:w="5320" w:type="dxa"/>
            <w:vAlign w:val="bottom"/>
          </w:tcPr>
          <w:p>
            <w:pPr>
              <w:ind w:left="20"/>
              <w:spacing w:after="0"/>
              <w:rPr>
                <w:sz w:val="20"/>
                <w:szCs w:val="20"/>
                <w:color w:val="auto"/>
              </w:rPr>
            </w:pPr>
            <w:r>
              <w:rPr>
                <w:rFonts w:ascii="Arial" w:cs="Arial" w:eastAsia="Arial" w:hAnsi="Arial"/>
                <w:sz w:val="12"/>
                <w:szCs w:val="12"/>
                <w:color w:val="auto"/>
              </w:rPr>
              <w:t>Legal fees</w:t>
            </w:r>
          </w:p>
        </w:tc>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r>
      <w:tr>
        <w:trPr>
          <w:trHeight w:val="144"/>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receivable on note receivable from sale</w:t>
            </w:r>
          </w:p>
        </w:tc>
        <w:tc>
          <w:tcPr>
            <w:tcW w:w="3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320" w:type="dxa"/>
            <w:vAlign w:val="bottom"/>
          </w:tcPr>
          <w:p>
            <w:pPr>
              <w:ind w:left="120"/>
              <w:spacing w:after="0"/>
              <w:rPr>
                <w:sz w:val="20"/>
                <w:szCs w:val="20"/>
                <w:color w:val="auto"/>
              </w:rPr>
            </w:pPr>
            <w:r>
              <w:rPr>
                <w:rFonts w:ascii="Arial" w:cs="Arial" w:eastAsia="Arial" w:hAnsi="Arial"/>
                <w:sz w:val="12"/>
                <w:szCs w:val="12"/>
                <w:color w:val="auto"/>
              </w:rPr>
              <w:t>of common stock</w:t>
            </w:r>
          </w:p>
        </w:tc>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2,800</w:t>
            </w:r>
          </w:p>
        </w:tc>
      </w:tr>
      <w:tr>
        <w:trPr>
          <w:trHeight w:val="144"/>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Technology license fees and all other</w:t>
            </w:r>
          </w:p>
        </w:tc>
        <w:tc>
          <w:tcPr>
            <w:tcW w:w="3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12,500</w:t>
            </w:r>
          </w:p>
        </w:tc>
      </w:tr>
      <w:tr>
        <w:trPr>
          <w:trHeight w:val="142"/>
        </w:trPr>
        <w:tc>
          <w:tcPr>
            <w:tcW w:w="5320" w:type="dxa"/>
            <w:vAlign w:val="bottom"/>
            <w:tcBorders>
              <w:top w:val="single" w:sz="8" w:color="CCEEFF"/>
            </w:tcBorders>
          </w:tcPr>
          <w:p>
            <w:pPr>
              <w:spacing w:after="0"/>
              <w:rPr>
                <w:sz w:val="12"/>
                <w:szCs w:val="12"/>
                <w:color w:val="auto"/>
              </w:rPr>
            </w:pPr>
          </w:p>
        </w:tc>
        <w:tc>
          <w:tcPr>
            <w:tcW w:w="35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532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45"/>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35,700</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40,500</w:t>
            </w:r>
          </w:p>
        </w:tc>
      </w:tr>
      <w:tr>
        <w:trPr>
          <w:trHeight w:val="381"/>
        </w:trPr>
        <w:tc>
          <w:tcPr>
            <w:tcW w:w="532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ind w:left="300"/>
              <w:spacing w:after="0"/>
              <w:rPr>
                <w:sz w:val="20"/>
                <w:szCs w:val="20"/>
                <w:color w:val="auto"/>
              </w:rPr>
            </w:pPr>
            <w:r>
              <w:rPr>
                <w:rFonts w:ascii="Arial" w:cs="Arial" w:eastAsia="Arial" w:hAnsi="Arial"/>
                <w:sz w:val="12"/>
                <w:szCs w:val="12"/>
                <w:color w:val="auto"/>
              </w:rPr>
              <w:t>F-17</w:t>
            </w: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5320" w:type="dxa"/>
            <w:vAlign w:val="bottom"/>
            <w:tcBorders>
              <w:bottom w:val="single" w:sz="8" w:color="808080"/>
            </w:tcBorders>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26"/>
        </w:trPr>
        <w:tc>
          <w:tcPr>
            <w:tcW w:w="3280" w:type="dxa"/>
            <w:vAlign w:val="bottom"/>
            <w:gridSpan w:val="2"/>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5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82"/>
        </w:trPr>
        <w:tc>
          <w:tcPr>
            <w:tcW w:w="76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5820" w:type="dxa"/>
            <w:vAlign w:val="bottom"/>
            <w:gridSpan w:val="2"/>
          </w:tcPr>
          <w:p>
            <w:pPr>
              <w:jc w:val="right"/>
              <w:ind w:right="2370"/>
              <w:spacing w:after="0"/>
              <w:rPr>
                <w:sz w:val="20"/>
                <w:szCs w:val="20"/>
                <w:color w:val="auto"/>
              </w:rPr>
            </w:pPr>
            <w:r>
              <w:rPr>
                <w:rFonts w:ascii="Arial" w:cs="Arial" w:eastAsia="Arial" w:hAnsi="Arial"/>
                <w:sz w:val="12"/>
                <w:szCs w:val="12"/>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7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820" w:type="dxa"/>
            <w:vAlign w:val="bottom"/>
            <w:gridSpan w:val="2"/>
          </w:tcPr>
          <w:p>
            <w:pPr>
              <w:jc w:val="right"/>
              <w:ind w:right="1750"/>
              <w:spacing w:after="0"/>
              <w:rPr>
                <w:sz w:val="20"/>
                <w:szCs w:val="20"/>
                <w:color w:val="auto"/>
              </w:rPr>
            </w:pPr>
            <w:r>
              <w:rPr>
                <w:rFonts w:ascii="Arial" w:cs="Arial" w:eastAsia="Arial" w:hAnsi="Arial"/>
                <w:sz w:val="12"/>
                <w:szCs w:val="12"/>
                <w:b w:val="1"/>
                <w:bCs w:val="1"/>
                <w:color w:val="auto"/>
              </w:rPr>
              <w:t>NOTES TO CONSOLIDATED FINANCIAL STATEMENTS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3280" w:type="dxa"/>
            <w:vAlign w:val="bottom"/>
            <w:gridSpan w:val="2"/>
          </w:tcPr>
          <w:p>
            <w:pPr>
              <w:spacing w:after="0"/>
              <w:rPr>
                <w:sz w:val="20"/>
                <w:szCs w:val="20"/>
                <w:color w:val="auto"/>
              </w:rPr>
            </w:pPr>
            <w:r>
              <w:rPr>
                <w:rFonts w:ascii="Arial" w:cs="Arial" w:eastAsia="Arial" w:hAnsi="Arial"/>
                <w:sz w:val="12"/>
                <w:szCs w:val="12"/>
                <w:b w:val="1"/>
                <w:bCs w:val="1"/>
                <w:color w:val="auto"/>
              </w:rPr>
              <w:t>6. Property and Equipment</w:t>
            </w:r>
          </w:p>
        </w:tc>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3280" w:type="dxa"/>
            <w:vAlign w:val="bottom"/>
            <w:gridSpan w:val="2"/>
          </w:tcPr>
          <w:p>
            <w:pPr>
              <w:spacing w:after="0"/>
              <w:rPr>
                <w:sz w:val="20"/>
                <w:szCs w:val="20"/>
                <w:color w:val="auto"/>
              </w:rPr>
            </w:pPr>
            <w:r>
              <w:rPr>
                <w:rFonts w:ascii="Arial" w:cs="Arial" w:eastAsia="Arial" w:hAnsi="Arial"/>
                <w:sz w:val="12"/>
                <w:szCs w:val="12"/>
                <w:color w:val="auto"/>
              </w:rPr>
              <w:t>Property and equipment consists of the following:</w:t>
            </w:r>
          </w:p>
        </w:tc>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Laboratory equipment</w:t>
            </w:r>
          </w:p>
        </w:tc>
        <w:tc>
          <w:tcPr>
            <w:tcW w:w="582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653,600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653,600</w:t>
            </w:r>
          </w:p>
        </w:tc>
      </w:tr>
      <w:tr>
        <w:trPr>
          <w:trHeight w:val="144"/>
        </w:trPr>
        <w:tc>
          <w:tcPr>
            <w:tcW w:w="3280" w:type="dxa"/>
            <w:vAlign w:val="bottom"/>
            <w:gridSpan w:val="2"/>
          </w:tcPr>
          <w:p>
            <w:pPr>
              <w:ind w:left="20"/>
              <w:spacing w:after="0"/>
              <w:rPr>
                <w:sz w:val="20"/>
                <w:szCs w:val="20"/>
                <w:color w:val="auto"/>
              </w:rPr>
            </w:pPr>
            <w:r>
              <w:rPr>
                <w:rFonts w:ascii="Arial" w:cs="Arial" w:eastAsia="Arial" w:hAnsi="Arial"/>
                <w:sz w:val="12"/>
                <w:szCs w:val="12"/>
                <w:color w:val="auto"/>
              </w:rPr>
              <w:t>Tenant improvements</w:t>
            </w:r>
          </w:p>
        </w:tc>
        <w:tc>
          <w:tcPr>
            <w:tcW w:w="5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26,900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26,900</w:t>
            </w:r>
          </w:p>
        </w:tc>
      </w:tr>
      <w:tr>
        <w:trPr>
          <w:trHeight w:val="14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Computers and network equipment</w:t>
            </w:r>
          </w:p>
        </w:tc>
        <w:tc>
          <w:tcPr>
            <w:tcW w:w="5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32,200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32,200</w:t>
            </w:r>
          </w:p>
        </w:tc>
      </w:tr>
      <w:tr>
        <w:trPr>
          <w:trHeight w:val="144"/>
        </w:trPr>
        <w:tc>
          <w:tcPr>
            <w:tcW w:w="3280" w:type="dxa"/>
            <w:vAlign w:val="bottom"/>
            <w:gridSpan w:val="2"/>
          </w:tcPr>
          <w:p>
            <w:pPr>
              <w:ind w:left="20"/>
              <w:spacing w:after="0"/>
              <w:rPr>
                <w:sz w:val="20"/>
                <w:szCs w:val="20"/>
                <w:color w:val="auto"/>
              </w:rPr>
            </w:pPr>
            <w:r>
              <w:rPr>
                <w:rFonts w:ascii="Arial" w:cs="Arial" w:eastAsia="Arial" w:hAnsi="Arial"/>
                <w:sz w:val="12"/>
                <w:szCs w:val="12"/>
                <w:color w:val="auto"/>
              </w:rPr>
              <w:t>Office furniture and equipment</w:t>
            </w:r>
          </w:p>
        </w:tc>
        <w:tc>
          <w:tcPr>
            <w:tcW w:w="5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69,500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69,500</w:t>
            </w:r>
          </w:p>
        </w:tc>
      </w:tr>
      <w:tr>
        <w:trPr>
          <w:trHeight w:val="20"/>
        </w:trPr>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7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5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782,200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782,200</w:t>
            </w:r>
          </w:p>
        </w:tc>
      </w:tr>
      <w:tr>
        <w:trPr>
          <w:trHeight w:val="144"/>
        </w:trPr>
        <w:tc>
          <w:tcPr>
            <w:tcW w:w="7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Accumulated depreciation and amortization</w:t>
            </w:r>
          </w:p>
        </w:tc>
        <w:tc>
          <w:tcPr>
            <w:tcW w:w="5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(665,100)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(605,900)</w:t>
            </w:r>
          </w:p>
        </w:tc>
      </w:tr>
      <w:tr>
        <w:trPr>
          <w:trHeight w:val="142"/>
        </w:trPr>
        <w:tc>
          <w:tcPr>
            <w:tcW w:w="760" w:type="dxa"/>
            <w:vAlign w:val="bottom"/>
            <w:tcBorders>
              <w:top w:val="single" w:sz="8" w:color="CCEEFF"/>
            </w:tcBorders>
          </w:tcPr>
          <w:p>
            <w:pPr>
              <w:spacing w:after="0"/>
              <w:rPr>
                <w:sz w:val="12"/>
                <w:szCs w:val="12"/>
                <w:color w:val="auto"/>
              </w:rPr>
            </w:pPr>
          </w:p>
        </w:tc>
        <w:tc>
          <w:tcPr>
            <w:tcW w:w="2520" w:type="dxa"/>
            <w:vAlign w:val="bottom"/>
            <w:tcBorders>
              <w:top w:val="single" w:sz="8" w:color="CCEEFF"/>
            </w:tcBorders>
          </w:tcPr>
          <w:p>
            <w:pPr>
              <w:spacing w:after="0"/>
              <w:rPr>
                <w:sz w:val="12"/>
                <w:szCs w:val="12"/>
                <w:color w:val="auto"/>
              </w:rPr>
            </w:pPr>
          </w:p>
        </w:tc>
        <w:tc>
          <w:tcPr>
            <w:tcW w:w="556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Property and equipment, net</w:t>
            </w:r>
          </w:p>
        </w:tc>
        <w:tc>
          <w:tcPr>
            <w:tcW w:w="55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117,100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176,300</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connection with the issuance of Senior Secured Convertible Promissory Notes to Platinum beginning in October 2012, we entered into a Security Agreement with Platinum under which the repayment of all amounts due under the terms of the various Senior Secured Convertible Promissory Notes is secured by all of our assets, including our tangible and intangible personal property, licenses, patent licenses, trademarks and trademark licenses (see Note 8, </w:t>
      </w:r>
      <w:r>
        <w:rPr>
          <w:rFonts w:ascii="Arial" w:cs="Arial" w:eastAsia="Arial" w:hAnsi="Arial"/>
          <w:sz w:val="12"/>
          <w:szCs w:val="12"/>
          <w:i w:val="1"/>
          <w:iCs w:val="1"/>
          <w:color w:val="auto"/>
        </w:rPr>
        <w:t>Convertible</w:t>
      </w:r>
      <w:r>
        <w:rPr>
          <w:rFonts w:ascii="Arial" w:cs="Arial" w:eastAsia="Arial" w:hAnsi="Arial"/>
          <w:sz w:val="12"/>
          <w:szCs w:val="12"/>
          <w:color w:val="auto"/>
        </w:rPr>
        <w:t xml:space="preserve"> </w:t>
      </w:r>
      <w:r>
        <w:rPr>
          <w:rFonts w:ascii="Arial" w:cs="Arial" w:eastAsia="Arial" w:hAnsi="Arial"/>
          <w:sz w:val="12"/>
          <w:szCs w:val="12"/>
          <w:i w:val="1"/>
          <w:iCs w:val="1"/>
          <w:color w:val="auto"/>
        </w:rPr>
        <w:t>Promissory Notes and Other Notes Payable</w:t>
      </w:r>
      <w:r>
        <w:rPr>
          <w:rFonts w:ascii="Arial" w:cs="Arial" w:eastAsia="Arial" w:hAnsi="Arial"/>
          <w:sz w:val="12"/>
          <w:szCs w:val="12"/>
          <w:color w:val="auto"/>
        </w:rPr>
        <w:t>). As described in Note 16,</w:t>
      </w:r>
      <w:r>
        <w:rPr>
          <w:rFonts w:ascii="Arial" w:cs="Arial" w:eastAsia="Arial" w:hAnsi="Arial"/>
          <w:sz w:val="12"/>
          <w:szCs w:val="12"/>
          <w:i w:val="1"/>
          <w:iCs w:val="1"/>
          <w:color w:val="auto"/>
        </w:rPr>
        <w:t xml:space="preserve"> Subsequent Events</w:t>
      </w:r>
      <w:r>
        <w:rPr>
          <w:rFonts w:ascii="Arial" w:cs="Arial" w:eastAsia="Arial" w:hAnsi="Arial"/>
          <w:sz w:val="12"/>
          <w:szCs w:val="12"/>
          <w:color w:val="auto"/>
        </w:rPr>
        <w:t>, during May 2015, we entered into an agreement with Platinum pursuant to which Platinum converted all of the Senior Secured Convertible</w:t>
      </w:r>
      <w:r>
        <w:rPr>
          <w:rFonts w:ascii="Arial" w:cs="Arial" w:eastAsia="Arial" w:hAnsi="Arial"/>
          <w:sz w:val="12"/>
          <w:szCs w:val="12"/>
          <w:i w:val="1"/>
          <w:iCs w:val="1"/>
          <w:color w:val="auto"/>
        </w:rPr>
        <w:t xml:space="preserve"> </w:t>
      </w:r>
      <w:r>
        <w:rPr>
          <w:rFonts w:ascii="Arial" w:cs="Arial" w:eastAsia="Arial" w:hAnsi="Arial"/>
          <w:sz w:val="12"/>
          <w:szCs w:val="12"/>
          <w:color w:val="auto"/>
        </w:rPr>
        <w:t>Promissory Notes it held into shares of our newly created Series B Preferred stock and terminated its security interests in our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40" w:type="dxa"/>
            <w:vAlign w:val="bottom"/>
          </w:tcPr>
          <w:p>
            <w:pPr>
              <w:spacing w:after="0"/>
              <w:rPr>
                <w:sz w:val="20"/>
                <w:szCs w:val="20"/>
                <w:color w:val="auto"/>
              </w:rPr>
            </w:pPr>
            <w:r>
              <w:rPr>
                <w:rFonts w:ascii="Arial" w:cs="Arial" w:eastAsia="Arial" w:hAnsi="Arial"/>
                <w:sz w:val="12"/>
                <w:szCs w:val="12"/>
                <w:b w:val="1"/>
                <w:bCs w:val="1"/>
                <w:color w:val="auto"/>
              </w:rPr>
              <w:t>7. Accrued Expenses</w:t>
            </w:r>
          </w:p>
        </w:tc>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3540" w:type="dxa"/>
            <w:vAlign w:val="bottom"/>
          </w:tcPr>
          <w:p>
            <w:pPr>
              <w:spacing w:after="0"/>
              <w:rPr>
                <w:sz w:val="20"/>
                <w:szCs w:val="20"/>
                <w:color w:val="auto"/>
              </w:rPr>
            </w:pPr>
            <w:r>
              <w:rPr>
                <w:rFonts w:ascii="Arial" w:cs="Arial" w:eastAsia="Arial" w:hAnsi="Arial"/>
                <w:sz w:val="12"/>
                <w:szCs w:val="12"/>
                <w:color w:val="auto"/>
              </w:rPr>
              <w:t>Accrued expenses consist of:</w:t>
            </w:r>
          </w:p>
        </w:tc>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35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5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professional services</w:t>
            </w:r>
          </w:p>
        </w:tc>
        <w:tc>
          <w:tcPr>
            <w:tcW w:w="556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213,800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135,700</w:t>
            </w:r>
          </w:p>
        </w:tc>
      </w:tr>
      <w:tr>
        <w:trPr>
          <w:trHeight w:val="144"/>
        </w:trPr>
        <w:tc>
          <w:tcPr>
            <w:tcW w:w="3540" w:type="dxa"/>
            <w:vAlign w:val="bottom"/>
          </w:tcPr>
          <w:p>
            <w:pPr>
              <w:ind w:left="20"/>
              <w:spacing w:after="0"/>
              <w:rPr>
                <w:sz w:val="20"/>
                <w:szCs w:val="20"/>
                <w:color w:val="auto"/>
              </w:rPr>
            </w:pPr>
            <w:r>
              <w:rPr>
                <w:rFonts w:ascii="Arial" w:cs="Arial" w:eastAsia="Arial" w:hAnsi="Arial"/>
                <w:sz w:val="12"/>
                <w:szCs w:val="12"/>
                <w:color w:val="auto"/>
              </w:rPr>
              <w:t>Accrued compensation</w:t>
            </w: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990,700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489,900</w:t>
            </w:r>
          </w:p>
        </w:tc>
      </w:tr>
      <w:tr>
        <w:trPr>
          <w:trHeight w:val="1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All other</w:t>
            </w:r>
          </w:p>
        </w:tc>
        <w:tc>
          <w:tcPr>
            <w:tcW w:w="53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4"/>
        </w:trPr>
        <w:tc>
          <w:tcPr>
            <w:tcW w:w="3540" w:type="dxa"/>
            <w:vAlign w:val="bottom"/>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1,206,500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625,600</w:t>
            </w:r>
          </w:p>
        </w:tc>
      </w:tr>
      <w:tr>
        <w:trPr>
          <w:trHeight w:val="543"/>
        </w:trPr>
        <w:tc>
          <w:tcPr>
            <w:tcW w:w="3540" w:type="dxa"/>
            <w:vAlign w:val="bottom"/>
            <w:tcBorders>
              <w:top w:val="single" w:sz="8" w:color="CCEEFF"/>
            </w:tcBorders>
          </w:tcPr>
          <w:p>
            <w:pPr>
              <w:spacing w:after="0"/>
              <w:rPr>
                <w:sz w:val="24"/>
                <w:szCs w:val="24"/>
                <w:color w:val="auto"/>
              </w:rPr>
            </w:pPr>
          </w:p>
        </w:tc>
        <w:tc>
          <w:tcPr>
            <w:tcW w:w="5300" w:type="dxa"/>
            <w:vAlign w:val="bottom"/>
            <w:tcBorders>
              <w:top w:val="single" w:sz="8" w:color="CCEEFF"/>
            </w:tcBorders>
          </w:tcPr>
          <w:p>
            <w:pPr>
              <w:ind w:left="2080"/>
              <w:spacing w:after="0"/>
              <w:rPr>
                <w:sz w:val="20"/>
                <w:szCs w:val="20"/>
                <w:color w:val="auto"/>
              </w:rPr>
            </w:pPr>
            <w:r>
              <w:rPr>
                <w:rFonts w:ascii="Arial" w:cs="Arial" w:eastAsia="Arial" w:hAnsi="Arial"/>
                <w:sz w:val="12"/>
                <w:szCs w:val="12"/>
                <w:color w:val="auto"/>
              </w:rPr>
              <w:t>F-18</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3540" w:type="dxa"/>
            <w:vAlign w:val="bottom"/>
            <w:tcBorders>
              <w:bottom w:val="single" w:sz="8" w:color="808080"/>
            </w:tcBorders>
          </w:tcPr>
          <w:p>
            <w:pPr>
              <w:spacing w:after="0"/>
              <w:rPr>
                <w:sz w:val="6"/>
                <w:szCs w:val="6"/>
                <w:color w:val="auto"/>
              </w:rPr>
            </w:pPr>
          </w:p>
        </w:tc>
        <w:tc>
          <w:tcPr>
            <w:tcW w:w="53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26"/>
        </w:trPr>
        <w:tc>
          <w:tcPr>
            <w:tcW w:w="3160" w:type="dxa"/>
            <w:vAlign w:val="bottom"/>
            <w:gridSpan w:val="3"/>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gridSpan w:val="5"/>
          </w:tcPr>
          <w:p>
            <w:pPr>
              <w:jc w:val="right"/>
              <w:ind w:right="720"/>
              <w:spacing w:after="0"/>
              <w:rPr>
                <w:sz w:val="20"/>
                <w:szCs w:val="20"/>
                <w:color w:val="auto"/>
              </w:rPr>
            </w:pPr>
            <w:r>
              <w:rPr>
                <w:rFonts w:ascii="Arial" w:cs="Arial" w:eastAsia="Arial" w:hAnsi="Arial"/>
                <w:sz w:val="12"/>
                <w:szCs w:val="12"/>
                <w:b w:val="1"/>
                <w:bCs w:val="1"/>
                <w:color w:val="auto"/>
                <w:w w:val="99"/>
              </w:rPr>
              <w:t>VISTAGEN THERAPEUTICS, INC.</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gridSpan w:val="8"/>
          </w:tcPr>
          <w:p>
            <w:pPr>
              <w:jc w:val="right"/>
              <w:ind w:right="100"/>
              <w:spacing w:after="0"/>
              <w:rPr>
                <w:sz w:val="20"/>
                <w:szCs w:val="20"/>
                <w:color w:val="auto"/>
              </w:rPr>
            </w:pPr>
            <w:r>
              <w:rPr>
                <w:rFonts w:ascii="Arial" w:cs="Arial" w:eastAsia="Arial" w:hAnsi="Arial"/>
                <w:sz w:val="12"/>
                <w:szCs w:val="12"/>
                <w:b w:val="1"/>
                <w:bCs w:val="1"/>
                <w:color w:val="auto"/>
              </w:rPr>
              <w:t>NOTES TO CONSOLIDATED FINANCIAL STATEMENTS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3160" w:type="dxa"/>
            <w:vAlign w:val="bottom"/>
            <w:gridSpan w:val="3"/>
          </w:tcPr>
          <w:p>
            <w:pPr>
              <w:spacing w:after="0"/>
              <w:rPr>
                <w:sz w:val="20"/>
                <w:szCs w:val="20"/>
                <w:color w:val="auto"/>
              </w:rPr>
            </w:pPr>
            <w:r>
              <w:rPr>
                <w:rFonts w:ascii="Arial" w:cs="Arial" w:eastAsia="Arial" w:hAnsi="Arial"/>
                <w:sz w:val="12"/>
                <w:szCs w:val="12"/>
                <w:b w:val="1"/>
                <w:bCs w:val="1"/>
                <w:color w:val="auto"/>
                <w:w w:val="94"/>
              </w:rPr>
              <w:t>8. Convertible Promissory Notes and Other Notes Payable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100" w:type="dxa"/>
            <w:vAlign w:val="bottom"/>
            <w:gridSpan w:val="10"/>
          </w:tcPr>
          <w:p>
            <w:pPr>
              <w:spacing w:after="0"/>
              <w:rPr>
                <w:sz w:val="20"/>
                <w:szCs w:val="20"/>
                <w:color w:val="auto"/>
              </w:rPr>
            </w:pPr>
            <w:r>
              <w:rPr>
                <w:rFonts w:ascii="Arial" w:cs="Arial" w:eastAsia="Arial" w:hAnsi="Arial"/>
                <w:sz w:val="12"/>
                <w:szCs w:val="12"/>
                <w:color w:val="auto"/>
                <w:w w:val="94"/>
              </w:rPr>
              <w:t>The following table summarizes the components of the Company’s convertible promissory notes and other notes payable: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March 31, 2015</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5"/>
              </w:rPr>
              <w:t>March 31, 2014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60" w:type="dxa"/>
            <w:vAlign w:val="bottom"/>
          </w:tcPr>
          <w:p>
            <w:pPr>
              <w:spacing w:after="0"/>
              <w:rPr>
                <w:sz w:val="11"/>
                <w:szCs w:val="11"/>
                <w:color w:val="auto"/>
              </w:rPr>
            </w:pPr>
          </w:p>
        </w:tc>
        <w:tc>
          <w:tcPr>
            <w:tcW w:w="1320" w:type="dxa"/>
            <w:vAlign w:val="bottom"/>
            <w:gridSpan w:val="2"/>
          </w:tcPr>
          <w:p>
            <w:pPr>
              <w:jc w:val="center"/>
              <w:ind w:right="280"/>
              <w:spacing w:after="0" w:line="133" w:lineRule="exact"/>
              <w:rPr>
                <w:sz w:val="20"/>
                <w:szCs w:val="20"/>
                <w:color w:val="auto"/>
              </w:rPr>
            </w:pPr>
            <w:r>
              <w:rPr>
                <w:rFonts w:ascii="Arial" w:cs="Arial" w:eastAsia="Arial" w:hAnsi="Arial"/>
                <w:sz w:val="12"/>
                <w:szCs w:val="12"/>
                <w:color w:val="auto"/>
                <w:w w:val="90"/>
              </w:rPr>
              <w:t>Accrued</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2"/>
                <w:szCs w:val="12"/>
                <w:color w:val="auto"/>
              </w:rPr>
              <w:t>Accrued</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Interest</w:t>
            </w:r>
          </w:p>
        </w:tc>
        <w:tc>
          <w:tcPr>
            <w:tcW w:w="26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0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2"/>
                <w:szCs w:val="12"/>
                <w:color w:val="auto"/>
              </w:rPr>
              <w:t>Interest</w:t>
            </w:r>
          </w:p>
        </w:tc>
        <w:tc>
          <w:tcPr>
            <w:tcW w:w="240" w:type="dxa"/>
            <w:vAlign w:val="bottom"/>
          </w:tcPr>
          <w:p>
            <w:pPr>
              <w:spacing w:after="0"/>
              <w:rPr>
                <w:sz w:val="13"/>
                <w:szCs w:val="13"/>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160" w:type="dxa"/>
            <w:vAlign w:val="bottom"/>
            <w:gridSpan w:val="3"/>
          </w:tcPr>
          <w:p>
            <w:pPr>
              <w:spacing w:after="0" w:line="133" w:lineRule="exact"/>
              <w:rPr>
                <w:sz w:val="20"/>
                <w:szCs w:val="20"/>
                <w:color w:val="auto"/>
              </w:rPr>
            </w:pPr>
            <w:r>
              <w:rPr>
                <w:rFonts w:ascii="Arial" w:cs="Arial" w:eastAsia="Arial" w:hAnsi="Arial"/>
                <w:sz w:val="12"/>
                <w:szCs w:val="12"/>
                <w:b w:val="1"/>
                <w:bCs w:val="1"/>
                <w:i w:val="1"/>
                <w:iCs w:val="1"/>
                <w:color w:val="auto"/>
                <w:w w:val="90"/>
              </w:rPr>
              <w:t>Senior Secured 10% Convertible Promissory Notes issued to</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Platinum: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Exchange Note issued on October 11, 2012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1,272,600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360,200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1,632,800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1,272,600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203,400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October 11, 2012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141,500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641,500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79,900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579,900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October 19, 2012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140,100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640,100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78,600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578,600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February 22,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59,100</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309,100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29,400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279,400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March 12, 2013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922,600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84,100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3,272,600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873,500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4,146,100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3,272,600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475,400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3,748,000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Convertible promissory note issued on July 26,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46,200</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296,200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17,700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267,700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Total Senior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919,700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4,442,300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Aggregate 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(2,085,900)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(2,085,900)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Senior notes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3,522,600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919,700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4,442,300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1,436,700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1,929,800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(3,272,600)</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(873,500)</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(4,146,100)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Senior notes - 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46,200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296,200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1,436,700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1,929,800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2013 Unit Notes, due 7/31/14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1,007,500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35,700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w w:val="95"/>
              </w:rPr>
              <w:t>2014 Unit Notes, including amended notes, due 3/31/15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4,066,900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270,700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4,337,600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50,200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4,066,900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4,337,600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1,057,500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35,900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1,093,400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Note discounts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(180,000)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(180,000)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(697,400)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(697,400)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Net convertible notes (all current)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3,886,900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270,700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4,157,600</w:t>
            </w: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360,100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35,900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396,000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bottom w:val="single" w:sz="8" w:color="auto"/>
            </w:tcBorders>
          </w:tcPr>
          <w:p>
            <w:pPr>
              <w:spacing w:after="0"/>
              <w:rPr>
                <w:sz w:val="10"/>
                <w:szCs w:val="10"/>
                <w:color w:val="auto"/>
              </w:rPr>
            </w:pPr>
          </w:p>
        </w:tc>
        <w:tc>
          <w:tcPr>
            <w:tcW w:w="2400" w:type="dxa"/>
            <w:vAlign w:val="bottom"/>
            <w:tcBorders>
              <w:top w:val="single" w:sz="8" w:color="CCEEFF"/>
              <w:bottom w:val="single" w:sz="8" w:color="auto"/>
            </w:tcBorders>
          </w:tcPr>
          <w:p>
            <w:pPr>
              <w:spacing w:after="0"/>
              <w:rPr>
                <w:sz w:val="10"/>
                <w:szCs w:val="10"/>
                <w:color w:val="auto"/>
              </w:rPr>
            </w:pPr>
          </w:p>
        </w:tc>
        <w:tc>
          <w:tcPr>
            <w:tcW w:w="180" w:type="dxa"/>
            <w:vAlign w:val="bottom"/>
            <w:tcBorders>
              <w:top w:val="single" w:sz="8" w:color="CCEEFF"/>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CCEEFF"/>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10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CEEFF"/>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CCEEFF"/>
              <w:bottom w:val="single" w:sz="8" w:color="auto"/>
            </w:tcBorders>
          </w:tcPr>
          <w:p>
            <w:pPr>
              <w:spacing w:after="0"/>
              <w:rPr>
                <w:sz w:val="10"/>
                <w:szCs w:val="10"/>
                <w:color w:val="auto"/>
              </w:rPr>
            </w:pPr>
          </w:p>
        </w:tc>
        <w:tc>
          <w:tcPr>
            <w:tcW w:w="100" w:type="dxa"/>
            <w:vAlign w:val="bottom"/>
            <w:tcBorders>
              <w:top w:val="single" w:sz="8" w:color="CCEEFF"/>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CCEEFF"/>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CEEFF"/>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CCEEFF"/>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Notes Payable to unrelated parties: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7.5% Notes payable to service providers for</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accounts payable converted to notes payable: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Burr, Pilger, Mayer</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90,400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13,100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103,500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90,400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97,200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Desjardins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156,300</w:t>
            </w:r>
          </w:p>
        </w:tc>
        <w:tc>
          <w:tcPr>
            <w:tcW w:w="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24,100</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180,400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178,600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14,100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192,700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McCarthy Tetrault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319,700</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46,000</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365,700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360,900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24,800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385,700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August 2012 Morrison &amp; Foerster Note A</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918,200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193,200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1,111,400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918,200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87,900</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1,006,100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line="144" w:lineRule="exact"/>
              <w:rPr>
                <w:sz w:val="20"/>
                <w:szCs w:val="20"/>
                <w:color w:val="auto"/>
              </w:rPr>
            </w:pPr>
            <w:r>
              <w:rPr>
                <w:rFonts w:ascii="Arial" w:cs="Arial" w:eastAsia="Arial" w:hAnsi="Arial"/>
                <w:sz w:val="12"/>
                <w:szCs w:val="12"/>
                <w:color w:val="auto"/>
              </w:rPr>
              <w:t xml:space="preserve">August 2012 Morrison &amp; Foerster Note B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1,379,400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333,100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1,712,500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1,379,400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195,200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1,574,600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line="144" w:lineRule="exact"/>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perscript"/>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549,500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101,800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651,300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549,500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60,600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610,100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3,413,500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711,300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4,124,800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3,477,000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3,866,400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640"/>
              <w:spacing w:after="0"/>
              <w:rPr>
                <w:sz w:val="20"/>
                <w:szCs w:val="20"/>
                <w:color w:val="auto"/>
              </w:rPr>
            </w:pPr>
            <w:r>
              <w:rPr>
                <w:rFonts w:ascii="Arial" w:cs="Arial" w:eastAsia="Arial" w:hAnsi="Arial"/>
                <w:sz w:val="12"/>
                <w:szCs w:val="12"/>
                <w:color w:val="auto"/>
              </w:rPr>
              <w:t>Note discount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(474,500)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(474,500)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(848,100)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(848,100)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2,939,000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711,300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3,650,300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2,628,900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3,018,300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(3,413,500)</w:t>
            </w:r>
          </w:p>
        </w:tc>
        <w:tc>
          <w:tcPr>
            <w:tcW w:w="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(711,300)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(4,124,800)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(1,130,100)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(133,600)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(1,263,700)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(474,500)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(474,500)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1,498,800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1,754,600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5.75% and 10.25% Notes payable to insurance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premium financing company (current)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5,800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5,800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4,900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10% Notes payable to vendors for accounts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payable converted to notes payable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378,300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51,500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429,800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119,400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34,700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154,100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(378,300)</w:t>
            </w:r>
          </w:p>
        </w:tc>
        <w:tc>
          <w:tcPr>
            <w:tcW w:w="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(51,500)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(429,800)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(119,400)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(34,700)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(154,100)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non-current portion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7.0% Note payable (August 2012)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58,800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(23,200)</w:t>
            </w:r>
          </w:p>
        </w:tc>
        <w:tc>
          <w:tcPr>
            <w:tcW w:w="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(7,900)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(31,100)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(15,800)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(3,800)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(19,600)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7.0% Notes payable - non-current portion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notes payable to unrelated parties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3,856,400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4,627,100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3,660,100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427,900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4,088,000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(3,820,800)</w:t>
            </w:r>
          </w:p>
        </w:tc>
        <w:tc>
          <w:tcPr>
            <w:tcW w:w="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(770,700)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(4,591,500)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(1,270,200)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(172,100)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(1,442,300)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non-current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2,389,900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2,645,700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discount (current at March 31, 2015)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(848,100)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(848,100)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Net non-current portion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1,541,800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1,797,600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Borders>
              <w:top w:val="single" w:sz="8" w:color="CCEEFF"/>
              <w:bottom w:val="single" w:sz="8" w:color="auto"/>
            </w:tcBorders>
          </w:tcPr>
          <w:p>
            <w:pPr>
              <w:spacing w:after="0"/>
              <w:rPr>
                <w:sz w:val="12"/>
                <w:szCs w:val="12"/>
                <w:color w:val="auto"/>
              </w:rPr>
            </w:pPr>
          </w:p>
        </w:tc>
        <w:tc>
          <w:tcPr>
            <w:tcW w:w="2400" w:type="dxa"/>
            <w:vAlign w:val="bottom"/>
            <w:tcBorders>
              <w:top w:val="single" w:sz="8" w:color="CCEEFF"/>
              <w:bottom w:val="single" w:sz="8" w:color="auto"/>
            </w:tcBorders>
          </w:tcPr>
          <w:p>
            <w:pPr>
              <w:spacing w:after="0"/>
              <w:rPr>
                <w:sz w:val="12"/>
                <w:szCs w:val="12"/>
                <w:color w:val="auto"/>
              </w:rPr>
            </w:pPr>
          </w:p>
        </w:tc>
        <w:tc>
          <w:tcPr>
            <w:tcW w:w="180" w:type="dxa"/>
            <w:vAlign w:val="bottom"/>
            <w:tcBorders>
              <w:top w:val="single" w:sz="8" w:color="CCEEFF"/>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CCEEFF"/>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CEEFF"/>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CEEFF"/>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Notes payable to related parties: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October 2012 7.5% Note to Cato Holding Co.</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293,600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55,900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349,500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293,600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30,800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324,400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line="144" w:lineRule="exact"/>
              <w:rPr>
                <w:sz w:val="20"/>
                <w:szCs w:val="20"/>
                <w:color w:val="auto"/>
              </w:rPr>
            </w:pPr>
            <w:r>
              <w:rPr>
                <w:rFonts w:ascii="Arial" w:cs="Arial" w:eastAsia="Arial" w:hAnsi="Arial"/>
                <w:sz w:val="12"/>
                <w:szCs w:val="12"/>
                <w:color w:val="auto"/>
              </w:rPr>
              <w:t xml:space="preserve">October 2012 7.5% Note to Cato Research Ltd. </w:t>
            </w:r>
            <w:r>
              <w:rPr>
                <w:rFonts w:ascii="Arial" w:cs="Arial" w:eastAsia="Arial" w:hAnsi="Arial"/>
                <w:sz w:val="16"/>
                <w:szCs w:val="16"/>
                <w:color w:val="auto"/>
                <w:vertAlign w:val="superscript"/>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1,009,000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204,800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1,213,800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1,009,000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117,300</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1,126,300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1,302,600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1,302,600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Note discount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(54,500)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(54,500)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(103,200)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(103,200)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Total notes payable to 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1,248,100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1,508,800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1,199,400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1,347,500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(1,248,100)</w:t>
            </w:r>
          </w:p>
        </w:tc>
        <w:tc>
          <w:tcPr>
            <w:tcW w:w="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(260,700)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(1,508,800)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(259,600)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(30,800)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(290,400)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939,800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117,300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40" w:type="dxa"/>
            <w:vAlign w:val="bottom"/>
            <w:tcBorders>
              <w:top w:val="single" w:sz="8" w:color="CCEEFF"/>
            </w:tcBorders>
            <w:gridSpan w:val="2"/>
          </w:tcPr>
          <w:p>
            <w:pPr>
              <w:ind w:left="400"/>
              <w:spacing w:after="0" w:line="118" w:lineRule="exact"/>
              <w:rPr>
                <w:sz w:val="20"/>
                <w:szCs w:val="20"/>
                <w:color w:val="auto"/>
              </w:rPr>
            </w:pPr>
            <w:r>
              <w:rPr>
                <w:rFonts w:ascii="Arial" w:cs="Arial" w:eastAsia="Arial" w:hAnsi="Arial"/>
                <w:sz w:val="12"/>
                <w:szCs w:val="12"/>
                <w:color w:val="auto"/>
              </w:rPr>
              <w:t>____________</w:t>
            </w: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bl>
    <w:p>
      <w:pPr>
        <w:ind w:left="560" w:hanging="136"/>
        <w:spacing w:after="0" w:line="191" w:lineRule="auto"/>
        <w:tabs>
          <w:tab w:leader="none" w:pos="560" w:val="left"/>
        </w:tabs>
        <w:numPr>
          <w:ilvl w:val="0"/>
          <w:numId w:val="78"/>
        </w:numPr>
        <w:rPr>
          <w:rFonts w:ascii="Arial" w:cs="Arial" w:eastAsia="Arial" w:hAnsi="Arial"/>
          <w:sz w:val="16"/>
          <w:szCs w:val="16"/>
          <w:color w:val="auto"/>
          <w:vertAlign w:val="superscript"/>
        </w:rPr>
      </w:pPr>
      <w:r>
        <w:rPr>
          <w:rFonts w:ascii="Arial" w:cs="Arial" w:eastAsia="Arial" w:hAnsi="Arial"/>
          <w:sz w:val="11"/>
          <w:szCs w:val="11"/>
          <w:color w:val="auto"/>
        </w:rPr>
        <w:t>Note and interest payable solely in restricted shares of the Company's common stock.</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43" w:name="page144"/>
    <w:bookmarkEnd w:id="14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Significant changes in our convertible promissory notes and other promissory notes during the fiscal years ended March 31, 2015 and 2014 are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2014 Unit Private Placement</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As described more completely in the section entitled </w:t>
      </w:r>
      <w:r>
        <w:rPr>
          <w:rFonts w:ascii="Arial" w:cs="Arial" w:eastAsia="Arial" w:hAnsi="Arial"/>
          <w:sz w:val="11"/>
          <w:szCs w:val="11"/>
          <w:i w:val="1"/>
          <w:iCs w:val="1"/>
          <w:color w:val="auto"/>
        </w:rPr>
        <w:t>2014 Unit Private Placement</w:t>
      </w:r>
      <w:r>
        <w:rPr>
          <w:rFonts w:ascii="Arial" w:cs="Arial" w:eastAsia="Arial" w:hAnsi="Arial"/>
          <w:sz w:val="11"/>
          <w:szCs w:val="11"/>
          <w:color w:val="auto"/>
        </w:rPr>
        <w:t xml:space="preserve"> in Note 9,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between late March 2014 and March 31, 2015, we issued to accredited investors 10% convertible notes (the </w:t>
      </w:r>
      <w:r>
        <w:rPr>
          <w:rFonts w:ascii="Arial" w:cs="Arial" w:eastAsia="Arial" w:hAnsi="Arial"/>
          <w:sz w:val="11"/>
          <w:szCs w:val="11"/>
          <w:i w:val="1"/>
          <w:iCs w:val="1"/>
          <w:color w:val="auto"/>
        </w:rPr>
        <w:t>2014Unit Notes</w:t>
      </w:r>
      <w:r>
        <w:rPr>
          <w:rFonts w:ascii="Arial" w:cs="Arial" w:eastAsia="Arial" w:hAnsi="Arial"/>
          <w:sz w:val="11"/>
          <w:szCs w:val="11"/>
          <w:color w:val="auto"/>
        </w:rPr>
        <w:t xml:space="preserve">) in the aggregate face amount of $3,113,500, including an aggregate face amount of $1,250,000 of such notes issued to Platinum and 2014 Unit Notes in the aggregate principal amount of $50,000 issued prior to March 31, 2014, in connection with our private placement offering of Units. (See Note 16,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notes issued in connection with the 2014 Unit Private Placement after March 31, 2015.) The 2014 Unit Notes mature on March 31, 2015 (</w:t>
      </w:r>
      <w:r>
        <w:rPr>
          <w:rFonts w:ascii="Arial" w:cs="Arial" w:eastAsia="Arial" w:hAnsi="Arial"/>
          <w:sz w:val="11"/>
          <w:szCs w:val="11"/>
          <w:i w:val="1"/>
          <w:iCs w:val="1"/>
          <w:color w:val="auto"/>
        </w:rPr>
        <w:t>Maturity</w:t>
      </w:r>
      <w:r>
        <w:rPr>
          <w:rFonts w:ascii="Arial" w:cs="Arial" w:eastAsia="Arial" w:hAnsi="Arial"/>
          <w:sz w:val="11"/>
          <w:szCs w:val="11"/>
          <w:color w:val="auto"/>
        </w:rPr>
        <w:t xml:space="preserve">) and the outstanding principal of the 2014 Unit Notes and their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xml:space="preserve">), the Outstanding Balance of the 2014 Unit Notes will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 Under certain circumstances, the holders of the 2014 Unit Notes may request payment in cash in lieu of automatic conversion into the securities of the Qualified Financing. See Note 16, </w:t>
      </w:r>
      <w:r>
        <w:rPr>
          <w:rFonts w:ascii="Arial" w:cs="Arial" w:eastAsia="Arial" w:hAnsi="Arial"/>
          <w:sz w:val="11"/>
          <w:szCs w:val="11"/>
          <w:i w:val="1"/>
          <w:iCs w:val="1"/>
          <w:color w:val="auto"/>
        </w:rPr>
        <w:t>Subsequent Events</w:t>
      </w:r>
      <w:r>
        <w:rPr>
          <w:rFonts w:ascii="Arial" w:cs="Arial" w:eastAsia="Arial" w:hAnsi="Arial"/>
          <w:sz w:val="11"/>
          <w:szCs w:val="11"/>
          <w:color w:val="auto"/>
        </w:rPr>
        <w:t>, regarding the conversion of the Outstanding Balance of all of the 2014 Unit Notes pursuant to a private placement financing in May 2015.</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such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Because the discount on a 2014 Unit Note may be as great as 99% of its initial face value, and because we must amortize such discount over the period from issuance to maturity, which has generally been less than one year, or in the case of such notes issued after December 31, 2014, less than one calendar quarter, the calculated effective interest rate may be very high. Based on the amounts of their respective discounts and the term between issuance and maturity, the effective interest rates attributable to the 2014 Unit Notes range from approximately 38% to over 10,000%, with the weighted average effective interest rate in excess of 3,000%. During November 2014, we repaid the $10,000 face amount of a 2014 Unit Note issued in October 2014.</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July and August 2012, we issued to Platinum senior secured convertible promissory notes in the aggregate principal amount of $1,250,000. Each note accrued interest at the rate of 10% per annum and was due and payable on July 2, 2015. The notes were each mandatorily convertible into securities that we might have issued in an equity, equity-based, or debt financing, or series of financings, subsequent to the issuance of the notes resulting in gross proceeds to us of at least $3,000,000, excluding any additional investment by Platinum.</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4" w:name="page145"/>
    <w:bookmarkEnd w:id="14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On October 11, 2012, we entered into a Note Exchange and Purchase Agreement (</w:t>
      </w:r>
      <w:r>
        <w:rPr>
          <w:rFonts w:ascii="Arial" w:cs="Arial" w:eastAsia="Arial" w:hAnsi="Arial"/>
          <w:sz w:val="12"/>
          <w:szCs w:val="12"/>
          <w:i w:val="1"/>
          <w:iCs w:val="1"/>
          <w:color w:val="auto"/>
        </w:rPr>
        <w:t>NEPA Agreement</w:t>
      </w:r>
      <w:r>
        <w:rPr>
          <w:rFonts w:ascii="Arial" w:cs="Arial" w:eastAsia="Arial" w:hAnsi="Arial"/>
          <w:sz w:val="12"/>
          <w:szCs w:val="12"/>
          <w:color w:val="auto"/>
        </w:rPr>
        <w:t xml:space="preserve">) with Platinum in which the senior secured notes issued in July 2012 and August 2012 and the related accrued interest, were consolidated into and exchanged for a single senior secured convertible note in the amount of $1,272,577 (the </w:t>
      </w:r>
      <w:r>
        <w:rPr>
          <w:rFonts w:ascii="Arial" w:cs="Arial" w:eastAsia="Arial" w:hAnsi="Arial"/>
          <w:sz w:val="12"/>
          <w:szCs w:val="12"/>
          <w:i w:val="1"/>
          <w:iCs w:val="1"/>
          <w:color w:val="auto"/>
        </w:rPr>
        <w:t>Exchange Note</w:t>
      </w:r>
      <w:r>
        <w:rPr>
          <w:rFonts w:ascii="Arial" w:cs="Arial" w:eastAsia="Arial" w:hAnsi="Arial"/>
          <w:sz w:val="12"/>
          <w:szCs w:val="12"/>
          <w:color w:val="auto"/>
        </w:rPr>
        <w:t xml:space="preserve">) and Platinum agreed to purchase four additional 10% senior secured convertible promissory notes in the aggregate principal amount of $2.0 million (the </w:t>
      </w:r>
      <w:r>
        <w:rPr>
          <w:rFonts w:ascii="Arial" w:cs="Arial" w:eastAsia="Arial" w:hAnsi="Arial"/>
          <w:sz w:val="12"/>
          <w:szCs w:val="12"/>
          <w:i w:val="1"/>
          <w:iCs w:val="1"/>
          <w:color w:val="auto"/>
        </w:rPr>
        <w:t>Investment Notes</w:t>
      </w:r>
      <w:r>
        <w:rPr>
          <w:rFonts w:ascii="Arial" w:cs="Arial" w:eastAsia="Arial" w:hAnsi="Arial"/>
          <w:sz w:val="12"/>
          <w:szCs w:val="12"/>
          <w:color w:val="auto"/>
        </w:rPr>
        <w:t>), issuable over four separate $500,000 tranches between October 2012 and December 2012. The NEPA Agreement was subsequently amended as to timing of subsequent note purchases, but between October 2012 and March 2013, we issued and Platinum purchased an aggregate of $2.0 million of Investment Notes. We also entered into a Security Agreement with Platinum to secure repayment of all obligations due and payable under the terms of the Exchange Note and the Investment Notes.</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The Exchange Note and each Investment Note (together, </w:t>
      </w:r>
      <w:r>
        <w:rPr>
          <w:rFonts w:ascii="Arial" w:cs="Arial" w:eastAsia="Arial" w:hAnsi="Arial"/>
          <w:sz w:val="11"/>
          <w:szCs w:val="11"/>
          <w:i w:val="1"/>
          <w:iCs w:val="1"/>
          <w:color w:val="auto"/>
        </w:rPr>
        <w:t>SeniorNotes</w:t>
      </w:r>
      <w:r>
        <w:rPr>
          <w:rFonts w:ascii="Arial" w:cs="Arial" w:eastAsia="Arial" w:hAnsi="Arial"/>
          <w:sz w:val="11"/>
          <w:szCs w:val="11"/>
          <w:color w:val="auto"/>
        </w:rPr>
        <w:t xml:space="preserve">) accrue interest at a rate of 10% per annum and, subject to certain limitations and exceptions set forth in the Senior Notes, unless voluntarily converted earlier by Platinum, will be due and payable in restricted shares of our common stock on October 11, 2015, or three years following the date of issuance, as determined by the terms of the Investment Notes. Subject to certain terms and conditions, at maturity, all principal and accrued interest under the Senior Notes will be repaid through our issuance of restricted shares of our common stock to Platinum. Subject to certain potential adjustments set forth in the Senior Notes, the number of restricted shares of common stock issuable as payment in full for each of the Notes at maturity will be calculated by dividing the outstanding Senior Note balance plus accrued interest by $10.00 per share. Prior to maturity, the outstanding principal and any accrued interest on the Exchange Note and each of the Investment Notes is convertible, in whole or in part, at Platinum’s option into shares of our common stock at a conversion price of $10.00 per share, subject to certain adjustments. Refer to Note 16,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the conversion of the Senior Notes and accrued interest into shares of Series B Preferred stock during May 2015.</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As additional consideration for the purchase of the Investment Notes, we issued to Platinum warrants to purchase an aggregate of 100,000 shares of our common stock, issuable in separate tranches together with each Investment Note. We issued four warrants to Platinum between October 2012 and March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to purchase an aggregate of 100,000 shares of our restricted common stock. Additionally, we issued Platinum a warrant to purchase 63,629 shares of our common stock in connection with the issuance of the Exchange Note (</w:t>
      </w:r>
      <w:r>
        <w:rPr>
          <w:rFonts w:ascii="Arial" w:cs="Arial" w:eastAsia="Arial" w:hAnsi="Arial"/>
          <w:sz w:val="12"/>
          <w:szCs w:val="12"/>
          <w:i w:val="1"/>
          <w:iCs w:val="1"/>
          <w:color w:val="auto"/>
        </w:rPr>
        <w:t>Exchange Warrant</w:t>
      </w:r>
      <w:r>
        <w:rPr>
          <w:rFonts w:ascii="Arial" w:cs="Arial" w:eastAsia="Arial" w:hAnsi="Arial"/>
          <w:sz w:val="12"/>
          <w:szCs w:val="12"/>
          <w:color w:val="auto"/>
        </w:rPr>
        <w:t>). At issuance, the Exchange Warrant and each Investment Warrant had a term of five-years and an exercise price of $30.00 per share, subject to certain adjustments. Effective on May 24, 2013, we entered into an Amendment and Waiver agreement with Platinum pursuant to which we agreed to reduce the exercise price of the Exchange Warrant and the Investment Warrants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our securities, including issuances pursuant to the prospective Autilion Financing and other private placement transactions, at a price of less than $30.00 per share.</w:t>
      </w:r>
    </w:p>
    <w:p>
      <w:pPr>
        <w:spacing w:after="0" w:line="14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On July 26, 2013, we issued an additional senior secured convertible promissory note in the principal amount of $250,000 to Platinum (</w:t>
      </w:r>
      <w:r>
        <w:rPr>
          <w:rFonts w:ascii="Arial" w:cs="Arial" w:eastAsia="Arial" w:hAnsi="Arial"/>
          <w:sz w:val="11"/>
          <w:szCs w:val="11"/>
          <w:i w:val="1"/>
          <w:iCs w:val="1"/>
          <w:color w:val="auto"/>
        </w:rPr>
        <w:t>July 2013 Note</w:t>
      </w:r>
      <w:r>
        <w:rPr>
          <w:rFonts w:ascii="Arial" w:cs="Arial" w:eastAsia="Arial" w:hAnsi="Arial"/>
          <w:sz w:val="11"/>
          <w:szCs w:val="11"/>
          <w:color w:val="auto"/>
        </w:rPr>
        <w:t>). The July 2013 Note matures on July 26, 2016 and is otherwise in the same form as the earlier Investment Notes, bearing interest at 10% per annum and being payable in restricted shares of our common stock and convertible, in whole or in part, at Platinum’s option into shares of our restricted common stock at a conversion price of $10.00 per share, subject to certain adjustments. The conversion feature in the July 2013 Note constituted a beneficial conversion feature at the date of issuance. As additional consideration for the purchase of the July 2013 Note, we also issued to Platinum a five-year warrant to purchase 12,500 shares of our restricted common stock at an exercise price of $10.00 per share (</w:t>
      </w:r>
      <w:r>
        <w:rPr>
          <w:rFonts w:ascii="Arial" w:cs="Arial" w:eastAsia="Arial" w:hAnsi="Arial"/>
          <w:sz w:val="11"/>
          <w:szCs w:val="11"/>
          <w:i w:val="1"/>
          <w:iCs w:val="1"/>
          <w:color w:val="auto"/>
        </w:rPr>
        <w:t>July 2013 Warrant</w:t>
      </w:r>
      <w:r>
        <w:rPr>
          <w:rFonts w:ascii="Arial" w:cs="Arial" w:eastAsia="Arial" w:hAnsi="Arial"/>
          <w:sz w:val="11"/>
          <w:szCs w:val="11"/>
          <w:color w:val="auto"/>
        </w:rPr>
        <w:t>). The fair value of the July 2013 Warrant was estimated to be $11.74 per share, or $146,800, at its issuance date using a Monte Carlo simulation model and the following assumptions: market price of common stock: $15.00 per share; exercise price: $10.00 per share; risk-free interest rate: 1.36%; volatility: 96.9%; term: 5.0 years; and dividend rate 0.0%. We recorded the fair value of the July 2013 Warrant at the date of issuance as a liability and as a corresponding discount to the July 2013 Note.</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conversion option embedded in the July 2013 Note resulted in a beneficial conversion feature having intrinsic value of $100,700 at issuance. We recorded the issuance-date intrinsic value of the beneficial conversion feature as an additional component of the discount attributable to the July 2013 Note. The aggregate discount attributable to the July 2013 Note was $247,500, resulting in an issuance date carrying value of $2,500. As with the Investment Notes, we amortize the aggregate discount attributable to each note using the effective interest method over the respective term of each note. Considering the amount of the discount and the term of the note, the effective interest rate of the July 2013 Note was determined to be 159%.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5" w:name="page146"/>
    <w:bookmarkEnd w:id="14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Subject to limited exceptions, the Exchange Warrant, each of the Investment Warrants and the July 2013 Warrant include certain exercise price reset and anti-dilution protection features in the event that we issue other securities during the five-year term of the warrants at a price less than $10.00 per share, as amended for the Exchange Warrant and the Investment Warrants. As a result of these provisions, the Exchange Warrant, the Investment Warrants and the July 2013 Warrant do not meet the criteria set forth in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to be treated as equity instruments. Consequently, we initially recorded the Exchange Warrant, each of the Investment Warrants and the July 2013 Warrant as liabilities at their fair value and adjust them at the end of each reporting period. (See Note 4, </w:t>
      </w:r>
      <w:r>
        <w:rPr>
          <w:rFonts w:ascii="Arial" w:cs="Arial" w:eastAsia="Arial" w:hAnsi="Arial"/>
          <w:sz w:val="12"/>
          <w:szCs w:val="12"/>
          <w:i w:val="1"/>
          <w:iCs w:val="1"/>
          <w:color w:val="auto"/>
        </w:rPr>
        <w:t>Fair Value Measurements</w:t>
      </w:r>
      <w:r>
        <w:rPr>
          <w:rFonts w:ascii="Arial" w:cs="Arial" w:eastAsia="Arial" w:hAnsi="Arial"/>
          <w:sz w:val="12"/>
          <w:szCs w:val="12"/>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Conversion and Warrant Amendment Agreement with Platinum</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On July 18, 2014, we entered into an Amended and Restated Note Conversion Agreement and Warrant Amendment with Platinum (</w:t>
      </w:r>
      <w:r>
        <w:rPr>
          <w:rFonts w:ascii="Arial" w:cs="Arial" w:eastAsia="Arial" w:hAnsi="Arial"/>
          <w:sz w:val="11"/>
          <w:szCs w:val="11"/>
          <w:i w:val="1"/>
          <w:iCs w:val="1"/>
          <w:color w:val="auto"/>
        </w:rPr>
        <w:t>Amendment</w:t>
      </w:r>
      <w:r>
        <w:rPr>
          <w:rFonts w:ascii="Arial" w:cs="Arial" w:eastAsia="Arial" w:hAnsi="Arial"/>
          <w:sz w:val="11"/>
          <w:szCs w:val="11"/>
          <w:color w:val="auto"/>
        </w:rPr>
        <w:t>), pursuant to which Platinum agreed to convert into our unregistered equity securities all Senior Secured Convertible Promissory Notes (</w:t>
      </w:r>
      <w:r>
        <w:rPr>
          <w:rFonts w:ascii="Arial" w:cs="Arial" w:eastAsia="Arial" w:hAnsi="Arial"/>
          <w:sz w:val="11"/>
          <w:szCs w:val="11"/>
          <w:i w:val="1"/>
          <w:iCs w:val="1"/>
          <w:color w:val="auto"/>
        </w:rPr>
        <w:t>Senior Notes</w:t>
      </w:r>
      <w:r>
        <w:rPr>
          <w:rFonts w:ascii="Arial" w:cs="Arial" w:eastAsia="Arial" w:hAnsi="Arial"/>
          <w:sz w:val="11"/>
          <w:szCs w:val="11"/>
          <w:color w:val="auto"/>
        </w:rPr>
        <w:t>) held by Platinum, including accrued but unpaid interest thereon (</w:t>
      </w:r>
      <w:r>
        <w:rPr>
          <w:rFonts w:ascii="Arial" w:cs="Arial" w:eastAsia="Arial" w:hAnsi="Arial"/>
          <w:sz w:val="11"/>
          <w:szCs w:val="11"/>
          <w:i w:val="1"/>
          <w:iCs w:val="1"/>
          <w:color w:val="auto"/>
        </w:rPr>
        <w:t>Outstanding Balance</w:t>
      </w:r>
      <w:r>
        <w:rPr>
          <w:rFonts w:ascii="Arial" w:cs="Arial" w:eastAsia="Arial" w:hAnsi="Arial"/>
          <w:sz w:val="11"/>
          <w:szCs w:val="11"/>
          <w:color w:val="auto"/>
        </w:rPr>
        <w:t>), in the aggregate amount of approximately $4.2 million at the date of the agreement, upon our consummation on or before August 31, 2014 (</w:t>
      </w:r>
      <w:r>
        <w:rPr>
          <w:rFonts w:ascii="Arial" w:cs="Arial" w:eastAsia="Arial" w:hAnsi="Arial"/>
          <w:sz w:val="11"/>
          <w:szCs w:val="11"/>
          <w:i w:val="1"/>
          <w:iCs w:val="1"/>
          <w:color w:val="auto"/>
        </w:rPr>
        <w:t>Closing Date</w:t>
      </w:r>
      <w:r>
        <w:rPr>
          <w:rFonts w:ascii="Arial" w:cs="Arial" w:eastAsia="Arial" w:hAnsi="Arial"/>
          <w:sz w:val="11"/>
          <w:szCs w:val="11"/>
          <w:color w:val="auto"/>
        </w:rPr>
        <w:t>), of either (i) a private equity financing resulting in aggregate gross proceeds of at least $36.0 million (</w:t>
      </w:r>
      <w:r>
        <w:rPr>
          <w:rFonts w:ascii="Arial" w:cs="Arial" w:eastAsia="Arial" w:hAnsi="Arial"/>
          <w:sz w:val="11"/>
          <w:szCs w:val="11"/>
          <w:i w:val="1"/>
          <w:iCs w:val="1"/>
          <w:color w:val="auto"/>
        </w:rPr>
        <w:t>Private Financing</w:t>
      </w:r>
      <w:r>
        <w:rPr>
          <w:rFonts w:ascii="Arial" w:cs="Arial" w:eastAsia="Arial" w:hAnsi="Arial"/>
          <w:sz w:val="11"/>
          <w:szCs w:val="11"/>
          <w:color w:val="auto"/>
        </w:rPr>
        <w:t>), or (ii) a public offering of our equity securities registered with the SEC resulting in gross proceeds of at least $10.0 million (</w:t>
      </w:r>
      <w:r>
        <w:rPr>
          <w:rFonts w:ascii="Arial" w:cs="Arial" w:eastAsia="Arial" w:hAnsi="Arial"/>
          <w:sz w:val="11"/>
          <w:szCs w:val="11"/>
          <w:i w:val="1"/>
          <w:iCs w:val="1"/>
          <w:color w:val="auto"/>
        </w:rPr>
        <w:t>Public Offering</w:t>
      </w:r>
      <w:r>
        <w:rPr>
          <w:rFonts w:ascii="Arial" w:cs="Arial" w:eastAsia="Arial" w:hAnsi="Arial"/>
          <w:sz w:val="11"/>
          <w:szCs w:val="11"/>
          <w:color w:val="auto"/>
        </w:rPr>
        <w:t xml:space="preserve">) (the Private Financing and Public Offering are referred to in this discussion as a </w:t>
      </w:r>
      <w:r>
        <w:rPr>
          <w:rFonts w:ascii="Arial" w:cs="Arial" w:eastAsia="Arial" w:hAnsi="Arial"/>
          <w:sz w:val="11"/>
          <w:szCs w:val="11"/>
          <w:i w:val="1"/>
          <w:iCs w:val="1"/>
          <w:color w:val="auto"/>
        </w:rPr>
        <w:t>Platinum Qualified Financing</w:t>
      </w:r>
      <w:r>
        <w:rPr>
          <w:rFonts w:ascii="Arial" w:cs="Arial" w:eastAsia="Arial" w:hAnsi="Arial"/>
          <w:sz w:val="11"/>
          <w:szCs w:val="11"/>
          <w:color w:val="auto"/>
        </w:rPr>
        <w:t>). In August and September 2014, we amended the Amendment to extend the Closing Date until October 31, 2014.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 class of Series B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at the lower of $10.00 per share or the lowest per-share price in the Public Offering.</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Additionally, pursuant to the terms and conditions of the Amendment, in the event we had consummated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2"/>
          <w:szCs w:val="12"/>
          <w:i w:val="1"/>
          <w:iCs w:val="1"/>
          <w:color w:val="auto"/>
        </w:rPr>
        <w:t>NEPA</w:t>
      </w:r>
      <w:r>
        <w:rPr>
          <w:rFonts w:ascii="Arial" w:cs="Arial" w:eastAsia="Arial" w:hAnsi="Arial"/>
          <w:sz w:val="12"/>
          <w:szCs w:val="12"/>
          <w:color w:val="auto"/>
        </w:rPr>
        <w:t>), if any, would have been fixed at the lower of $10.00 per share or the purchase price of common stock sold in the Platinum Qualified Financing. Finally, the anti-dilutive provisions contained in the Platinum Warrants, other than typical adjustments for stock splits, combinations and dividends, would have been terminated as of the Closing Date.</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Through March 31, 2015, we did not request Platinum to extend the Closing Date of the Amendment or enter into any other agreement with Platinum regarding the conversion of the Senior Notes, fixing the exercise price of the Platinum Warrants or terminating the anti-dilution provisions of the Platinum Warrants. Refer to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regarding the conversion of the Senior Notes and accrued interest into shares of Series B Preferred stock and modifications made to the exercise price and anti-dilution provisions of the Platinum Warrants in May 2015.</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At the execution of the Amendment, we determined that the Amendment resulted in a modification of the Senior Notes that should be accounted for as an extinguishment of debt. Considering, among other factors, the cash flows and conversion features of the Senior Notes as modified by the Amendment, market interest rates for debt of similar quality and the relative probabilities of conversion of the Senior Notes into either shares of our common stock or Series B Preferred upon consummation of a Qualified Financing, we determined that the fair values of the Senior Notes at July 18, 2014, aggregating $6,475,000, represented a substantial premium over their aggregate $4,138,700 face values plus accrued interest. In accordance with the provisions of ASC 470-20, </w:t>
      </w:r>
      <w:r>
        <w:rPr>
          <w:rFonts w:ascii="Arial" w:cs="Arial" w:eastAsia="Arial" w:hAnsi="Arial"/>
          <w:sz w:val="11"/>
          <w:szCs w:val="11"/>
          <w:i w:val="1"/>
          <w:iCs w:val="1"/>
          <w:color w:val="auto"/>
        </w:rPr>
        <w:t>Debt with Conversion and Other Options,</w:t>
      </w:r>
      <w:r>
        <w:rPr>
          <w:rFonts w:ascii="Arial" w:cs="Arial" w:eastAsia="Arial" w:hAnsi="Arial"/>
          <w:sz w:val="11"/>
          <w:szCs w:val="11"/>
          <w:color w:val="auto"/>
        </w:rPr>
        <w:t xml:space="preserve"> we recognized the premium in excess of the face value and accrued interest, $2,336,300, as a non-cash component of loss on extinguishment of debt in the accompanying Condensed Consolidated Statements of Operations and Comprehensive (Loss) Income with a credit to additional paid-in capital, an equity account. Consequently, we recorded the liability for the Senior Notes at their face values plus accrued interest. We recognized the difference between the pre-modification carrying values of the notes and their face values, an aggregate of $1,983,700, as an additional non-cash charge to loss on extinguishment of debt in the accompanying Condensed Consolidated Statement of Operations and Comprehensive (Loss) Income. Certain of the Senior Notes contained a beneficial conversion feature at the time they were originally issued. We have accounted for the repurchase of the beneficial conversion feature at the time of the modification, an aggregate of $2,716,600, as a reduction to the loss on extinguishment of debt in the accompanying Condensed Consolidated Statements of Operations and Comprehensive (Loss) Income, with a corresponding reduction to additional paid-in capital. The net amount of the loss on extinguishment of debt related to the amendment of the Senior Notes recognized in the accompanying Condensed Consolidated Statements of Operations and Comprehensive (Loss) Income for the nine months ended December 31, 2014 is $1,603,400.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6" w:name="page147"/>
    <w:bookmarkEnd w:id="14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At the date of its issuance, we recorded the fair value of the Exchange Warrant as a liability and as a corresponding charge to loss on early extinguishment of debt. We recorded the fair value of each Investment Warrant and the July 2013 Warrant at the date of issuance as a liability and as a corresponding discount to the related note. Subject to limitations of the absolute amount of discount attributable to each Investment Note and the July 2013 Note, we treated the issuance-date intrinsic value of the beneficial conversion feature embedded in each Investment Note and the July 2013 Note as an additional component of the discount attributable to such note and recorded a corresponding discount attributable to the beneficial conversion feature for each note. Prior to the Amendment, at which time the remaining unamortized discount was written off in our determination of the loss on extinguishment of debt, we had amortized the aggregate discount attributable to each of the Investment Notes and the July 2013 Note using the effective interest method over the respective term of each note. The effective interest rate of the Exchange Note was 10.0% at inception and the effective interest rate at inception for each of the Investment Notes and the July 2013 Note was 159.1% .</w:t>
      </w:r>
    </w:p>
    <w:p>
      <w:pPr>
        <w:spacing w:after="0" w:line="147"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 xml:space="preserve">We re-measure the fair value of the Exchange Warrant, the Investment Warrants and the July 2013 Warrant (collectively, the </w:t>
      </w:r>
      <w:r>
        <w:rPr>
          <w:rFonts w:ascii="Arial" w:cs="Arial" w:eastAsia="Arial" w:hAnsi="Arial"/>
          <w:sz w:val="10"/>
          <w:szCs w:val="10"/>
          <w:i w:val="1"/>
          <w:iCs w:val="1"/>
          <w:color w:val="auto"/>
        </w:rPr>
        <w:t>Platinum Warrants</w:t>
      </w:r>
      <w:r>
        <w:rPr>
          <w:rFonts w:ascii="Arial" w:cs="Arial" w:eastAsia="Arial" w:hAnsi="Arial"/>
          <w:sz w:val="10"/>
          <w:szCs w:val="10"/>
          <w:color w:val="auto"/>
        </w:rPr>
        <w:t>) at each quarterly reporting period. As of March 31, 2015 and 2014, we measured the fair value of such warrants at an aggregate of $810,100 and $915,300, respectively. The aggregate decrease in fair value between March 31, 2014 and March 31, 2015 of $105,200 and the aggregate decrease in fair value between March 31, 2013 and March 31, 2014 of $1,219,500 is reflected in the Change in Warrant Liability in the accompanying Consolidated Statement of Operations and Comprehensive Income for the years ended March 31, 2015 and 2014,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2013 Unit Private Placement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described more completely in the section entitled 2013 Unit Private Placement in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between August 2013 and March 2014, we issued to accredited investors 10% convertible promissory notes (the “</w:t>
      </w:r>
      <w:r>
        <w:rPr>
          <w:rFonts w:ascii="Arial" w:cs="Arial" w:eastAsia="Arial" w:hAnsi="Arial"/>
          <w:sz w:val="12"/>
          <w:szCs w:val="12"/>
          <w:i w:val="1"/>
          <w:iCs w:val="1"/>
          <w:color w:val="auto"/>
        </w:rPr>
        <w:t>2013Unit</w:t>
      </w:r>
      <w:r>
        <w:rPr>
          <w:rFonts w:ascii="Arial" w:cs="Arial" w:eastAsia="Arial" w:hAnsi="Arial"/>
          <w:sz w:val="12"/>
          <w:szCs w:val="12"/>
          <w:color w:val="auto"/>
        </w:rPr>
        <w:t xml:space="preserve"> </w:t>
      </w:r>
      <w:r>
        <w:rPr>
          <w:rFonts w:ascii="Arial" w:cs="Arial" w:eastAsia="Arial" w:hAnsi="Arial"/>
          <w:sz w:val="12"/>
          <w:szCs w:val="12"/>
          <w:i w:val="1"/>
          <w:iCs w:val="1"/>
          <w:color w:val="auto"/>
        </w:rPr>
        <w:t>Notes</w:t>
      </w:r>
      <w:r>
        <w:rPr>
          <w:rFonts w:ascii="Arial" w:cs="Arial" w:eastAsia="Arial" w:hAnsi="Arial"/>
          <w:sz w:val="12"/>
          <w:szCs w:val="12"/>
          <w:color w:val="auto"/>
        </w:rPr>
        <w:t>”) in an aggregate face amount of $1,007,500 in connection with our private placement of Units. The maturity date of the 2013 Unit Notes was July 30, 2014 and each 2013 Unit Note and its related accrued interest was convertible</w:t>
      </w:r>
      <w:r>
        <w:rPr>
          <w:rFonts w:ascii="Arial" w:cs="Arial" w:eastAsia="Arial" w:hAnsi="Arial"/>
          <w:sz w:val="12"/>
          <w:szCs w:val="12"/>
          <w:i w:val="1"/>
          <w:iCs w:val="1"/>
          <w:color w:val="auto"/>
        </w:rPr>
        <w:t xml:space="preserve"> </w:t>
      </w:r>
      <w:r>
        <w:rPr>
          <w:rFonts w:ascii="Arial" w:cs="Arial" w:eastAsia="Arial" w:hAnsi="Arial"/>
          <w:sz w:val="12"/>
          <w:szCs w:val="12"/>
          <w:color w:val="auto"/>
        </w:rPr>
        <w:t>into shares of our common stock at a fixed conversion price of $10.00 per share at or prior to maturity, at the option of the accredited investor.</w:t>
      </w:r>
    </w:p>
    <w:p>
      <w:pPr>
        <w:spacing w:after="0" w:line="141" w:lineRule="exact"/>
        <w:rPr>
          <w:sz w:val="20"/>
          <w:szCs w:val="20"/>
          <w:color w:val="auto"/>
        </w:rPr>
      </w:pPr>
    </w:p>
    <w:p>
      <w:pPr>
        <w:jc w:val="both"/>
        <w:spacing w:after="0" w:line="316" w:lineRule="auto"/>
        <w:rPr>
          <w:sz w:val="20"/>
          <w:szCs w:val="20"/>
          <w:color w:val="auto"/>
        </w:rPr>
      </w:pPr>
      <w:r>
        <w:rPr>
          <w:rFonts w:ascii="Arial" w:cs="Arial" w:eastAsia="Arial" w:hAnsi="Arial"/>
          <w:sz w:val="10"/>
          <w:szCs w:val="10"/>
          <w:color w:val="auto"/>
        </w:rPr>
        <w:t>We allocated the proceeds from the sale of the units to the 2013 Unit Notes, the common stock and the warrants comprising the Units based on the relative fair value of the individual securities in each Unit on the dates of the Unit sales. Based on the short-duration of the 2013 Unit Notes and their other terms, we determined that the fair value of the 2013 Unit Notes at the date of issuance was equal to their face value. Accordingly, we recorded an initial discount attributable to each 2013 Unit Note for an amount representing the difference between the face value of the 2013 Unit Note and its relative value. Additionally, the 2013 Unit Notes contain an embedded conversion feature, certain of which had an intrinsic value at the issuance date, which value we treated as an additional discount attributable to such 2013 Unit Notes, subject to limitations on the absolute amount of discount attributable to each 2013 Unit Note. We recorded a corresponding credit to additional paid-in capital, an equity account in the Consolidated Balance Sheet, attributable to the beneficial conversion feature. We amortized the aggregate discount attributable to each of the 2013 Unit Notes using the effective interest method over the respective term of each 2013 Unit Note. Based on their respective discounts, the weighted average effective interest rate attributable to the 2013 Unit Notes at issuance was 464.1%.</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Amendment of 2013 Unit Notes and Warrants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Effective May 31, 2014, we entered into note and warrant amendment agreements with substantially all holders of our 2013 Unit Notes and 2013 Unit Warrants, each of whom agreed to (i) modify certain terms of their 2013 Unit Note to conform to the corresponding terms of the 2014 Unit Notes, including an extension of the maturity date of their 2013 Unit Note from July 30, 2014 to March 31, 2015, as well as adoption of the automatic conversion and 25% conversion premium features related to consummation of a Qualified Financing, as described previously (</w:t>
      </w:r>
      <w:r>
        <w:rPr>
          <w:rFonts w:ascii="Arial" w:cs="Arial" w:eastAsia="Arial" w:hAnsi="Arial"/>
          <w:sz w:val="11"/>
          <w:szCs w:val="11"/>
          <w:i w:val="1"/>
          <w:iCs w:val="1"/>
          <w:color w:val="auto"/>
        </w:rPr>
        <w:t>Amended 2013 Unit Notes</w:t>
      </w:r>
      <w:r>
        <w:rPr>
          <w:rFonts w:ascii="Arial" w:cs="Arial" w:eastAsia="Arial" w:hAnsi="Arial"/>
          <w:sz w:val="11"/>
          <w:szCs w:val="11"/>
          <w:color w:val="auto"/>
        </w:rPr>
        <w:t>), and (ii) modify certain terms of their 2013 Unit Warrants, including the exercise price and expiration date, to conform to the corresponding terms of the 2014 Unit Warrants (</w:t>
      </w:r>
      <w:r>
        <w:rPr>
          <w:rFonts w:ascii="Arial" w:cs="Arial" w:eastAsia="Arial" w:hAnsi="Arial"/>
          <w:sz w:val="11"/>
          <w:szCs w:val="11"/>
          <w:i w:val="1"/>
          <w:iCs w:val="1"/>
          <w:color w:val="auto"/>
        </w:rPr>
        <w:t>Amended 2013 Unit Warrants</w:t>
      </w:r>
      <w:r>
        <w:rPr>
          <w:rFonts w:ascii="Arial" w:cs="Arial" w:eastAsia="Arial" w:hAnsi="Arial"/>
          <w:sz w:val="11"/>
          <w:szCs w:val="11"/>
          <w:color w:val="auto"/>
        </w:rPr>
        <w:t>). Holders of 2013 Unit Notes having an aggregate initial face amount of $895,000 agreed to such amendments. The maturity date of 2013 Unit Notes payable to holders who did not agree to amend their 2013 Unit Note and 2013 Unit Warrant remained July 30, 2014 and the $20.00 per share exercise price and July 30, 2016 expiration date of the 2013 Unit Warrants held by such holders remains unchanged. Between April 1, 2014 and August 15, 2014, we repaid 2013 Unit Notes having an initial face value of $ 112,500 and since the later date, no un-amended 2013 Unit Notes remain outstanding.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7" w:name="page148"/>
    <w:bookmarkEnd w:id="14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We determined that the modification of the 2013 Unit Notes and the 2013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1"/>
          <w:szCs w:val="11"/>
          <w:i w:val="1"/>
          <w:iCs w:val="1"/>
          <w:color w:val="auto"/>
        </w:rPr>
        <w:t>Debt with Conversion and Other Options,</w:t>
      </w:r>
      <w:r>
        <w:rPr>
          <w:rFonts w:ascii="Arial" w:cs="Arial" w:eastAsia="Arial" w:hAnsi="Arial"/>
          <w:sz w:val="11"/>
          <w:szCs w:val="11"/>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9, </w:t>
      </w:r>
      <w:r>
        <w:rPr>
          <w:rFonts w:ascii="Arial" w:cs="Arial" w:eastAsia="Arial" w:hAnsi="Arial"/>
          <w:sz w:val="11"/>
          <w:szCs w:val="11"/>
          <w:i w:val="1"/>
          <w:iCs w:val="1"/>
          <w:color w:val="auto"/>
        </w:rPr>
        <w:t>Capital Stock</w:t>
      </w:r>
      <w:r>
        <w:rPr>
          <w:rFonts w:ascii="Arial" w:cs="Arial" w:eastAsia="Arial" w:hAnsi="Arial"/>
          <w:sz w:val="11"/>
          <w:szCs w:val="11"/>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of Securities in Satisfaction of Technology License and Maintenance Fees and Patent Expenses</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In April 2014, we entered into an agreement with Icahn School of Medicine at Mount Sinai (</w:t>
      </w:r>
      <w:r>
        <w:rPr>
          <w:rFonts w:ascii="Arial" w:cs="Arial" w:eastAsia="Arial" w:hAnsi="Arial"/>
          <w:sz w:val="11"/>
          <w:szCs w:val="11"/>
          <w:i w:val="1"/>
          <w:iCs w:val="1"/>
          <w:color w:val="auto"/>
        </w:rPr>
        <w:t>Icahn School</w:t>
      </w:r>
      <w:r>
        <w:rPr>
          <w:rFonts w:ascii="Arial" w:cs="Arial" w:eastAsia="Arial" w:hAnsi="Arial"/>
          <w:sz w:val="11"/>
          <w:szCs w:val="11"/>
          <w:color w:val="auto"/>
        </w:rPr>
        <w:t xml:space="preserve">), one of our long-term stem cell technology licensors, pursuant to which we issued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1"/>
          <w:szCs w:val="11"/>
          <w:i w:val="1"/>
          <w:iCs w:val="1"/>
          <w:color w:val="auto"/>
        </w:rPr>
        <w:t>Agreement</w:t>
      </w:r>
      <w:r>
        <w:rPr>
          <w:rFonts w:ascii="Arial" w:cs="Arial" w:eastAsia="Arial" w:hAnsi="Arial"/>
          <w:sz w:val="11"/>
          <w:szCs w:val="11"/>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$35,800 of license maintenance fees and reimbursable patent prosecution costs was added to the principal amount of the promissory note through December 31, 2014. We made a payment of $10,000 on the note in January 2015 and it remained outstanding at March 31, 2015.</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Payable to Morrison &amp; Foerster</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On May 5, 2011, we amended a previously outstanding note (the </w:t>
      </w:r>
      <w:r>
        <w:rPr>
          <w:rFonts w:ascii="Arial" w:cs="Arial" w:eastAsia="Arial" w:hAnsi="Arial"/>
          <w:sz w:val="12"/>
          <w:szCs w:val="12"/>
          <w:i w:val="1"/>
          <w:iCs w:val="1"/>
          <w:color w:val="auto"/>
        </w:rPr>
        <w:t>Original Note</w:t>
      </w:r>
      <w:r>
        <w:rPr>
          <w:rFonts w:ascii="Arial" w:cs="Arial" w:eastAsia="Arial" w:hAnsi="Arial"/>
          <w:sz w:val="12"/>
          <w:szCs w:val="12"/>
          <w:color w:val="auto"/>
        </w:rPr>
        <w:t>) issued to Morrison &amp; Foerster LLP (</w:t>
      </w:r>
      <w:r>
        <w:rPr>
          <w:rFonts w:ascii="Arial" w:cs="Arial" w:eastAsia="Arial" w:hAnsi="Arial"/>
          <w:sz w:val="12"/>
          <w:szCs w:val="12"/>
          <w:i w:val="1"/>
          <w:iCs w:val="1"/>
          <w:color w:val="auto"/>
        </w:rPr>
        <w:t>Morrison &amp; Foerster</w:t>
      </w:r>
      <w:r>
        <w:rPr>
          <w:rFonts w:ascii="Arial" w:cs="Arial" w:eastAsia="Arial" w:hAnsi="Arial"/>
          <w:sz w:val="12"/>
          <w:szCs w:val="12"/>
          <w:color w:val="auto"/>
        </w:rPr>
        <w:t xml:space="preserve">), then our general corporate and intellectual property counsel, in payment of legal services (the </w:t>
      </w:r>
      <w:r>
        <w:rPr>
          <w:rFonts w:ascii="Arial" w:cs="Arial" w:eastAsia="Arial" w:hAnsi="Arial"/>
          <w:sz w:val="12"/>
          <w:szCs w:val="12"/>
          <w:i w:val="1"/>
          <w:iCs w:val="1"/>
          <w:color w:val="auto"/>
        </w:rPr>
        <w:t>Amended Note</w:t>
      </w:r>
      <w:r>
        <w:rPr>
          <w:rFonts w:ascii="Arial" w:cs="Arial" w:eastAsia="Arial" w:hAnsi="Arial"/>
          <w:sz w:val="12"/>
          <w:szCs w:val="12"/>
          <w:color w:val="auto"/>
        </w:rPr>
        <w:t>). Under the terms of Amended Note, the principal balance of the Original Note was increased to $2,200,000, interest accrued at the rate of 7.5% per annum, and we were required to make certain payments to Morrison &amp;</w:t>
      </w:r>
      <w:r>
        <w:rPr>
          <w:rFonts w:ascii="Arial" w:cs="Arial" w:eastAsia="Arial" w:hAnsi="Arial"/>
          <w:sz w:val="12"/>
          <w:szCs w:val="12"/>
          <w:i w:val="1"/>
          <w:iCs w:val="1"/>
          <w:color w:val="auto"/>
        </w:rPr>
        <w:t xml:space="preserve"> </w:t>
      </w:r>
      <w:r>
        <w:rPr>
          <w:rFonts w:ascii="Arial" w:cs="Arial" w:eastAsia="Arial" w:hAnsi="Arial"/>
          <w:sz w:val="12"/>
          <w:szCs w:val="12"/>
          <w:color w:val="auto"/>
        </w:rPr>
        <w:t>Foerster.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8" w:name="page149"/>
    <w:bookmarkEnd w:id="14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On August 31, 2012, we restructured the Amended Note (the </w:t>
      </w:r>
      <w:r>
        <w:rPr>
          <w:rFonts w:ascii="Arial" w:cs="Arial" w:eastAsia="Arial" w:hAnsi="Arial"/>
          <w:sz w:val="11"/>
          <w:szCs w:val="11"/>
          <w:i w:val="1"/>
          <w:iCs w:val="1"/>
          <w:color w:val="auto"/>
        </w:rPr>
        <w:t>Restructuring Agreement</w:t>
      </w:r>
      <w:r>
        <w:rPr>
          <w:rFonts w:ascii="Arial" w:cs="Arial" w:eastAsia="Arial" w:hAnsi="Arial"/>
          <w:sz w:val="11"/>
          <w:szCs w:val="11"/>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1"/>
          <w:szCs w:val="11"/>
          <w:i w:val="1"/>
          <w:iCs w:val="1"/>
          <w:color w:val="auto"/>
        </w:rPr>
        <w:t>Replacement Note A</w:t>
      </w:r>
      <w:r>
        <w:rPr>
          <w:rFonts w:ascii="Arial" w:cs="Arial" w:eastAsia="Arial" w:hAnsi="Arial"/>
          <w:sz w:val="11"/>
          <w:szCs w:val="11"/>
          <w:color w:val="auto"/>
        </w:rPr>
        <w:t>) and the other in the principal amount of $1,379,400 (</w:t>
      </w:r>
      <w:r>
        <w:rPr>
          <w:rFonts w:ascii="Arial" w:cs="Arial" w:eastAsia="Arial" w:hAnsi="Arial"/>
          <w:sz w:val="11"/>
          <w:szCs w:val="11"/>
          <w:i w:val="1"/>
          <w:iCs w:val="1"/>
          <w:color w:val="auto"/>
        </w:rPr>
        <w:t>Replacement Note B</w:t>
      </w:r>
      <w:r>
        <w:rPr>
          <w:rFonts w:ascii="Arial" w:cs="Arial" w:eastAsia="Arial" w:hAnsi="Arial"/>
          <w:sz w:val="11"/>
          <w:szCs w:val="11"/>
          <w:color w:val="auto"/>
        </w:rPr>
        <w:t xml:space="preserve">) (together, the </w:t>
      </w:r>
      <w:r>
        <w:rPr>
          <w:rFonts w:ascii="Arial" w:cs="Arial" w:eastAsia="Arial" w:hAnsi="Arial"/>
          <w:sz w:val="11"/>
          <w:szCs w:val="11"/>
          <w:i w:val="1"/>
          <w:iCs w:val="1"/>
          <w:color w:val="auto"/>
        </w:rPr>
        <w:t>Replacement Notes</w:t>
      </w:r>
      <w:r>
        <w:rPr>
          <w:rFonts w:ascii="Arial" w:cs="Arial" w:eastAsia="Arial" w:hAnsi="Arial"/>
          <w:sz w:val="11"/>
          <w:szCs w:val="11"/>
          <w:color w:val="auto"/>
        </w:rPr>
        <w:t xml:space="preserve">); amended an outstanding warrant to purchase restricted shares of our common stock (the </w:t>
      </w:r>
      <w:r>
        <w:rPr>
          <w:rFonts w:ascii="Arial" w:cs="Arial" w:eastAsia="Arial" w:hAnsi="Arial"/>
          <w:sz w:val="11"/>
          <w:szCs w:val="11"/>
          <w:i w:val="1"/>
          <w:iCs w:val="1"/>
          <w:color w:val="auto"/>
        </w:rPr>
        <w:t>Amended M&amp;F Warrant)</w:t>
      </w:r>
      <w:r>
        <w:rPr>
          <w:rFonts w:ascii="Arial" w:cs="Arial" w:eastAsia="Arial" w:hAnsi="Arial"/>
          <w:sz w:val="11"/>
          <w:szCs w:val="11"/>
          <w:color w:val="auto"/>
        </w:rPr>
        <w:t xml:space="preserve">; and issued a new warrant exercisable at $20.00 per share through September 15, 2017 to purchase restricted shares of our common stock (the </w:t>
      </w:r>
      <w:r>
        <w:rPr>
          <w:rFonts w:ascii="Arial" w:cs="Arial" w:eastAsia="Arial" w:hAnsi="Arial"/>
          <w:sz w:val="11"/>
          <w:szCs w:val="11"/>
          <w:i w:val="1"/>
          <w:iCs w:val="1"/>
          <w:color w:val="auto"/>
        </w:rPr>
        <w:t>New M&amp;F Warrant).</w:t>
      </w:r>
      <w:r>
        <w:rPr>
          <w:rFonts w:ascii="Arial" w:cs="Arial" w:eastAsia="Arial" w:hAnsi="Arial"/>
          <w:sz w:val="11"/>
          <w:szCs w:val="11"/>
          <w:color w:val="auto"/>
        </w:rPr>
        <w:t xml:space="preserve"> Under the terms of the Restructuring Agreement, the Amended Note was cancelled and all of our past due payment obligations under the Amended Note were satisfied. Pursuant to the terms of the Amended Note, we made a payment of $155,000 to Morrison &amp; Foerster on August 31, 2012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Between May 2013 and March 31, 2015, we have made no payments on Replacement Note A. In accordance with the terms of the Replacement Notes, the applicable penalty interest rate of 10.0% per annum has become effective and we have accrued interest on the Replacement Notes at that rate since May 2013. Payment of the principal and interest on Replacement Note B will be made solely in restricted shares of our common stock pursuant to Morrison &amp; Foerster’s cancellation from time to time of all or a portion of the principal and interest balance due on Replacement Note B in connection with its concurrent exercise of the New M&amp;F Warrant, at an exercise price of $20.00 per share; provided, however, that Morrison &amp; Foerster shall have the option to require payment of Replacement Note B in cash upon the occurrence of a change in control of the Company or an event of default, and only in such circumstances. As indicated in Note 16, </w:t>
      </w:r>
      <w:r>
        <w:rPr>
          <w:rFonts w:ascii="Arial" w:cs="Arial" w:eastAsia="Arial" w:hAnsi="Arial"/>
          <w:sz w:val="11"/>
          <w:szCs w:val="11"/>
          <w:i w:val="1"/>
          <w:iCs w:val="1"/>
          <w:color w:val="auto"/>
        </w:rPr>
        <w:t>Subsequent Events</w:t>
      </w:r>
      <w:r>
        <w:rPr>
          <w:rFonts w:ascii="Arial" w:cs="Arial" w:eastAsia="Arial" w:hAnsi="Arial"/>
          <w:sz w:val="11"/>
          <w:szCs w:val="11"/>
          <w:color w:val="auto"/>
        </w:rPr>
        <w:t>, in May 2015, Replacement Note B in the aggregate amount (principal and accrued but unpaid interest) of approximately $1.8 million was converted into 257,143 shares of our newly created Series B Preferred, eliminating approximately $1.8 million of our indebtedness. Additionally, Morrison &amp; Foerster agreed to standstill and forbear until December 31, 2016 with respect to further payment requirements on Replacement Note A and accounts payable outstanding at the time of the agreement.</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New M&amp;F Warrant is exercisable for the number of restricted shares of our common stock equal to the principal and accrued interest due under the terms of Replacement Note B divided by the warrant exercise price of $20.00 per share. At the August 31, 2012 date of grant, the New M&amp;F Warrant was exercisable to purchase 68,969 restricted shares of our common stock. The New M&amp;F Warrant effectively permits exercise only by the cancellation in whole or in part of our indebtedness under either of the Replacement Notes. Through March 31, 2015, we have adjusted the New M&amp;F Warrant to increase the number of restricted shares available for purchase by 16,658 shares, based on interest accrued on Replacement Note B through that date. We have recorded the fair value of the additional warrant shares as a charge to interest expense and a corresponding credit to additional paid-in capital.</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Research Ltd.</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On October 10, 2012, we issued to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 contract research and development partner and a related party: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2"/>
          <w:szCs w:val="12"/>
          <w:i w:val="1"/>
          <w:iCs w:val="1"/>
          <w:color w:val="auto"/>
        </w:rPr>
        <w:t>CRL Note</w:t>
      </w:r>
      <w:r>
        <w:rPr>
          <w:rFonts w:ascii="Arial" w:cs="Arial" w:eastAsia="Arial" w:hAnsi="Arial"/>
          <w:sz w:val="12"/>
          <w:szCs w:val="12"/>
          <w:color w:val="auto"/>
        </w:rPr>
        <w:t>), as payment in full for all contract research and development services and regulatory advice (</w:t>
      </w:r>
      <w:r>
        <w:rPr>
          <w:rFonts w:ascii="Arial" w:cs="Arial" w:eastAsia="Arial" w:hAnsi="Arial"/>
          <w:sz w:val="12"/>
          <w:szCs w:val="12"/>
          <w:i w:val="1"/>
          <w:iCs w:val="1"/>
          <w:color w:val="auto"/>
        </w:rPr>
        <w:t>CRO</w:t>
      </w:r>
      <w:r>
        <w:rPr>
          <w:rFonts w:ascii="Arial" w:cs="Arial" w:eastAsia="Arial" w:hAnsi="Arial"/>
          <w:sz w:val="12"/>
          <w:szCs w:val="12"/>
          <w:color w:val="auto"/>
        </w:rPr>
        <w:t xml:space="preserve"> </w:t>
      </w:r>
      <w:r>
        <w:rPr>
          <w:rFonts w:ascii="Arial" w:cs="Arial" w:eastAsia="Arial" w:hAnsi="Arial"/>
          <w:sz w:val="12"/>
          <w:szCs w:val="12"/>
          <w:i w:val="1"/>
          <w:iCs w:val="1"/>
          <w:color w:val="auto"/>
        </w:rPr>
        <w:t>Services</w:t>
      </w:r>
      <w:r>
        <w:rPr>
          <w:rFonts w:ascii="Arial" w:cs="Arial" w:eastAsia="Arial" w:hAnsi="Arial"/>
          <w:sz w:val="12"/>
          <w:szCs w:val="12"/>
          <w:color w:val="auto"/>
        </w:rPr>
        <w:t>) rendered by CRL to us and our affiliates through December 31, 2012 with respect to the non-clinical and clinical development of AV-101, and (ii) a five-year warrant to purchase, at a price of $20.00 per share, 50,450 restricted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shares of our common stock, the amount equal to the sum of the principal amount of the CRL Note, plus all accrued interest thereon, divided by $20.00 per share (the </w:t>
      </w:r>
      <w:r>
        <w:rPr>
          <w:rFonts w:ascii="Arial" w:cs="Arial" w:eastAsia="Arial" w:hAnsi="Arial"/>
          <w:sz w:val="12"/>
          <w:szCs w:val="12"/>
          <w:i w:val="1"/>
          <w:iCs w:val="1"/>
          <w:color w:val="auto"/>
        </w:rPr>
        <w:t>CRL Warrant</w:t>
      </w:r>
      <w:r>
        <w:rPr>
          <w:rFonts w:ascii="Arial" w:cs="Arial" w:eastAsia="Arial" w:hAnsi="Arial"/>
          <w:sz w:val="12"/>
          <w:szCs w:val="12"/>
          <w:color w:val="auto"/>
        </w:rPr>
        <w:t>). The CRL Note is due and payable on March 31, 2016 and is payable solely by CRL's cancellation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Through March 31, 2015, we have adjusted the CRL Warrant to increase the number of restricted shares available for purchase by 10,241 shares, based on interest accrued on the CRL Note through that date. We have recorded the fair value of the additional shares as a charge to interest expense and a corresponding credit to additional paid-in capital.</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As disclosed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in May 2015, the CRL Note and certain accounts payable to CRL for CRO Services related to AV-101 in the aggregate amount (principal and accrued but unpaid interest, plus certain strategic adjustments) of approximately $1.9 million were converted into 278,006 shares of our Series B Preferred, eliminating approximately $1.9 million of our indebtedness.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9" w:name="page150"/>
    <w:bookmarkEnd w:id="14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Holding Company</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October 10, 2012, we exchanged a previously outstanding note issued to Cato Holding Company (</w:t>
      </w:r>
      <w:r>
        <w:rPr>
          <w:rFonts w:ascii="Arial" w:cs="Arial" w:eastAsia="Arial" w:hAnsi="Arial"/>
          <w:sz w:val="11"/>
          <w:szCs w:val="11"/>
          <w:i w:val="1"/>
          <w:iCs w:val="1"/>
          <w:color w:val="auto"/>
        </w:rPr>
        <w:t>CHC</w:t>
      </w:r>
      <w:r>
        <w:rPr>
          <w:rFonts w:ascii="Arial" w:cs="Arial" w:eastAsia="Arial" w:hAnsi="Arial"/>
          <w:sz w:val="11"/>
          <w:szCs w:val="11"/>
          <w:color w:val="auto"/>
        </w:rPr>
        <w:t xml:space="preserve">) for a new unsecured promissory note in the principal amount of $310,400 (the </w:t>
      </w:r>
      <w:r>
        <w:rPr>
          <w:rFonts w:ascii="Arial" w:cs="Arial" w:eastAsia="Arial" w:hAnsi="Arial"/>
          <w:sz w:val="11"/>
          <w:szCs w:val="11"/>
          <w:i w:val="1"/>
          <w:iCs w:val="1"/>
          <w:color w:val="auto"/>
        </w:rPr>
        <w:t>2012 CHC Note</w:t>
      </w:r>
      <w:r>
        <w:rPr>
          <w:rFonts w:ascii="Arial" w:cs="Arial" w:eastAsia="Arial" w:hAnsi="Arial"/>
          <w:sz w:val="11"/>
          <w:szCs w:val="11"/>
          <w:color w:val="auto"/>
        </w:rPr>
        <w:t xml:space="preserve">) and a five-year warrant to purchase 12,500 restricted shares of the Company’s common stock at a price of $30.00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The 2012 CHC Note accrues interest at a rate of 7.5% per annum and is due and payable in monthly installments of $10,000, beginning November 1, 2012 and continuing until the outstanding balance is paid in full. Between December 2012 and March 31, 2015, we have made no payments on the 2012 CHC Note.</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disclosed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in May 2015, the 2012 CHC Note in the aggregate amount (principal and accrued but unpaid interest) of approximately $354,000 was converted into 50,565 shares of our Series B Preferred, eliminating approximately $354,000 of our indebtedness.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University Health Network</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On October 10, 2012, we issued to the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xml:space="preserve">):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1"/>
          <w:szCs w:val="11"/>
          <w:i w:val="1"/>
          <w:iCs w:val="1"/>
          <w:color w:val="auto"/>
        </w:rPr>
        <w:t>UHN Note</w:t>
      </w:r>
      <w:r>
        <w:rPr>
          <w:rFonts w:ascii="Arial" w:cs="Arial" w:eastAsia="Arial" w:hAnsi="Arial"/>
          <w:sz w:val="11"/>
          <w:szCs w:val="11"/>
          <w:color w:val="auto"/>
        </w:rPr>
        <w:t xml:space="preserve">), and (ii) a five-year warrant to purchase, at a price of $20.00 per share, 27,475 restricted shares of our common stock, the amount equal to the sum of the principal amount of the UHN Note, plus all accrued interest thereon, divided by $20.00 per share (the </w:t>
      </w:r>
      <w:r>
        <w:rPr>
          <w:rFonts w:ascii="Arial" w:cs="Arial" w:eastAsia="Arial" w:hAnsi="Arial"/>
          <w:sz w:val="11"/>
          <w:szCs w:val="11"/>
          <w:i w:val="1"/>
          <w:iCs w:val="1"/>
          <w:color w:val="auto"/>
        </w:rPr>
        <w:t>UHN</w:t>
      </w:r>
      <w:r>
        <w:rPr>
          <w:rFonts w:ascii="Arial" w:cs="Arial" w:eastAsia="Arial" w:hAnsi="Arial"/>
          <w:sz w:val="11"/>
          <w:szCs w:val="11"/>
          <w:color w:val="auto"/>
        </w:rPr>
        <w:t xml:space="preserve"> </w:t>
      </w:r>
      <w:r>
        <w:rPr>
          <w:rFonts w:ascii="Arial" w:cs="Arial" w:eastAsia="Arial" w:hAnsi="Arial"/>
          <w:sz w:val="11"/>
          <w:szCs w:val="11"/>
          <w:i w:val="1"/>
          <w:iCs w:val="1"/>
          <w:color w:val="auto"/>
        </w:rPr>
        <w:t>Warrant</w:t>
      </w:r>
      <w:r>
        <w:rPr>
          <w:rFonts w:ascii="Arial" w:cs="Arial" w:eastAsia="Arial" w:hAnsi="Arial"/>
          <w:sz w:val="11"/>
          <w:szCs w:val="11"/>
          <w:color w:val="auto"/>
        </w:rPr>
        <w:t>). The UHN Note is due and payable on March 31, 2016 and is payable solely by UHN's cancellation from time to time of all or a portion of the principal and interest balance due on the UHN Note in connection with its concurrent</w:t>
      </w:r>
      <w:r>
        <w:rPr>
          <w:rFonts w:ascii="Arial" w:cs="Arial" w:eastAsia="Arial" w:hAnsi="Arial"/>
          <w:sz w:val="11"/>
          <w:szCs w:val="11"/>
          <w:i w:val="1"/>
          <w:iCs w:val="1"/>
          <w:color w:val="auto"/>
        </w:rPr>
        <w:t xml:space="preserve"> </w:t>
      </w:r>
      <w:r>
        <w:rPr>
          <w:rFonts w:ascii="Arial" w:cs="Arial" w:eastAsia="Arial" w:hAnsi="Arial"/>
          <w:sz w:val="11"/>
          <w:szCs w:val="11"/>
          <w:color w:val="auto"/>
        </w:rPr>
        <w:t>exercise of the UHN Warrant, provided, however, that UHN will have the option to require payment of the UHN Note in cash upon the occurrence of a change in control of the Company or an event of default, and only in such circumstances. Through March 31, 2015, we have adjusted the UHN Warrant to increase the number of restricted shares available for purchase by 5,095 shares, based on interest accrued on the UHN Note through that date. We have recorded the fair value of the additional shares as a charge to interest expense and a corresponding credit to additional paid-in capital.</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As disclosed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in May 2015, the UHN Note in the aggregate amount (principal and accrued but unpaid interest) of approximately $656,400 was converted into 93,775 shares of our Series B Preferred, eliminating approximately $656,400 of our indebtedness.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Payable for Cancellation of Amounts Payable for Services and Royalties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February 25, 2011, we issued to Burr, Pilger, and Mayer, LLC (</w:t>
      </w:r>
      <w:r>
        <w:rPr>
          <w:rFonts w:ascii="Arial" w:cs="Arial" w:eastAsia="Arial" w:hAnsi="Arial"/>
          <w:sz w:val="12"/>
          <w:szCs w:val="12"/>
          <w:i w:val="1"/>
          <w:iCs w:val="1"/>
          <w:color w:val="auto"/>
        </w:rPr>
        <w:t>BPM</w:t>
      </w:r>
      <w:r>
        <w:rPr>
          <w:rFonts w:ascii="Arial" w:cs="Arial" w:eastAsia="Arial" w:hAnsi="Arial"/>
          <w:sz w:val="12"/>
          <w:szCs w:val="12"/>
          <w:color w:val="auto"/>
        </w:rPr>
        <w:t>) an unsecured promissory note in the principal amount of $98,674 for amounts payable in connection with valuation services provided to us by BPM. The BPM note bears interest at the rate of 7.5% per annum and has payment terms of $1,000 per month, beginning March 1, 2011 and continuing until all principal and interest is paid in full. In addition, a payment of $25,000 shall be due upon the sale of the Company or upon our completing a financing transaction of at least $5.0 million during any three-month period, with the payment increasing to $50,000 (or the amount then owed under the note, if less) upon the Company completing a financing of over $10.0 million. We made no payments on the BPM note during the fiscal year ended March 31, 2015.</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On April 29, 2011, we issued to Desjardins Securities, Inc. (</w:t>
      </w:r>
      <w:r>
        <w:rPr>
          <w:rFonts w:ascii="Arial" w:cs="Arial" w:eastAsia="Arial" w:hAnsi="Arial"/>
          <w:sz w:val="11"/>
          <w:szCs w:val="11"/>
          <w:i w:val="1"/>
          <w:iCs w:val="1"/>
          <w:color w:val="auto"/>
        </w:rPr>
        <w:t>Desjardins</w:t>
      </w:r>
      <w:r>
        <w:rPr>
          <w:rFonts w:ascii="Arial" w:cs="Arial" w:eastAsia="Arial" w:hAnsi="Arial"/>
          <w:sz w:val="11"/>
          <w:szCs w:val="11"/>
          <w:color w:val="auto"/>
        </w:rPr>
        <w:t>) an unsecured promissory note in the principal amount of CDN $236,000 for amounts payable for legal fees incurred by Desjardins in connection with investment banking services provided to us by Desjardins. The Desjardins note bears interest at 7.5% and was due, along with all accrued but unpaid interest on the earliest of (i) June 30, 2014, (ii) the consummation of a Change of Control, as defined in the Desjardins note, and (iii) any failure to pay principal or interest when due. We were required to make payments of CDN $4,000 per month beginning May 31, 2011, increasing to CDN $6,000 per month beginning on January 31, 2012. Beginning on January 1, 2012, we are also required to make payments equal to one-half of one percent (0.5%) of the net proceeds of all private or public equity financings closed during the term of the note. The note payable to Desjardins was due on June 30, 2014. We made no payments on the Desjardins note during the fiscal year ended March 31, 2015.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0" w:name="page151"/>
    <w:bookmarkEnd w:id="15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312" w:lineRule="auto"/>
        <w:rPr>
          <w:sz w:val="20"/>
          <w:szCs w:val="20"/>
          <w:color w:val="auto"/>
        </w:rPr>
      </w:pPr>
      <w:r>
        <w:rPr>
          <w:rFonts w:ascii="Arial" w:cs="Arial" w:eastAsia="Arial" w:hAnsi="Arial"/>
          <w:sz w:val="10"/>
          <w:szCs w:val="10"/>
          <w:color w:val="auto"/>
        </w:rPr>
        <w:t>On May 5, 2011, we issued to McCarthy Tetrault LLP (</w:t>
      </w:r>
      <w:r>
        <w:rPr>
          <w:rFonts w:ascii="Arial" w:cs="Arial" w:eastAsia="Arial" w:hAnsi="Arial"/>
          <w:sz w:val="10"/>
          <w:szCs w:val="10"/>
          <w:i w:val="1"/>
          <w:iCs w:val="1"/>
          <w:color w:val="auto"/>
        </w:rPr>
        <w:t>McCarthy</w:t>
      </w:r>
      <w:r>
        <w:rPr>
          <w:rFonts w:ascii="Arial" w:cs="Arial" w:eastAsia="Arial" w:hAnsi="Arial"/>
          <w:sz w:val="10"/>
          <w:szCs w:val="10"/>
          <w:color w:val="auto"/>
        </w:rPr>
        <w:t xml:space="preserve">) an unsecured promissory note in the principal amount of CDN $502,797 for amounts payable in connection with Canadian legal services provided to us. The McCarthy note bears interest at 7.5% and was due, along with all accrued but unpaid interest on the earliest of (i) June 30, 2014, (ii) the consummation of a Change of Control, as defined in the McCarthy note, and (iii) any failure to pay principal or interest when due. We were required to make payments of CDN $10,000 per month beginning May 31, 2011, which payment amounts increased to CDN $15,000 per month on January 31, 2012. Beginning on January 1, 2012, we are also required to make payments equal to one percent (1%) of the net proceeds of all private or public equity financings closed during the term of the note. The note payable to McCarthy was due on June 14, 2014. On June 11, 2014, we and McCarthy agreed to extend the maturity date of the McCarthy note from June 14, 2014 to the earlier of (i) September 30, 2014, (ii) consummation of a financing in which we received gross cash proceeds of at least $15.0 million, or (iii) consummation of a change of control of the Company, as defined in the McCarthy note. McCarthy also agreed to forbear with respect to the requirement that we make monthly payments on the note from the date of the agreement until maturity and granted us a waiver with respect to previously missed monthly payments. We made no payments on the McCarthy note during the fiscal year ended March 31, 2015. As disclosed in Note 16, </w:t>
      </w:r>
      <w:r>
        <w:rPr>
          <w:rFonts w:ascii="Arial" w:cs="Arial" w:eastAsia="Arial" w:hAnsi="Arial"/>
          <w:sz w:val="10"/>
          <w:szCs w:val="10"/>
          <w:i w:val="1"/>
          <w:iCs w:val="1"/>
          <w:color w:val="auto"/>
        </w:rPr>
        <w:t>Subsequent Events</w:t>
      </w:r>
      <w:r>
        <w:rPr>
          <w:rFonts w:ascii="Arial" w:cs="Arial" w:eastAsia="Arial" w:hAnsi="Arial"/>
          <w:sz w:val="10"/>
          <w:szCs w:val="10"/>
          <w:color w:val="auto"/>
        </w:rPr>
        <w:t>, in May 2015, the McCarthy note in the aggregate amount (principal and accrued but unpaid interest) of approximately $414,600 was converted into 59.230 shares of our Series B Preferred, eliminating approximately $414,600 of our indebtedness.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On August 30, 2012, we issued a promissory note in the principal amount of $60,000 and 750 restricted shares of our common stock valued at a market price of $18.80 per share to Progressive Medical Research in settlement of past due obligations for clinical research services in the amount of $79,900. Under the terms of the settlement, we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our assets or upon our completion of a financing transaction, or series of transactions, resulting in gross proceeds to us of at least $4.0 million in any three-month period, excluding proceeds from stock option or warrant exercises. We made no payments on this note during the fiscal year ended March 31, 2015.</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On October 12, 2009, VistaGen California issued a promissory note payable to the Regents of the University of California (“</w:t>
      </w:r>
      <w:r>
        <w:rPr>
          <w:rFonts w:ascii="Arial" w:cs="Arial" w:eastAsia="Arial" w:hAnsi="Arial"/>
          <w:sz w:val="11"/>
          <w:szCs w:val="11"/>
          <w:i w:val="1"/>
          <w:iCs w:val="1"/>
          <w:color w:val="auto"/>
        </w:rPr>
        <w:t>UC</w:t>
      </w:r>
      <w:r>
        <w:rPr>
          <w:rFonts w:ascii="Arial" w:cs="Arial" w:eastAsia="Arial" w:hAnsi="Arial"/>
          <w:sz w:val="11"/>
          <w:szCs w:val="11"/>
          <w:color w:val="auto"/>
        </w:rPr>
        <w:t xml:space="preserve">”) with a principal balance of $90,000 in exchange for the cancellation of certain amounts payable under a research collaboration agreement (the </w:t>
      </w:r>
      <w:r>
        <w:rPr>
          <w:rFonts w:ascii="Arial" w:cs="Arial" w:eastAsia="Arial" w:hAnsi="Arial"/>
          <w:sz w:val="11"/>
          <w:szCs w:val="11"/>
          <w:i w:val="1"/>
          <w:iCs w:val="1"/>
          <w:color w:val="auto"/>
        </w:rPr>
        <w:t>UC Note 1</w:t>
      </w:r>
      <w:r>
        <w:rPr>
          <w:rFonts w:ascii="Arial" w:cs="Arial" w:eastAsia="Arial" w:hAnsi="Arial"/>
          <w:sz w:val="11"/>
          <w:szCs w:val="11"/>
          <w:color w:val="auto"/>
        </w:rPr>
        <w:t>).. On February 25, 2010, VistaGen California issued a promissory note payable to UC having a principal balance of $170,000 in exchange for the cancellation of the remaining $60,000 principal balance of UC Note 1 and certain amounts payable under a research collaboration agreement (</w:t>
      </w:r>
      <w:r>
        <w:rPr>
          <w:rFonts w:ascii="Arial" w:cs="Arial" w:eastAsia="Arial" w:hAnsi="Arial"/>
          <w:sz w:val="11"/>
          <w:szCs w:val="11"/>
          <w:i w:val="1"/>
          <w:iCs w:val="1"/>
          <w:color w:val="auto"/>
        </w:rPr>
        <w:t>UC Note 2</w:t>
      </w:r>
      <w:r>
        <w:rPr>
          <w:rFonts w:ascii="Arial" w:cs="Arial" w:eastAsia="Arial" w:hAnsi="Arial"/>
          <w:sz w:val="11"/>
          <w:szCs w:val="11"/>
          <w:color w:val="auto"/>
        </w:rPr>
        <w:t>). UC Note 2 was payable in monthly principal installments of $15,000 through May 31, 2010, with the remaining $125,000 plus all accrued and unpaid interest due on or before June 30, 2010. Between June 2010 and December 2010, VistaGen California amended UC Note 2 multiple times, ultimately resulting in a decrease in the monthly payment amount to $5,000, with payments continuing until the outstanding balance of principal and interest is paid in full. We made no payments on UC Note 2 during the fiscal year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-381000</wp:posOffset>
            </wp:positionV>
            <wp:extent cx="17145"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9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March 1, 2010, VistaGen California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1"/>
          <w:szCs w:val="11"/>
          <w:i w:val="1"/>
          <w:iCs w:val="1"/>
          <w:color w:val="auto"/>
        </w:rPr>
        <w:t>March 2010 Note</w:t>
      </w:r>
      <w:r>
        <w:rPr>
          <w:rFonts w:ascii="Arial" w:cs="Arial" w:eastAsia="Arial" w:hAnsi="Arial"/>
          <w:sz w:val="11"/>
          <w:szCs w:val="11"/>
          <w:color w:val="auto"/>
        </w:rPr>
        <w:t>). On December 28, 2010, VistaGen California amended the March 2010 Note and extended its maturity date to the first to occur of April 30, 2011 or 30 days following the closing of a financing with gross proceeds of $5,000,000 or more. We made no payments on this note during the fiscal year ended March 31, 2015.</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August 13, 2010, VistaGen California issued a 10% promissory note with a principal balance of $41,000 to MicroConstants, Inc. in exchange for the cancellation of certain amounts payable for services rendered. Under the terms of this note, VistaGen California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our stock or assets. We made no payments on this note during the fiscal year ended March 31, 2015.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1" w:name="page152"/>
    <w:bookmarkEnd w:id="15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Capital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Reverse Split (Stock Consolidation) of our Common Stock</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As indicated in Note 2, </w:t>
      </w:r>
      <w:r>
        <w:rPr>
          <w:rFonts w:ascii="Arial" w:cs="Arial" w:eastAsia="Arial" w:hAnsi="Arial"/>
          <w:sz w:val="12"/>
          <w:szCs w:val="12"/>
          <w:i w:val="1"/>
          <w:iCs w:val="1"/>
          <w:color w:val="auto"/>
        </w:rPr>
        <w:t>Basis of Presentation and Going Concern</w:t>
      </w:r>
      <w:r>
        <w:rPr>
          <w:rFonts w:ascii="Arial" w:cs="Arial" w:eastAsia="Arial" w:hAnsi="Arial"/>
          <w:sz w:val="12"/>
          <w:szCs w:val="12"/>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Series A Preferred Stock</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December 2011, our Board of Directors authorized the creation of a series of up to 500,000 shares of Series A Preferred, par value $0.001 (</w:t>
      </w:r>
      <w:r>
        <w:rPr>
          <w:rFonts w:ascii="Arial" w:cs="Arial" w:eastAsia="Arial" w:hAnsi="Arial"/>
          <w:sz w:val="12"/>
          <w:szCs w:val="12"/>
          <w:i w:val="1"/>
          <w:iCs w:val="1"/>
          <w:color w:val="auto"/>
        </w:rPr>
        <w:t>Series A Preferred</w:t>
      </w:r>
      <w:r>
        <w:rPr>
          <w:rFonts w:ascii="Arial" w:cs="Arial" w:eastAsia="Arial" w:hAnsi="Arial"/>
          <w:sz w:val="12"/>
          <w:szCs w:val="12"/>
          <w:color w:val="auto"/>
        </w:rPr>
        <w:t>). Each restricted share of Series A Preferred was initially convertible at the option of the holder into one-half of one restricted share of our common stock. The Series A Preferred ranks prior to the common stock for purposes of liquidation preference.</w:t>
      </w:r>
    </w:p>
    <w:p>
      <w:pPr>
        <w:spacing w:after="0" w:line="13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At March 31, 2015 and 2014, there were 500,000 restricted shares of Series A Preferred outstanding, all issued to Platinum or its affiliates.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0" w:lineRule="exact"/>
        <w:rPr>
          <w:sz w:val="20"/>
          <w:szCs w:val="20"/>
          <w:color w:val="auto"/>
        </w:rPr>
      </w:pPr>
    </w:p>
    <w:p>
      <w:pPr>
        <w:ind w:left="920" w:hanging="340"/>
        <w:spacing w:after="0"/>
        <w:tabs>
          <w:tab w:leader="none" w:pos="920" w:val="left"/>
        </w:tabs>
        <w:numPr>
          <w:ilvl w:val="0"/>
          <w:numId w:val="79"/>
        </w:numPr>
        <w:rPr>
          <w:rFonts w:ascii="Arial" w:cs="Arial" w:eastAsia="Arial" w:hAnsi="Arial"/>
          <w:sz w:val="12"/>
          <w:szCs w:val="12"/>
          <w:color w:val="auto"/>
        </w:rPr>
      </w:pPr>
      <w:r>
        <w:rPr>
          <w:rFonts w:ascii="Arial" w:cs="Arial" w:eastAsia="Arial" w:hAnsi="Arial"/>
          <w:sz w:val="12"/>
          <w:szCs w:val="12"/>
          <w:b w:val="1"/>
          <w:bCs w:val="1"/>
          <w:i w:val="1"/>
          <w:iCs w:val="1"/>
          <w:color w:val="auto"/>
        </w:rPr>
        <w:t>December 2011 Common Stock Exchange Agreement with Platinum</w:t>
      </w:r>
    </w:p>
    <w:p>
      <w:pPr>
        <w:spacing w:after="0" w:line="150" w:lineRule="exact"/>
        <w:rPr>
          <w:rFonts w:ascii="Arial" w:cs="Arial" w:eastAsia="Arial" w:hAnsi="Arial"/>
          <w:sz w:val="12"/>
          <w:szCs w:val="12"/>
          <w:color w:val="auto"/>
        </w:rPr>
      </w:pPr>
    </w:p>
    <w:p>
      <w:pPr>
        <w:jc w:val="both"/>
        <w:ind w:left="920"/>
        <w:spacing w:after="0" w:line="259" w:lineRule="auto"/>
        <w:rPr>
          <w:rFonts w:ascii="Arial" w:cs="Arial" w:eastAsia="Arial" w:hAnsi="Arial"/>
          <w:sz w:val="12"/>
          <w:szCs w:val="12"/>
          <w:color w:val="auto"/>
        </w:rPr>
      </w:pPr>
      <w:r>
        <w:rPr>
          <w:rFonts w:ascii="Arial" w:cs="Arial" w:eastAsia="Arial" w:hAnsi="Arial"/>
          <w:sz w:val="12"/>
          <w:szCs w:val="12"/>
          <w:color w:val="auto"/>
        </w:rPr>
        <w:t>On December 22, 2011, we entered into a Common Stock Exchange Agreement (the Exchange Agreement") with Platinum, pursuant to which Platinum converted 24,200 restricted shares of our common stock into 45,980 restricted shares of Series A Preferred (the Exchange). Each restricted share of Series A Preferred issued to Platinum was initially convertible into ten restricted shares of our common stock. At the time of the Exchange, we determined the fair value of the common stock subject to the Exchange to be $31.00 per share and have reflected the 24,200 restricted common shares as treasury stock on that basis in the accompanying Consolidated Balance Sheet at March 31, 2015 and 2014.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2" w:name="page153"/>
    <w:bookmarkEnd w:id="15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ind w:left="920" w:hanging="340"/>
        <w:spacing w:after="0"/>
        <w:tabs>
          <w:tab w:leader="none" w:pos="920" w:val="left"/>
        </w:tabs>
        <w:numPr>
          <w:ilvl w:val="0"/>
          <w:numId w:val="80"/>
        </w:numPr>
        <w:rPr>
          <w:rFonts w:ascii="Arial" w:cs="Arial" w:eastAsia="Arial" w:hAnsi="Arial"/>
          <w:sz w:val="12"/>
          <w:szCs w:val="12"/>
          <w:color w:val="auto"/>
        </w:rPr>
      </w:pPr>
      <w:r>
        <w:rPr>
          <w:rFonts w:ascii="Arial" w:cs="Arial" w:eastAsia="Arial" w:hAnsi="Arial"/>
          <w:sz w:val="12"/>
          <w:szCs w:val="12"/>
          <w:b w:val="1"/>
          <w:bCs w:val="1"/>
          <w:i w:val="1"/>
          <w:iCs w:val="1"/>
          <w:color w:val="auto"/>
        </w:rPr>
        <w:t>December 2011 Note and Warrant Exchange Agreement with Platinum</w:t>
      </w:r>
    </w:p>
    <w:p>
      <w:pPr>
        <w:spacing w:after="0" w:line="150" w:lineRule="exact"/>
        <w:rPr>
          <w:rFonts w:ascii="Arial" w:cs="Arial" w:eastAsia="Arial" w:hAnsi="Arial"/>
          <w:sz w:val="12"/>
          <w:szCs w:val="12"/>
          <w:color w:val="auto"/>
        </w:rPr>
      </w:pPr>
    </w:p>
    <w:p>
      <w:pPr>
        <w:jc w:val="both"/>
        <w:ind w:left="920"/>
        <w:spacing w:after="0" w:line="283" w:lineRule="auto"/>
        <w:rPr>
          <w:rFonts w:ascii="Arial" w:cs="Arial" w:eastAsia="Arial" w:hAnsi="Arial"/>
          <w:sz w:val="12"/>
          <w:szCs w:val="12"/>
          <w:color w:val="auto"/>
        </w:rPr>
      </w:pPr>
      <w:r>
        <w:rPr>
          <w:rFonts w:ascii="Arial" w:cs="Arial" w:eastAsia="Arial" w:hAnsi="Arial"/>
          <w:sz w:val="11"/>
          <w:szCs w:val="11"/>
          <w:color w:val="auto"/>
        </w:rPr>
        <w:t>On December 29, 2011, we entered into a Note and Warrant Exchange Agreement with Platinum pursuant to which a promissory note in the face amount of $4,000,000 plus accrued interest and all outstanding warrants issued to Platinum to purchase an aggregate of 79,993 restricted shares of our common stock were cancelled in exchange for 391,075 restricted shares of Series A Preferred. Each share of Series A Preferred was initially convertible into one-half of one share of our common stock. We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79,993 outstanding warrants held by Platinum, and a contractual conversion basis of $35.00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31" w:lineRule="exact"/>
        <w:rPr>
          <w:rFonts w:ascii="Arial" w:cs="Arial" w:eastAsia="Arial" w:hAnsi="Arial"/>
          <w:sz w:val="12"/>
          <w:szCs w:val="12"/>
          <w:color w:val="auto"/>
        </w:rPr>
      </w:pPr>
    </w:p>
    <w:p>
      <w:pPr>
        <w:ind w:left="920" w:hanging="340"/>
        <w:spacing w:after="0"/>
        <w:tabs>
          <w:tab w:leader="none" w:pos="920" w:val="left"/>
        </w:tabs>
        <w:numPr>
          <w:ilvl w:val="0"/>
          <w:numId w:val="80"/>
        </w:numPr>
        <w:rPr>
          <w:rFonts w:ascii="Arial" w:cs="Arial" w:eastAsia="Arial" w:hAnsi="Arial"/>
          <w:sz w:val="12"/>
          <w:szCs w:val="12"/>
          <w:color w:val="auto"/>
        </w:rPr>
      </w:pPr>
      <w:r>
        <w:rPr>
          <w:rFonts w:ascii="Arial" w:cs="Arial" w:eastAsia="Arial" w:hAnsi="Arial"/>
          <w:sz w:val="12"/>
          <w:szCs w:val="12"/>
          <w:b w:val="1"/>
          <w:bCs w:val="1"/>
          <w:i w:val="1"/>
          <w:iCs w:val="1"/>
          <w:color w:val="auto"/>
        </w:rPr>
        <w:t>2012 Exchange Agreement with Platinum</w:t>
      </w:r>
    </w:p>
    <w:p>
      <w:pPr>
        <w:spacing w:after="0" w:line="150" w:lineRule="exact"/>
        <w:rPr>
          <w:rFonts w:ascii="Arial" w:cs="Arial" w:eastAsia="Arial" w:hAnsi="Arial"/>
          <w:sz w:val="12"/>
          <w:szCs w:val="12"/>
          <w:color w:val="auto"/>
        </w:rPr>
      </w:pPr>
    </w:p>
    <w:p>
      <w:pPr>
        <w:jc w:val="both"/>
        <w:ind w:left="920"/>
        <w:spacing w:after="0" w:line="290" w:lineRule="auto"/>
        <w:rPr>
          <w:rFonts w:ascii="Arial" w:cs="Arial" w:eastAsia="Arial" w:hAnsi="Arial"/>
          <w:sz w:val="12"/>
          <w:szCs w:val="12"/>
          <w:color w:val="auto"/>
        </w:rPr>
      </w:pPr>
      <w:r>
        <w:rPr>
          <w:rFonts w:ascii="Arial" w:cs="Arial" w:eastAsia="Arial" w:hAnsi="Arial"/>
          <w:sz w:val="11"/>
          <w:szCs w:val="11"/>
          <w:color w:val="auto"/>
        </w:rPr>
        <w:t>On June 29, 2012, we entered into an Exchange Agreement (the 2012 Platinum Exchange Agreement) with Platinum pursuant to which we issued Platinum 62,945 restricted shares of Series A Preferred in exchange for 31,473 restricted shares of our common stock then owned by Platinum, in consideration for Platinum’s agreement to purchase from us a senior secured convertible promissory note in the face amount of $500,000. We estimated the fair value of the Series A Preferred shares tendered to Platinum under the terms of the 2012 Platinum Exchange Agreement at $736,400 ($23.40 per share on a common share equivalent basis). The common shares exchanged for shares of Series A Preferred are treated as treasury stock on that basis in the accompanying Consolidated Balance Sheet at March 31, 2015 and 2014.</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Series A Preferred Exchange Right</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Pursuant to the October 2012 Agreement described more completely in Note 8,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Platinum’s exchange rights in the Series A Preferred were modified such that Platinum now has the right and option to exchange the 500,000 restricted shares of our Series A Preferred that it holds for (i) a total of 750,000 restricted shares of our common stock, and (ii) a five-year warrant to purchase 350,000 restricted shares of our common stock, originally at an exercise price of $30.00 per share (</w:t>
      </w:r>
      <w:r>
        <w:rPr>
          <w:rFonts w:ascii="Arial" w:cs="Arial" w:eastAsia="Arial" w:hAnsi="Arial"/>
          <w:sz w:val="11"/>
          <w:szCs w:val="11"/>
          <w:i w:val="1"/>
          <w:iCs w:val="1"/>
          <w:color w:val="auto"/>
        </w:rPr>
        <w:t>Series A Exchange Warrant</w:t>
      </w:r>
      <w:r>
        <w:rPr>
          <w:rFonts w:ascii="Arial" w:cs="Arial" w:eastAsia="Arial" w:hAnsi="Arial"/>
          <w:sz w:val="11"/>
          <w:szCs w:val="11"/>
          <w:color w:val="auto"/>
        </w:rPr>
        <w:t xml:space="preserve">). The Series A Exchange Warrant, when issued, will have the same features, including exercise price and anti-dilution provisions as the Exchange Warrant and the Investment Warrants issued to Platinum between October 2012 and July 2013 (collectively, the </w:t>
      </w:r>
      <w:r>
        <w:rPr>
          <w:rFonts w:ascii="Arial" w:cs="Arial" w:eastAsia="Arial" w:hAnsi="Arial"/>
          <w:sz w:val="11"/>
          <w:szCs w:val="11"/>
          <w:i w:val="1"/>
          <w:iCs w:val="1"/>
          <w:color w:val="auto"/>
        </w:rPr>
        <w:t>Platinum Warrants</w:t>
      </w:r>
      <w:r>
        <w:rPr>
          <w:rFonts w:ascii="Arial" w:cs="Arial" w:eastAsia="Arial" w:hAnsi="Arial"/>
          <w:sz w:val="11"/>
          <w:szCs w:val="11"/>
          <w:color w:val="auto"/>
        </w:rPr>
        <w:t xml:space="preserve">) and accordingly, has been treated as a component of Warrant Liability in our Consolidated Balance Sheets since the effective date of the October 2012 Agreement. Effective on May 24, 2013, we entered into an Amendment and Waiver Agreement (the </w:t>
      </w:r>
      <w:r>
        <w:rPr>
          <w:rFonts w:ascii="Arial" w:cs="Arial" w:eastAsia="Arial" w:hAnsi="Arial"/>
          <w:sz w:val="11"/>
          <w:szCs w:val="11"/>
          <w:i w:val="1"/>
          <w:iCs w:val="1"/>
          <w:color w:val="auto"/>
        </w:rPr>
        <w:t>Amendment and Waiver</w:t>
      </w:r>
      <w:r>
        <w:rPr>
          <w:rFonts w:ascii="Arial" w:cs="Arial" w:eastAsia="Arial" w:hAnsi="Arial"/>
          <w:sz w:val="11"/>
          <w:szCs w:val="11"/>
          <w:color w:val="auto"/>
        </w:rPr>
        <w:t>) with Platinum pursuant to which we agreed to reduce the exercise price of the Platinum Warrants and the Series A Exchange Warrant from $30.00 per share to $10.00 per share in consideration for Platinum’s agreement to waive certain of its rights under the anti-dilution provisions of the Platinum Warrants and the Series A Exchange Warrant. See the section entitled Modification of Platinum Warrants, later in this note, for a more complete description of the Amendment and Waiver.</w:t>
      </w:r>
    </w:p>
    <w:p>
      <w:pPr>
        <w:spacing w:after="0" w:line="13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Similarly to the Platinum Warrants, we remeasure the fair value of the Series A Exchange Warrant at each quarterly reporting period and reflect the change in its fair value as a component of the Change in Warrant Liability in the Consolidated Statement of Operations. The fair value of the Series A Exchange Warrant was determined to be $2,198,400 and $2,058,600 as of March 31, 2015 and 2014, respectively, and the $139,800 increase in fair value since March 31, 2014 is reflected as a component of the Change in Warrant Liability in the accompanying Consolidated Statement of Operations and Comprehensive Loss for the fiscal year ended March 31, 2015.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3" w:name="page154"/>
    <w:bookmarkEnd w:id="15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described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Creation of Series B Preferred Stock</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July 17, 2014, our Board of Directors authorized the creation of a class of Series B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to provide for the potential conversion of the Senior Secured Convertible Promissory Notes held by Platinum totaling approximately $4.3 million in principal and accrued interest at December 31, 2014 (</w:t>
      </w:r>
      <w:r>
        <w:rPr>
          <w:rFonts w:ascii="Arial" w:cs="Arial" w:eastAsia="Arial" w:hAnsi="Arial"/>
          <w:sz w:val="12"/>
          <w:szCs w:val="12"/>
          <w:i w:val="1"/>
          <w:iCs w:val="1"/>
          <w:color w:val="auto"/>
        </w:rPr>
        <w:t>Outstanding Balance</w:t>
      </w:r>
      <w:r>
        <w:rPr>
          <w:rFonts w:ascii="Arial" w:cs="Arial" w:eastAsia="Arial" w:hAnsi="Arial"/>
          <w:sz w:val="12"/>
          <w:szCs w:val="12"/>
          <w:color w:val="auto"/>
        </w:rPr>
        <w:t xml:space="preserve">) into Series B Preferred. At March 31, 2015, we had not yet filed a certificate of designation with the Nevada Secretary of State to amend our Articles of Incorporation to formally establish the Series B Preferred. Refer to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for information regarding the filing of a Certificate of Designation for the Series B Preferred with the Nevada Secretary of State and the issuance of Series B Preferred in May and June 2015.</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Between late-March 2014 and March 31, 2015, we entered into securities purchase agreements with accredited investors, including Platinum, pursuant to which we sold units to such accredited investors in private placement transactions (</w:t>
      </w:r>
      <w:r>
        <w:rPr>
          <w:rFonts w:ascii="Arial" w:cs="Arial" w:eastAsia="Arial" w:hAnsi="Arial"/>
          <w:sz w:val="11"/>
          <w:szCs w:val="11"/>
          <w:i w:val="1"/>
          <w:iCs w:val="1"/>
          <w:color w:val="auto"/>
        </w:rPr>
        <w:t>2014 Units</w:t>
      </w:r>
      <w:r>
        <w:rPr>
          <w:rFonts w:ascii="Arial" w:cs="Arial" w:eastAsia="Arial" w:hAnsi="Arial"/>
          <w:sz w:val="11"/>
          <w:szCs w:val="11"/>
          <w:color w:val="auto"/>
        </w:rPr>
        <w:t>), for aggregate cash proceeds of $3,113,500, consisting of (i) 2014 Unit Notes in the aggregate face amount of $3,113,500 which are due on March 31, 2015 or automatically convertible into securities we may issue upon the consummation of a Qualified Financing, defined as (a) an equity-based public financing registered with the SEC, or (b) a private equity-based financing or series of private equity-based financings, in either case in which we receive at least $10 million in gross cash proceeds prior to March 31, 2015; (ii) an aggregate of 282,850 restricted shares of our common stock (</w:t>
      </w:r>
      <w:r>
        <w:rPr>
          <w:rFonts w:ascii="Arial" w:cs="Arial" w:eastAsia="Arial" w:hAnsi="Arial"/>
          <w:sz w:val="11"/>
          <w:szCs w:val="11"/>
          <w:i w:val="1"/>
          <w:iCs w:val="1"/>
          <w:color w:val="auto"/>
        </w:rPr>
        <w:t>2014 Unit Stock)</w:t>
      </w:r>
      <w:r>
        <w:rPr>
          <w:rFonts w:ascii="Arial" w:cs="Arial" w:eastAsia="Arial" w:hAnsi="Arial"/>
          <w:sz w:val="11"/>
          <w:szCs w:val="11"/>
          <w:color w:val="auto"/>
        </w:rPr>
        <w:t>; and (iii) warrants exercisable through December 31, 2016 to purchase an aggregate of 282,850 restricted shares of our common stock at an exercise price of $10.00 per share (</w:t>
      </w:r>
      <w:r>
        <w:rPr>
          <w:rFonts w:ascii="Arial" w:cs="Arial" w:eastAsia="Arial" w:hAnsi="Arial"/>
          <w:sz w:val="11"/>
          <w:szCs w:val="11"/>
          <w:i w:val="1"/>
          <w:iCs w:val="1"/>
          <w:color w:val="auto"/>
        </w:rPr>
        <w:t>2014 Unit Warrants</w:t>
      </w:r>
      <w:r>
        <w:rPr>
          <w:rFonts w:ascii="Arial" w:cs="Arial" w:eastAsia="Arial" w:hAnsi="Arial"/>
          <w:sz w:val="11"/>
          <w:szCs w:val="11"/>
          <w:color w:val="auto"/>
        </w:rPr>
        <w:t xml:space="preserve">). We sold $1,250,000 of such Units to Platinum, issuing 2014 Unit Notes in the face amount of $1,250,000; 125,000 restricted shares of 2014 Unit Stock and 2014 Unit Warrants to purchase 125,000 shares of our common stock to Platinum.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2014 Units prior to March 31, 2014, which Units are reflected in the figures above. See Note 16, </w:t>
      </w:r>
      <w:r>
        <w:rPr>
          <w:rFonts w:ascii="Arial" w:cs="Arial" w:eastAsia="Arial" w:hAnsi="Arial"/>
          <w:sz w:val="11"/>
          <w:szCs w:val="11"/>
          <w:i w:val="1"/>
          <w:iCs w:val="1"/>
          <w:color w:val="auto"/>
        </w:rPr>
        <w:t>Subsequent</w:t>
      </w:r>
      <w:r>
        <w:rPr>
          <w:rFonts w:ascii="Arial" w:cs="Arial" w:eastAsia="Arial" w:hAnsi="Arial"/>
          <w:sz w:val="11"/>
          <w:szCs w:val="11"/>
          <w:color w:val="auto"/>
        </w:rPr>
        <w:t xml:space="preserve"> </w:t>
      </w:r>
      <w:r>
        <w:rPr>
          <w:rFonts w:ascii="Arial" w:cs="Arial" w:eastAsia="Arial" w:hAnsi="Arial"/>
          <w:sz w:val="11"/>
          <w:szCs w:val="11"/>
          <w:i w:val="1"/>
          <w:iCs w:val="1"/>
          <w:color w:val="auto"/>
        </w:rPr>
        <w:t>Events</w:t>
      </w:r>
      <w:r>
        <w:rPr>
          <w:rFonts w:ascii="Arial" w:cs="Arial" w:eastAsia="Arial" w:hAnsi="Arial"/>
          <w:sz w:val="11"/>
          <w:szCs w:val="11"/>
          <w:color w:val="auto"/>
        </w:rPr>
        <w:t>, for information regarding additional sales of 2014 Unit Notes in April and May 2015 and the conversion of the 2014 Unit Notes pursuant to a private placement financing in May 2015.</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allocated the proceeds from the sale of the 2014 Units to the various securities based on their relative fair values on the dates of the sales. As described in Note 8, </w:t>
      </w:r>
      <w:r>
        <w:rPr>
          <w:rFonts w:ascii="Arial" w:cs="Arial" w:eastAsia="Arial" w:hAnsi="Arial"/>
          <w:sz w:val="11"/>
          <w:szCs w:val="11"/>
          <w:i w:val="1"/>
          <w:iCs w:val="1"/>
          <w:color w:val="auto"/>
        </w:rPr>
        <w:t>Convertible PromissoryNotes and Other Notes Payable</w:t>
      </w:r>
      <w:r>
        <w:rPr>
          <w:rFonts w:ascii="Arial" w:cs="Arial" w:eastAsia="Arial" w:hAnsi="Arial"/>
          <w:sz w:val="11"/>
          <w:szCs w:val="11"/>
          <w:color w:val="auto"/>
        </w:rPr>
        <w:t>, based on the short-term nature of the Unit Notes, we determined that fair value of the 2014 Unit Notes was equal to their face value. We determined the fair value of the 2014 Unit 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Unit Warrants</w:t>
            </w: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color w:val="auto"/>
                <w:w w:val="97"/>
              </w:rPr>
              <w:t>Weighted Average Issuance Date Valuation Assumptions</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0"/>
              <w:spacing w:after="0"/>
              <w:rPr>
                <w:sz w:val="20"/>
                <w:szCs w:val="20"/>
                <w:color w:val="auto"/>
              </w:rPr>
            </w:pPr>
            <w:r>
              <w:rPr>
                <w:rFonts w:ascii="Arial" w:cs="Arial" w:eastAsia="Arial" w:hAnsi="Arial"/>
                <w:sz w:val="12"/>
                <w:szCs w:val="12"/>
                <w:color w:val="auto"/>
                <w:w w:val="85"/>
              </w:rPr>
              <w:t>Per Share</w:t>
            </w:r>
          </w:p>
        </w:tc>
        <w:tc>
          <w:tcPr>
            <w:tcW w:w="1120" w:type="dxa"/>
            <w:vAlign w:val="bottom"/>
            <w:gridSpan w:val="2"/>
          </w:tcPr>
          <w:p>
            <w:pPr>
              <w:spacing w:after="0"/>
              <w:rPr>
                <w:sz w:val="20"/>
                <w:szCs w:val="20"/>
                <w:color w:val="auto"/>
              </w:rPr>
            </w:pPr>
            <w:r>
              <w:rPr>
                <w:rFonts w:ascii="Arial" w:cs="Arial" w:eastAsia="Arial" w:hAnsi="Arial"/>
                <w:sz w:val="12"/>
                <w:szCs w:val="12"/>
                <w:color w:val="auto"/>
              </w:rPr>
              <w:t>Aggregate</w:t>
            </w: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Aggregate</w:t>
            </w:r>
          </w:p>
        </w:tc>
        <w:tc>
          <w:tcPr>
            <w:tcW w:w="2760" w:type="dxa"/>
            <w:vAlign w:val="bottom"/>
            <w:gridSpan w:val="4"/>
          </w:tcPr>
          <w:p>
            <w:pPr>
              <w:jc w:val="center"/>
              <w:ind w:right="160"/>
              <w:spacing w:after="0"/>
              <w:rPr>
                <w:sz w:val="20"/>
                <w:szCs w:val="20"/>
                <w:color w:val="auto"/>
              </w:rPr>
            </w:pPr>
            <w:r>
              <w:rPr>
                <w:rFonts w:ascii="Arial" w:cs="Arial" w:eastAsia="Arial" w:hAnsi="Arial"/>
                <w:sz w:val="12"/>
                <w:szCs w:val="12"/>
                <w:color w:val="auto"/>
                <w:w w:val="92"/>
              </w:rPr>
              <w:t>Aggregate Allocation of Proceeds</w:t>
            </w:r>
          </w:p>
        </w:tc>
        <w:tc>
          <w:tcPr>
            <w:tcW w:w="0" w:type="dxa"/>
            <w:vAlign w:val="bottom"/>
          </w:tcPr>
          <w:p>
            <w:pPr>
              <w:spacing w:after="0"/>
              <w:rPr>
                <w:sz w:val="1"/>
                <w:szCs w:val="1"/>
                <w:color w:val="auto"/>
              </w:rPr>
            </w:pPr>
          </w:p>
        </w:tc>
      </w:tr>
      <w:tr>
        <w:trPr>
          <w:trHeight w:val="124"/>
        </w:trPr>
        <w:tc>
          <w:tcPr>
            <w:tcW w:w="1080" w:type="dxa"/>
            <w:vAlign w:val="bottom"/>
          </w:tcPr>
          <w:p>
            <w:pPr>
              <w:jc w:val="center"/>
              <w:spacing w:after="0" w:line="124" w:lineRule="exact"/>
              <w:rPr>
                <w:sz w:val="20"/>
                <w:szCs w:val="20"/>
                <w:color w:val="auto"/>
              </w:rPr>
            </w:pPr>
            <w:r>
              <w:rPr>
                <w:rFonts w:ascii="Arial" w:cs="Arial" w:eastAsia="Arial" w:hAnsi="Arial"/>
                <w:sz w:val="12"/>
                <w:szCs w:val="12"/>
                <w:color w:val="auto"/>
                <w:w w:val="88"/>
              </w:rPr>
              <w:t>Warrant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jc w:val="center"/>
              <w:ind w:right="140"/>
              <w:spacing w:after="0" w:line="124" w:lineRule="exact"/>
              <w:rPr>
                <w:sz w:val="20"/>
                <w:szCs w:val="20"/>
                <w:color w:val="auto"/>
              </w:rPr>
            </w:pPr>
            <w:r>
              <w:rPr>
                <w:rFonts w:ascii="Arial" w:cs="Arial" w:eastAsia="Arial" w:hAnsi="Arial"/>
                <w:sz w:val="12"/>
                <w:szCs w:val="12"/>
                <w:color w:val="auto"/>
                <w:w w:val="92"/>
              </w:rPr>
              <w:t>Risk free</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60"/>
              <w:spacing w:after="0" w:line="124" w:lineRule="exact"/>
              <w:rPr>
                <w:sz w:val="20"/>
                <w:szCs w:val="20"/>
                <w:color w:val="auto"/>
              </w:rPr>
            </w:pPr>
            <w:r>
              <w:rPr>
                <w:rFonts w:ascii="Arial" w:cs="Arial" w:eastAsia="Arial" w:hAnsi="Arial"/>
                <w:sz w:val="12"/>
                <w:szCs w:val="12"/>
                <w:color w:val="auto"/>
                <w:w w:val="86"/>
              </w:rPr>
              <w:t>Fair</w:t>
            </w:r>
          </w:p>
        </w:tc>
        <w:tc>
          <w:tcPr>
            <w:tcW w:w="1120" w:type="dxa"/>
            <w:vAlign w:val="bottom"/>
            <w:gridSpan w:val="2"/>
          </w:tcPr>
          <w:p>
            <w:pPr>
              <w:jc w:val="center"/>
              <w:ind w:right="140"/>
              <w:spacing w:after="0" w:line="124" w:lineRule="exact"/>
              <w:rPr>
                <w:sz w:val="20"/>
                <w:szCs w:val="20"/>
                <w:color w:val="auto"/>
              </w:rPr>
            </w:pPr>
            <w:r>
              <w:rPr>
                <w:rFonts w:ascii="Arial" w:cs="Arial" w:eastAsia="Arial" w:hAnsi="Arial"/>
                <w:sz w:val="12"/>
                <w:szCs w:val="12"/>
                <w:color w:val="auto"/>
                <w:w w:val="91"/>
              </w:rPr>
              <w:t>Fair Value</w:t>
            </w:r>
          </w:p>
        </w:tc>
        <w:tc>
          <w:tcPr>
            <w:tcW w:w="1000" w:type="dxa"/>
            <w:vAlign w:val="bottom"/>
            <w:gridSpan w:val="2"/>
          </w:tcPr>
          <w:p>
            <w:pPr>
              <w:jc w:val="center"/>
              <w:ind w:right="260"/>
              <w:spacing w:after="0" w:line="124" w:lineRule="exact"/>
              <w:rPr>
                <w:sz w:val="20"/>
                <w:szCs w:val="20"/>
                <w:color w:val="auto"/>
              </w:rPr>
            </w:pPr>
            <w:r>
              <w:rPr>
                <w:rFonts w:ascii="Arial" w:cs="Arial" w:eastAsia="Arial" w:hAnsi="Arial"/>
                <w:sz w:val="12"/>
                <w:szCs w:val="12"/>
                <w:color w:val="auto"/>
                <w:w w:val="82"/>
              </w:rPr>
              <w:t>Proceeds</w:t>
            </w:r>
          </w:p>
        </w:tc>
        <w:tc>
          <w:tcPr>
            <w:tcW w:w="2760" w:type="dxa"/>
            <w:vAlign w:val="bottom"/>
            <w:gridSpan w:val="4"/>
          </w:tcPr>
          <w:p>
            <w:pPr>
              <w:jc w:val="center"/>
              <w:ind w:right="160"/>
              <w:spacing w:after="0" w:line="124" w:lineRule="exact"/>
              <w:rPr>
                <w:sz w:val="20"/>
                <w:szCs w:val="20"/>
                <w:color w:val="auto"/>
              </w:rPr>
            </w:pPr>
            <w:r>
              <w:rPr>
                <w:rFonts w:ascii="Arial" w:cs="Arial" w:eastAsia="Arial" w:hAnsi="Arial"/>
                <w:sz w:val="12"/>
                <w:szCs w:val="12"/>
                <w:color w:val="auto"/>
                <w:w w:val="90"/>
              </w:rPr>
              <w:t>Based on Relative Fair Value of:</w:t>
            </w:r>
          </w:p>
        </w:tc>
        <w:tc>
          <w:tcPr>
            <w:tcW w:w="0" w:type="dxa"/>
            <w:vAlign w:val="bottom"/>
          </w:tcPr>
          <w:p>
            <w:pPr>
              <w:spacing w:after="0"/>
              <w:rPr>
                <w:sz w:val="1"/>
                <w:szCs w:val="1"/>
                <w:color w:val="auto"/>
              </w:rPr>
            </w:pPr>
          </w:p>
        </w:tc>
      </w:tr>
      <w:tr>
        <w:trPr>
          <w:trHeight w:val="133"/>
        </w:trPr>
        <w:tc>
          <w:tcPr>
            <w:tcW w:w="1160" w:type="dxa"/>
            <w:vAlign w:val="bottom"/>
            <w:gridSpan w:val="2"/>
          </w:tcPr>
          <w:p>
            <w:pPr>
              <w:jc w:val="center"/>
              <w:ind w:right="80"/>
              <w:spacing w:after="0" w:line="133" w:lineRule="exact"/>
              <w:rPr>
                <w:sz w:val="20"/>
                <w:szCs w:val="20"/>
                <w:color w:val="auto"/>
              </w:rPr>
            </w:pPr>
            <w:r>
              <w:rPr>
                <w:rFonts w:ascii="Arial" w:cs="Arial" w:eastAsia="Arial" w:hAnsi="Arial"/>
                <w:sz w:val="12"/>
                <w:szCs w:val="12"/>
                <w:color w:val="auto"/>
                <w:w w:val="84"/>
              </w:rPr>
              <w:t>Shares</w:t>
            </w:r>
          </w:p>
        </w:tc>
        <w:tc>
          <w:tcPr>
            <w:tcW w:w="64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98"/>
              </w:rPr>
              <w:t>Market</w:t>
            </w:r>
          </w:p>
        </w:tc>
        <w:tc>
          <w:tcPr>
            <w:tcW w:w="80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86"/>
              </w:rPr>
              <w:t>Exercise</w:t>
            </w:r>
          </w:p>
        </w:tc>
        <w:tc>
          <w:tcPr>
            <w:tcW w:w="78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92"/>
              </w:rPr>
              <w:t>Term</w:t>
            </w:r>
          </w:p>
        </w:tc>
        <w:tc>
          <w:tcPr>
            <w:tcW w:w="84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89"/>
              </w:rPr>
              <w:t>Interest</w:t>
            </w:r>
          </w:p>
        </w:tc>
        <w:tc>
          <w:tcPr>
            <w:tcW w:w="820" w:type="dxa"/>
            <w:vAlign w:val="bottom"/>
          </w:tcPr>
          <w:p>
            <w:pPr>
              <w:spacing w:after="0"/>
              <w:rPr>
                <w:sz w:val="11"/>
                <w:szCs w:val="11"/>
                <w:color w:val="auto"/>
              </w:rPr>
            </w:pPr>
          </w:p>
        </w:tc>
        <w:tc>
          <w:tcPr>
            <w:tcW w:w="880" w:type="dxa"/>
            <w:vAlign w:val="bottom"/>
            <w:gridSpan w:val="2"/>
          </w:tcPr>
          <w:p>
            <w:pPr>
              <w:jc w:val="center"/>
              <w:ind w:right="200"/>
              <w:spacing w:after="0" w:line="133" w:lineRule="exact"/>
              <w:rPr>
                <w:sz w:val="20"/>
                <w:szCs w:val="20"/>
                <w:color w:val="auto"/>
              </w:rPr>
            </w:pPr>
            <w:r>
              <w:rPr>
                <w:rFonts w:ascii="Arial" w:cs="Arial" w:eastAsia="Arial" w:hAnsi="Arial"/>
                <w:sz w:val="12"/>
                <w:szCs w:val="12"/>
                <w:color w:val="auto"/>
                <w:w w:val="94"/>
              </w:rPr>
              <w:t>Dividend</w:t>
            </w:r>
          </w:p>
        </w:tc>
        <w:tc>
          <w:tcPr>
            <w:tcW w:w="70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0"/>
              </w:rPr>
              <w:t>Value of</w:t>
            </w:r>
          </w:p>
        </w:tc>
        <w:tc>
          <w:tcPr>
            <w:tcW w:w="11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w w:val="97"/>
              </w:rPr>
              <w:t>of Unit</w:t>
            </w:r>
          </w:p>
        </w:tc>
        <w:tc>
          <w:tcPr>
            <w:tcW w:w="88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7"/>
              </w:rPr>
              <w:t>of Unit</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00"/>
              <w:spacing w:after="0" w:line="133" w:lineRule="exact"/>
              <w:rPr>
                <w:sz w:val="20"/>
                <w:szCs w:val="20"/>
                <w:color w:val="auto"/>
              </w:rPr>
            </w:pPr>
            <w:r>
              <w:rPr>
                <w:rFonts w:ascii="Arial" w:cs="Arial" w:eastAsia="Arial" w:hAnsi="Arial"/>
                <w:sz w:val="12"/>
                <w:szCs w:val="12"/>
                <w:color w:val="auto"/>
              </w:rPr>
              <w:t>Unit</w:t>
            </w: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Issued</w:t>
            </w:r>
          </w:p>
        </w:tc>
        <w:tc>
          <w:tcPr>
            <w:tcW w:w="640" w:type="dxa"/>
            <w:vAlign w:val="bottom"/>
          </w:tcPr>
          <w:p>
            <w:pPr>
              <w:jc w:val="center"/>
              <w:ind w:right="100"/>
              <w:spacing w:after="0"/>
              <w:rPr>
                <w:sz w:val="20"/>
                <w:szCs w:val="20"/>
                <w:color w:val="auto"/>
              </w:rPr>
            </w:pPr>
            <w:r>
              <w:rPr>
                <w:rFonts w:ascii="Arial" w:cs="Arial" w:eastAsia="Arial" w:hAnsi="Arial"/>
                <w:sz w:val="12"/>
                <w:szCs w:val="12"/>
                <w:color w:val="auto"/>
                <w:w w:val="87"/>
              </w:rPr>
              <w:t>Price</w:t>
            </w:r>
          </w:p>
        </w:tc>
        <w:tc>
          <w:tcPr>
            <w:tcW w:w="800" w:type="dxa"/>
            <w:vAlign w:val="bottom"/>
          </w:tcPr>
          <w:p>
            <w:pPr>
              <w:jc w:val="center"/>
              <w:ind w:right="140"/>
              <w:spacing w:after="0"/>
              <w:rPr>
                <w:sz w:val="20"/>
                <w:szCs w:val="20"/>
                <w:color w:val="auto"/>
              </w:rPr>
            </w:pPr>
            <w:r>
              <w:rPr>
                <w:rFonts w:ascii="Arial" w:cs="Arial" w:eastAsia="Arial" w:hAnsi="Arial"/>
                <w:sz w:val="12"/>
                <w:szCs w:val="12"/>
                <w:color w:val="auto"/>
                <w:w w:val="87"/>
              </w:rPr>
              <w:t>Price</w:t>
            </w:r>
          </w:p>
        </w:tc>
        <w:tc>
          <w:tcPr>
            <w:tcW w:w="780" w:type="dxa"/>
            <w:vAlign w:val="bottom"/>
          </w:tcPr>
          <w:p>
            <w:pPr>
              <w:jc w:val="center"/>
              <w:ind w:right="140"/>
              <w:spacing w:after="0"/>
              <w:rPr>
                <w:sz w:val="20"/>
                <w:szCs w:val="20"/>
                <w:color w:val="auto"/>
              </w:rPr>
            </w:pPr>
            <w:r>
              <w:rPr>
                <w:rFonts w:ascii="Arial" w:cs="Arial" w:eastAsia="Arial" w:hAnsi="Arial"/>
                <w:sz w:val="12"/>
                <w:szCs w:val="12"/>
                <w:color w:val="auto"/>
                <w:w w:val="86"/>
              </w:rPr>
              <w:t>(Years)</w:t>
            </w:r>
          </w:p>
        </w:tc>
        <w:tc>
          <w:tcPr>
            <w:tcW w:w="840" w:type="dxa"/>
            <w:vAlign w:val="bottom"/>
          </w:tcPr>
          <w:p>
            <w:pPr>
              <w:jc w:val="center"/>
              <w:ind w:right="120"/>
              <w:spacing w:after="0"/>
              <w:rPr>
                <w:sz w:val="20"/>
                <w:szCs w:val="20"/>
                <w:color w:val="auto"/>
              </w:rPr>
            </w:pPr>
            <w:r>
              <w:rPr>
                <w:rFonts w:ascii="Arial" w:cs="Arial" w:eastAsia="Arial" w:hAnsi="Arial"/>
                <w:sz w:val="12"/>
                <w:szCs w:val="12"/>
                <w:color w:val="auto"/>
                <w:w w:val="86"/>
              </w:rPr>
              <w:t>Rate</w:t>
            </w:r>
          </w:p>
        </w:tc>
        <w:tc>
          <w:tcPr>
            <w:tcW w:w="820" w:type="dxa"/>
            <w:vAlign w:val="bottom"/>
          </w:tcPr>
          <w:p>
            <w:pPr>
              <w:jc w:val="right"/>
              <w:ind w:right="240"/>
              <w:spacing w:after="0"/>
              <w:rPr>
                <w:sz w:val="20"/>
                <w:szCs w:val="20"/>
                <w:color w:val="auto"/>
              </w:rPr>
            </w:pPr>
            <w:r>
              <w:rPr>
                <w:rFonts w:ascii="Arial" w:cs="Arial" w:eastAsia="Arial" w:hAnsi="Arial"/>
                <w:sz w:val="12"/>
                <w:szCs w:val="12"/>
                <w:color w:val="auto"/>
              </w:rPr>
              <w:t>Volatility</w:t>
            </w:r>
          </w:p>
        </w:tc>
        <w:tc>
          <w:tcPr>
            <w:tcW w:w="88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right="60"/>
              <w:spacing w:after="0"/>
              <w:rPr>
                <w:sz w:val="20"/>
                <w:szCs w:val="20"/>
                <w:color w:val="auto"/>
              </w:rPr>
            </w:pPr>
            <w:r>
              <w:rPr>
                <w:rFonts w:ascii="Arial" w:cs="Arial" w:eastAsia="Arial" w:hAnsi="Arial"/>
                <w:sz w:val="12"/>
                <w:szCs w:val="12"/>
                <w:color w:val="auto"/>
                <w:w w:val="88"/>
              </w:rPr>
              <w:t>Warrant</w:t>
            </w:r>
          </w:p>
        </w:tc>
        <w:tc>
          <w:tcPr>
            <w:tcW w:w="11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Warrants</w:t>
            </w: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Sales</w:t>
            </w:r>
          </w:p>
        </w:tc>
        <w:tc>
          <w:tcPr>
            <w:tcW w:w="980" w:type="dxa"/>
            <w:vAlign w:val="bottom"/>
          </w:tcPr>
          <w:p>
            <w:pPr>
              <w:jc w:val="right"/>
              <w:ind w:right="280"/>
              <w:spacing w:after="0"/>
              <w:rPr>
                <w:sz w:val="20"/>
                <w:szCs w:val="20"/>
                <w:color w:val="auto"/>
              </w:rPr>
            </w:pPr>
            <w:r>
              <w:rPr>
                <w:rFonts w:ascii="Arial" w:cs="Arial" w:eastAsia="Arial" w:hAnsi="Arial"/>
                <w:sz w:val="12"/>
                <w:szCs w:val="12"/>
                <w:color w:val="auto"/>
              </w:rPr>
              <w:t>Unit Stock</w:t>
            </w:r>
          </w:p>
        </w:tc>
        <w:tc>
          <w:tcPr>
            <w:tcW w:w="880" w:type="dxa"/>
            <w:vAlign w:val="bottom"/>
          </w:tcPr>
          <w:p>
            <w:pPr>
              <w:jc w:val="center"/>
              <w:ind w:right="200"/>
              <w:spacing w:after="0"/>
              <w:rPr>
                <w:sz w:val="20"/>
                <w:szCs w:val="20"/>
                <w:color w:val="auto"/>
              </w:rPr>
            </w:pPr>
            <w:r>
              <w:rPr>
                <w:rFonts w:ascii="Arial" w:cs="Arial" w:eastAsia="Arial" w:hAnsi="Arial"/>
                <w:sz w:val="12"/>
                <w:szCs w:val="12"/>
                <w:color w:val="auto"/>
                <w:w w:val="88"/>
              </w:rPr>
              <w:t>Warrant</w:t>
            </w:r>
          </w:p>
        </w:tc>
        <w:tc>
          <w:tcPr>
            <w:tcW w:w="900" w:type="dxa"/>
            <w:vAlign w:val="bottom"/>
            <w:gridSpan w:val="2"/>
          </w:tcPr>
          <w:p>
            <w:pPr>
              <w:ind w:left="12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282,850</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$9.28</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$10.00</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2.17</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0.62%</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72.36%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$1,027,000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$3,133,500</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$1,122,400</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$454,200</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$1,556,900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7"/>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F-30</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4" w:name="page155"/>
    <w:bookmarkEnd w:id="15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 Unit Private Placement</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Between August 2013 and March 2014, we entered into securities purchase agreements with accredited investors pursuant to which we sold units to such accredited investors in private placement transactions (</w:t>
      </w:r>
      <w:r>
        <w:rPr>
          <w:rFonts w:ascii="Arial" w:cs="Arial" w:eastAsia="Arial" w:hAnsi="Arial"/>
          <w:sz w:val="12"/>
          <w:szCs w:val="12"/>
          <w:i w:val="1"/>
          <w:iCs w:val="1"/>
          <w:color w:val="auto"/>
        </w:rPr>
        <w:t>2013 Units</w:t>
      </w:r>
      <w:r>
        <w:rPr>
          <w:rFonts w:ascii="Arial" w:cs="Arial" w:eastAsia="Arial" w:hAnsi="Arial"/>
          <w:sz w:val="12"/>
          <w:szCs w:val="12"/>
          <w:color w:val="auto"/>
        </w:rPr>
        <w:t>), for aggregate cash proceeds of $1,007,500, including $50,000 in lieu of repayment of previous advances to us made by one of our executive officers. The 2013 Units consisted of (i) 10% convertible promissory notes in the aggregate face amount of $1,007,500 maturing on July 30, 2014 (</w:t>
      </w:r>
      <w:r>
        <w:rPr>
          <w:rFonts w:ascii="Arial" w:cs="Arial" w:eastAsia="Arial" w:hAnsi="Arial"/>
          <w:sz w:val="12"/>
          <w:szCs w:val="12"/>
          <w:i w:val="1"/>
          <w:iCs w:val="1"/>
          <w:color w:val="auto"/>
        </w:rPr>
        <w:t>2013 Unit Notes)</w:t>
      </w:r>
      <w:r>
        <w:rPr>
          <w:rFonts w:ascii="Arial" w:cs="Arial" w:eastAsia="Arial" w:hAnsi="Arial"/>
          <w:sz w:val="12"/>
          <w:szCs w:val="12"/>
          <w:color w:val="auto"/>
        </w:rPr>
        <w:t xml:space="preserve"> (ii) an aggregate 100,750 restricted shares of our common stock (</w:t>
      </w:r>
      <w:r>
        <w:rPr>
          <w:rFonts w:ascii="Arial" w:cs="Arial" w:eastAsia="Arial" w:hAnsi="Arial"/>
          <w:sz w:val="12"/>
          <w:szCs w:val="12"/>
          <w:i w:val="1"/>
          <w:iCs w:val="1"/>
          <w:color w:val="auto"/>
        </w:rPr>
        <w:t>2013 Unit Stock</w:t>
      </w:r>
      <w:r>
        <w:rPr>
          <w:rFonts w:ascii="Arial" w:cs="Arial" w:eastAsia="Arial" w:hAnsi="Arial"/>
          <w:sz w:val="12"/>
          <w:szCs w:val="12"/>
          <w:color w:val="auto"/>
        </w:rPr>
        <w:t>); and (iii) warrants exercisable through July 30, 2016 to purchase an aggregate of 100,750 restricted shares of our common stock at an exercise price of $20.00 per share (</w:t>
      </w:r>
      <w:r>
        <w:rPr>
          <w:rFonts w:ascii="Arial" w:cs="Arial" w:eastAsia="Arial" w:hAnsi="Arial"/>
          <w:sz w:val="12"/>
          <w:szCs w:val="12"/>
          <w:i w:val="1"/>
          <w:iCs w:val="1"/>
          <w:color w:val="auto"/>
        </w:rPr>
        <w:t>2013 Unit Warrants</w:t>
      </w:r>
      <w:r>
        <w:rPr>
          <w:rFonts w:ascii="Arial" w:cs="Arial" w:eastAsia="Arial" w:hAnsi="Arial"/>
          <w:sz w:val="12"/>
          <w:szCs w:val="12"/>
          <w:color w:val="auto"/>
        </w:rPr>
        <w:t>). The 2013 Unit Notes and related accrued interest were convertible into restricted shares of our common stock at a conversion price of $10.00 per share at or prior to maturity, at the option of each investor.</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allocated the proceeds from the sale of the 2013 Units to the various securities in each 2013 Unit based on their relative fair value on the dates of the sales. As described in Note 8, </w:t>
      </w:r>
      <w:r>
        <w:rPr>
          <w:rFonts w:ascii="Arial" w:cs="Arial" w:eastAsia="Arial" w:hAnsi="Arial"/>
          <w:sz w:val="11"/>
          <w:szCs w:val="11"/>
          <w:i w:val="1"/>
          <w:iCs w:val="1"/>
          <w:color w:val="auto"/>
        </w:rPr>
        <w:t>Convertible PromissoryNotes and Other Notes</w:t>
      </w:r>
      <w:r>
        <w:rPr>
          <w:rFonts w:ascii="Arial" w:cs="Arial" w:eastAsia="Arial" w:hAnsi="Arial"/>
          <w:sz w:val="11"/>
          <w:szCs w:val="11"/>
          <w:color w:val="auto"/>
        </w:rPr>
        <w:t xml:space="preserve"> </w:t>
      </w:r>
      <w:r>
        <w:rPr>
          <w:rFonts w:ascii="Arial" w:cs="Arial" w:eastAsia="Arial" w:hAnsi="Arial"/>
          <w:sz w:val="11"/>
          <w:szCs w:val="11"/>
          <w:i w:val="1"/>
          <w:iCs w:val="1"/>
          <w:color w:val="auto"/>
        </w:rPr>
        <w:t>Payable</w:t>
      </w:r>
      <w:r>
        <w:rPr>
          <w:rFonts w:ascii="Arial" w:cs="Arial" w:eastAsia="Arial" w:hAnsi="Arial"/>
          <w:sz w:val="11"/>
          <w:szCs w:val="11"/>
          <w:color w:val="auto"/>
        </w:rPr>
        <w:t>, based on the short-term nature of the 2013 Unit Notes, we determined that fair value of the 2013 Unit Notes was equal to their face value. We determined the fair value of the 2013 Unit Stock based on the quoted market price of</w:t>
      </w:r>
      <w:r>
        <w:rPr>
          <w:rFonts w:ascii="Arial" w:cs="Arial" w:eastAsia="Arial" w:hAnsi="Arial"/>
          <w:sz w:val="11"/>
          <w:szCs w:val="11"/>
          <w:i w:val="1"/>
          <w:iCs w:val="1"/>
          <w:color w:val="auto"/>
        </w:rPr>
        <w:t xml:space="preserve"> </w:t>
      </w:r>
      <w:r>
        <w:rPr>
          <w:rFonts w:ascii="Arial" w:cs="Arial" w:eastAsia="Arial" w:hAnsi="Arial"/>
          <w:sz w:val="11"/>
          <w:szCs w:val="11"/>
          <w:color w:val="auto"/>
        </w:rPr>
        <w:t>our common stock on the date of the 2013 Unit sale. We calculated the fair value of the 2013 Unit Warrants using the Black Scholes Option Pricing Model and the weighted average assumptions indicated in the table below. The table below also presents the aggregate allocation of the 2013 Unit sales proceeds based on the relative fair values of the 2013 Unit Stock, 2013 Unit Warrants and 2013 Unit Notes at the respective 2013 Unit sales date.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2013Unit Warrants</w:t>
            </w: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2"/>
                <w:szCs w:val="12"/>
                <w:color w:val="auto"/>
                <w:w w:val="98"/>
              </w:rPr>
              <w:t>Weighted Average Issuance Date Valuation Assumptions</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0"/>
              <w:spacing w:after="0"/>
              <w:rPr>
                <w:sz w:val="20"/>
                <w:szCs w:val="20"/>
                <w:color w:val="auto"/>
              </w:rPr>
            </w:pPr>
            <w:r>
              <w:rPr>
                <w:rFonts w:ascii="Arial" w:cs="Arial" w:eastAsia="Arial" w:hAnsi="Arial"/>
                <w:sz w:val="12"/>
                <w:szCs w:val="12"/>
                <w:color w:val="auto"/>
                <w:w w:val="85"/>
              </w:rPr>
              <w:t>Per Share</w:t>
            </w:r>
          </w:p>
        </w:tc>
        <w:tc>
          <w:tcPr>
            <w:tcW w:w="1000" w:type="dxa"/>
            <w:vAlign w:val="bottom"/>
            <w:gridSpan w:val="2"/>
          </w:tcPr>
          <w:p>
            <w:pPr>
              <w:spacing w:after="0"/>
              <w:rPr>
                <w:sz w:val="20"/>
                <w:szCs w:val="20"/>
                <w:color w:val="auto"/>
              </w:rPr>
            </w:pPr>
            <w:r>
              <w:rPr>
                <w:rFonts w:ascii="Arial" w:cs="Arial" w:eastAsia="Arial" w:hAnsi="Arial"/>
                <w:sz w:val="12"/>
                <w:szCs w:val="12"/>
                <w:color w:val="auto"/>
              </w:rPr>
              <w:t>Aggregate</w:t>
            </w: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Aggregate</w:t>
            </w:r>
          </w:p>
        </w:tc>
        <w:tc>
          <w:tcPr>
            <w:tcW w:w="2780" w:type="dxa"/>
            <w:vAlign w:val="bottom"/>
            <w:gridSpan w:val="4"/>
          </w:tcPr>
          <w:p>
            <w:pPr>
              <w:jc w:val="center"/>
              <w:ind w:right="160"/>
              <w:spacing w:after="0"/>
              <w:rPr>
                <w:sz w:val="20"/>
                <w:szCs w:val="20"/>
                <w:color w:val="auto"/>
              </w:rPr>
            </w:pPr>
            <w:r>
              <w:rPr>
                <w:rFonts w:ascii="Arial" w:cs="Arial" w:eastAsia="Arial" w:hAnsi="Arial"/>
                <w:sz w:val="12"/>
                <w:szCs w:val="12"/>
                <w:color w:val="auto"/>
                <w:w w:val="90"/>
              </w:rPr>
              <w:t>Aggregate Allocation of Proceeds</w:t>
            </w:r>
          </w:p>
        </w:tc>
        <w:tc>
          <w:tcPr>
            <w:tcW w:w="0" w:type="dxa"/>
            <w:vAlign w:val="bottom"/>
          </w:tcPr>
          <w:p>
            <w:pPr>
              <w:spacing w:after="0"/>
              <w:rPr>
                <w:sz w:val="1"/>
                <w:szCs w:val="1"/>
                <w:color w:val="auto"/>
              </w:rPr>
            </w:pPr>
          </w:p>
        </w:tc>
      </w:tr>
      <w:tr>
        <w:trPr>
          <w:trHeight w:val="124"/>
        </w:trPr>
        <w:tc>
          <w:tcPr>
            <w:tcW w:w="1100" w:type="dxa"/>
            <w:vAlign w:val="bottom"/>
          </w:tcPr>
          <w:p>
            <w:pPr>
              <w:jc w:val="center"/>
              <w:spacing w:after="0" w:line="124" w:lineRule="exact"/>
              <w:rPr>
                <w:sz w:val="20"/>
                <w:szCs w:val="20"/>
                <w:color w:val="auto"/>
              </w:rPr>
            </w:pPr>
            <w:r>
              <w:rPr>
                <w:rFonts w:ascii="Arial" w:cs="Arial" w:eastAsia="Arial" w:hAnsi="Arial"/>
                <w:sz w:val="12"/>
                <w:szCs w:val="12"/>
                <w:color w:val="auto"/>
                <w:w w:val="93"/>
              </w:rPr>
              <w:t>Warrant</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jc w:val="center"/>
              <w:ind w:right="160"/>
              <w:spacing w:after="0" w:line="124" w:lineRule="exact"/>
              <w:rPr>
                <w:sz w:val="20"/>
                <w:szCs w:val="20"/>
                <w:color w:val="auto"/>
              </w:rPr>
            </w:pPr>
            <w:r>
              <w:rPr>
                <w:rFonts w:ascii="Arial" w:cs="Arial" w:eastAsia="Arial" w:hAnsi="Arial"/>
                <w:sz w:val="12"/>
                <w:szCs w:val="12"/>
                <w:color w:val="auto"/>
                <w:w w:val="92"/>
              </w:rPr>
              <w:t>Risk free</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40"/>
              <w:spacing w:after="0" w:line="124" w:lineRule="exact"/>
              <w:rPr>
                <w:sz w:val="20"/>
                <w:szCs w:val="20"/>
                <w:color w:val="auto"/>
              </w:rPr>
            </w:pPr>
            <w:r>
              <w:rPr>
                <w:rFonts w:ascii="Arial" w:cs="Arial" w:eastAsia="Arial" w:hAnsi="Arial"/>
                <w:sz w:val="12"/>
                <w:szCs w:val="12"/>
                <w:color w:val="auto"/>
                <w:w w:val="96"/>
              </w:rPr>
              <w:t>Fair</w:t>
            </w:r>
          </w:p>
        </w:tc>
        <w:tc>
          <w:tcPr>
            <w:tcW w:w="1000" w:type="dxa"/>
            <w:vAlign w:val="bottom"/>
            <w:gridSpan w:val="2"/>
          </w:tcPr>
          <w:p>
            <w:pPr>
              <w:jc w:val="center"/>
              <w:ind w:right="140"/>
              <w:spacing w:after="0" w:line="124" w:lineRule="exact"/>
              <w:rPr>
                <w:sz w:val="20"/>
                <w:szCs w:val="20"/>
                <w:color w:val="auto"/>
              </w:rPr>
            </w:pPr>
            <w:r>
              <w:rPr>
                <w:rFonts w:ascii="Arial" w:cs="Arial" w:eastAsia="Arial" w:hAnsi="Arial"/>
                <w:sz w:val="12"/>
                <w:szCs w:val="12"/>
                <w:color w:val="auto"/>
                <w:w w:val="91"/>
              </w:rPr>
              <w:t>Fair Value</w:t>
            </w:r>
          </w:p>
        </w:tc>
        <w:tc>
          <w:tcPr>
            <w:tcW w:w="1020" w:type="dxa"/>
            <w:vAlign w:val="bottom"/>
            <w:gridSpan w:val="2"/>
          </w:tcPr>
          <w:p>
            <w:pPr>
              <w:jc w:val="center"/>
              <w:ind w:right="260"/>
              <w:spacing w:after="0" w:line="124" w:lineRule="exact"/>
              <w:rPr>
                <w:sz w:val="20"/>
                <w:szCs w:val="20"/>
                <w:color w:val="auto"/>
              </w:rPr>
            </w:pPr>
            <w:r>
              <w:rPr>
                <w:rFonts w:ascii="Arial" w:cs="Arial" w:eastAsia="Arial" w:hAnsi="Arial"/>
                <w:sz w:val="12"/>
                <w:szCs w:val="12"/>
                <w:color w:val="auto"/>
                <w:w w:val="86"/>
              </w:rPr>
              <w:t>Proceeds</w:t>
            </w:r>
          </w:p>
        </w:tc>
        <w:tc>
          <w:tcPr>
            <w:tcW w:w="2780" w:type="dxa"/>
            <w:vAlign w:val="bottom"/>
            <w:gridSpan w:val="4"/>
          </w:tcPr>
          <w:p>
            <w:pPr>
              <w:jc w:val="center"/>
              <w:ind w:right="140"/>
              <w:spacing w:after="0" w:line="124" w:lineRule="exact"/>
              <w:rPr>
                <w:sz w:val="20"/>
                <w:szCs w:val="20"/>
                <w:color w:val="auto"/>
              </w:rPr>
            </w:pPr>
            <w:r>
              <w:rPr>
                <w:rFonts w:ascii="Arial" w:cs="Arial" w:eastAsia="Arial" w:hAnsi="Arial"/>
                <w:sz w:val="12"/>
                <w:szCs w:val="12"/>
                <w:color w:val="auto"/>
                <w:w w:val="90"/>
              </w:rPr>
              <w:t>Based on Relative Fair Value of:</w:t>
            </w:r>
          </w:p>
        </w:tc>
        <w:tc>
          <w:tcPr>
            <w:tcW w:w="0" w:type="dxa"/>
            <w:vAlign w:val="bottom"/>
          </w:tcPr>
          <w:p>
            <w:pPr>
              <w:spacing w:after="0"/>
              <w:rPr>
                <w:sz w:val="1"/>
                <w:szCs w:val="1"/>
                <w:color w:val="auto"/>
              </w:rPr>
            </w:pPr>
          </w:p>
        </w:tc>
      </w:tr>
      <w:tr>
        <w:trPr>
          <w:trHeight w:val="133"/>
        </w:trPr>
        <w:tc>
          <w:tcPr>
            <w:tcW w:w="1100" w:type="dxa"/>
            <w:vAlign w:val="bottom"/>
          </w:tcPr>
          <w:p>
            <w:pPr>
              <w:jc w:val="center"/>
              <w:spacing w:after="0" w:line="133" w:lineRule="exact"/>
              <w:rPr>
                <w:sz w:val="20"/>
                <w:szCs w:val="20"/>
                <w:color w:val="auto"/>
              </w:rPr>
            </w:pPr>
            <w:r>
              <w:rPr>
                <w:rFonts w:ascii="Arial" w:cs="Arial" w:eastAsia="Arial" w:hAnsi="Arial"/>
                <w:sz w:val="12"/>
                <w:szCs w:val="12"/>
                <w:color w:val="auto"/>
                <w:w w:val="84"/>
              </w:rPr>
              <w:t>Shares</w:t>
            </w:r>
          </w:p>
        </w:tc>
        <w:tc>
          <w:tcPr>
            <w:tcW w:w="720" w:type="dxa"/>
            <w:vAlign w:val="bottom"/>
          </w:tcPr>
          <w:p>
            <w:pPr>
              <w:jc w:val="center"/>
              <w:ind w:right="40"/>
              <w:spacing w:after="0" w:line="133" w:lineRule="exact"/>
              <w:rPr>
                <w:sz w:val="20"/>
                <w:szCs w:val="20"/>
                <w:color w:val="auto"/>
              </w:rPr>
            </w:pPr>
            <w:r>
              <w:rPr>
                <w:rFonts w:ascii="Arial" w:cs="Arial" w:eastAsia="Arial" w:hAnsi="Arial"/>
                <w:sz w:val="12"/>
                <w:szCs w:val="12"/>
                <w:color w:val="auto"/>
                <w:w w:val="92"/>
              </w:rPr>
              <w:t>Market</w:t>
            </w:r>
          </w:p>
        </w:tc>
        <w:tc>
          <w:tcPr>
            <w:tcW w:w="80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86"/>
              </w:rPr>
              <w:t>Exercise</w:t>
            </w:r>
          </w:p>
        </w:tc>
        <w:tc>
          <w:tcPr>
            <w:tcW w:w="82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5"/>
              </w:rPr>
              <w:t>Term</w:t>
            </w:r>
          </w:p>
        </w:tc>
        <w:tc>
          <w:tcPr>
            <w:tcW w:w="86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9"/>
              </w:rPr>
              <w:t>Interest</w:t>
            </w:r>
          </w:p>
        </w:tc>
        <w:tc>
          <w:tcPr>
            <w:tcW w:w="820" w:type="dxa"/>
            <w:vAlign w:val="bottom"/>
          </w:tcPr>
          <w:p>
            <w:pPr>
              <w:spacing w:after="0"/>
              <w:rPr>
                <w:sz w:val="11"/>
                <w:szCs w:val="11"/>
                <w:color w:val="auto"/>
              </w:rPr>
            </w:pPr>
          </w:p>
        </w:tc>
        <w:tc>
          <w:tcPr>
            <w:tcW w:w="840" w:type="dxa"/>
            <w:vAlign w:val="bottom"/>
            <w:gridSpan w:val="2"/>
          </w:tcPr>
          <w:p>
            <w:pPr>
              <w:jc w:val="center"/>
              <w:ind w:right="200"/>
              <w:spacing w:after="0" w:line="133" w:lineRule="exact"/>
              <w:rPr>
                <w:sz w:val="20"/>
                <w:szCs w:val="20"/>
                <w:color w:val="auto"/>
              </w:rPr>
            </w:pPr>
            <w:r>
              <w:rPr>
                <w:rFonts w:ascii="Arial" w:cs="Arial" w:eastAsia="Arial" w:hAnsi="Arial"/>
                <w:sz w:val="12"/>
                <w:szCs w:val="12"/>
                <w:color w:val="auto"/>
                <w:w w:val="94"/>
              </w:rPr>
              <w:t>Dividend</w:t>
            </w:r>
          </w:p>
        </w:tc>
        <w:tc>
          <w:tcPr>
            <w:tcW w:w="740" w:type="dxa"/>
            <w:vAlign w:val="bottom"/>
          </w:tcPr>
          <w:p>
            <w:pPr>
              <w:jc w:val="center"/>
              <w:ind w:right="40"/>
              <w:spacing w:after="0" w:line="133" w:lineRule="exact"/>
              <w:rPr>
                <w:sz w:val="20"/>
                <w:szCs w:val="20"/>
                <w:color w:val="auto"/>
              </w:rPr>
            </w:pPr>
            <w:r>
              <w:rPr>
                <w:rFonts w:ascii="Arial" w:cs="Arial" w:eastAsia="Arial" w:hAnsi="Arial"/>
                <w:sz w:val="12"/>
                <w:szCs w:val="12"/>
                <w:color w:val="auto"/>
                <w:w w:val="90"/>
              </w:rPr>
              <w:t>Value of</w:t>
            </w:r>
          </w:p>
        </w:tc>
        <w:tc>
          <w:tcPr>
            <w:tcW w:w="100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w w:val="97"/>
              </w:rPr>
              <w:t>of Unit</w:t>
            </w:r>
          </w:p>
        </w:tc>
        <w:tc>
          <w:tcPr>
            <w:tcW w:w="90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7"/>
              </w:rPr>
              <w:t>of Unit</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00"/>
              <w:spacing w:after="0" w:line="133" w:lineRule="exact"/>
              <w:rPr>
                <w:sz w:val="20"/>
                <w:szCs w:val="20"/>
                <w:color w:val="auto"/>
              </w:rPr>
            </w:pPr>
            <w:r>
              <w:rPr>
                <w:rFonts w:ascii="Arial" w:cs="Arial" w:eastAsia="Arial" w:hAnsi="Arial"/>
                <w:sz w:val="12"/>
                <w:szCs w:val="12"/>
                <w:color w:val="auto"/>
              </w:rPr>
              <w:t>Unit</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00" w:type="dxa"/>
            <w:vAlign w:val="bottom"/>
          </w:tcPr>
          <w:p>
            <w:pPr>
              <w:jc w:val="center"/>
              <w:spacing w:after="0"/>
              <w:rPr>
                <w:sz w:val="20"/>
                <w:szCs w:val="20"/>
                <w:color w:val="auto"/>
              </w:rPr>
            </w:pPr>
            <w:r>
              <w:rPr>
                <w:rFonts w:ascii="Arial" w:cs="Arial" w:eastAsia="Arial" w:hAnsi="Arial"/>
                <w:sz w:val="12"/>
                <w:szCs w:val="12"/>
                <w:color w:val="auto"/>
                <w:w w:val="90"/>
              </w:rPr>
              <w:t>Issued</w:t>
            </w:r>
          </w:p>
        </w:tc>
        <w:tc>
          <w:tcPr>
            <w:tcW w:w="720" w:type="dxa"/>
            <w:vAlign w:val="bottom"/>
          </w:tcPr>
          <w:p>
            <w:pPr>
              <w:jc w:val="center"/>
              <w:ind w:right="40"/>
              <w:spacing w:after="0"/>
              <w:rPr>
                <w:sz w:val="20"/>
                <w:szCs w:val="20"/>
                <w:color w:val="auto"/>
              </w:rPr>
            </w:pPr>
            <w:r>
              <w:rPr>
                <w:rFonts w:ascii="Arial" w:cs="Arial" w:eastAsia="Arial" w:hAnsi="Arial"/>
                <w:sz w:val="12"/>
                <w:szCs w:val="12"/>
                <w:color w:val="auto"/>
                <w:w w:val="94"/>
              </w:rPr>
              <w:t>Price</w:t>
            </w:r>
          </w:p>
        </w:tc>
        <w:tc>
          <w:tcPr>
            <w:tcW w:w="800" w:type="dxa"/>
            <w:vAlign w:val="bottom"/>
          </w:tcPr>
          <w:p>
            <w:pPr>
              <w:jc w:val="center"/>
              <w:ind w:right="140"/>
              <w:spacing w:after="0"/>
              <w:rPr>
                <w:sz w:val="20"/>
                <w:szCs w:val="20"/>
                <w:color w:val="auto"/>
              </w:rPr>
            </w:pPr>
            <w:r>
              <w:rPr>
                <w:rFonts w:ascii="Arial" w:cs="Arial" w:eastAsia="Arial" w:hAnsi="Arial"/>
                <w:sz w:val="12"/>
                <w:szCs w:val="12"/>
                <w:color w:val="auto"/>
                <w:w w:val="87"/>
              </w:rPr>
              <w:t>Price</w:t>
            </w:r>
          </w:p>
        </w:tc>
        <w:tc>
          <w:tcPr>
            <w:tcW w:w="820" w:type="dxa"/>
            <w:vAlign w:val="bottom"/>
          </w:tcPr>
          <w:p>
            <w:pPr>
              <w:jc w:val="center"/>
              <w:ind w:right="160"/>
              <w:spacing w:after="0"/>
              <w:rPr>
                <w:sz w:val="20"/>
                <w:szCs w:val="20"/>
                <w:color w:val="auto"/>
              </w:rPr>
            </w:pPr>
            <w:r>
              <w:rPr>
                <w:rFonts w:ascii="Arial" w:cs="Arial" w:eastAsia="Arial" w:hAnsi="Arial"/>
                <w:sz w:val="12"/>
                <w:szCs w:val="12"/>
                <w:color w:val="auto"/>
                <w:w w:val="91"/>
              </w:rPr>
              <w:t>(Years)</w:t>
            </w:r>
          </w:p>
        </w:tc>
        <w:tc>
          <w:tcPr>
            <w:tcW w:w="860" w:type="dxa"/>
            <w:vAlign w:val="bottom"/>
          </w:tcPr>
          <w:p>
            <w:pPr>
              <w:jc w:val="center"/>
              <w:ind w:right="180"/>
              <w:spacing w:after="0"/>
              <w:rPr>
                <w:sz w:val="20"/>
                <w:szCs w:val="20"/>
                <w:color w:val="auto"/>
              </w:rPr>
            </w:pPr>
            <w:r>
              <w:rPr>
                <w:rFonts w:ascii="Arial" w:cs="Arial" w:eastAsia="Arial" w:hAnsi="Arial"/>
                <w:sz w:val="12"/>
                <w:szCs w:val="12"/>
                <w:color w:val="auto"/>
                <w:w w:val="86"/>
              </w:rPr>
              <w:t>Rate</w:t>
            </w: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Volatility</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Rate</w:t>
            </w:r>
          </w:p>
        </w:tc>
        <w:tc>
          <w:tcPr>
            <w:tcW w:w="740" w:type="dxa"/>
            <w:vAlign w:val="bottom"/>
          </w:tcPr>
          <w:p>
            <w:pPr>
              <w:jc w:val="center"/>
              <w:ind w:right="20"/>
              <w:spacing w:after="0"/>
              <w:rPr>
                <w:sz w:val="20"/>
                <w:szCs w:val="20"/>
                <w:color w:val="auto"/>
              </w:rPr>
            </w:pPr>
            <w:r>
              <w:rPr>
                <w:rFonts w:ascii="Arial" w:cs="Arial" w:eastAsia="Arial" w:hAnsi="Arial"/>
                <w:sz w:val="12"/>
                <w:szCs w:val="12"/>
                <w:color w:val="auto"/>
                <w:w w:val="88"/>
              </w:rPr>
              <w:t>Warrant</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Warrants</w:t>
            </w: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color w:val="auto"/>
                <w:w w:val="86"/>
              </w:rPr>
              <w:t>Sales</w:t>
            </w:r>
          </w:p>
        </w:tc>
        <w:tc>
          <w:tcPr>
            <w:tcW w:w="1000" w:type="dxa"/>
            <w:vAlign w:val="bottom"/>
          </w:tcPr>
          <w:p>
            <w:pPr>
              <w:jc w:val="right"/>
              <w:ind w:right="300"/>
              <w:spacing w:after="0"/>
              <w:rPr>
                <w:sz w:val="20"/>
                <w:szCs w:val="20"/>
                <w:color w:val="auto"/>
              </w:rPr>
            </w:pPr>
            <w:r>
              <w:rPr>
                <w:rFonts w:ascii="Arial" w:cs="Arial" w:eastAsia="Arial" w:hAnsi="Arial"/>
                <w:sz w:val="12"/>
                <w:szCs w:val="12"/>
                <w:color w:val="auto"/>
              </w:rPr>
              <w:t>Unit Stock</w:t>
            </w:r>
          </w:p>
        </w:tc>
        <w:tc>
          <w:tcPr>
            <w:tcW w:w="920" w:type="dxa"/>
            <w:vAlign w:val="bottom"/>
          </w:tcPr>
          <w:p>
            <w:pPr>
              <w:jc w:val="center"/>
              <w:ind w:right="200"/>
              <w:spacing w:after="0"/>
              <w:rPr>
                <w:sz w:val="20"/>
                <w:szCs w:val="20"/>
                <w:color w:val="auto"/>
              </w:rPr>
            </w:pPr>
            <w:r>
              <w:rPr>
                <w:rFonts w:ascii="Arial" w:cs="Arial" w:eastAsia="Arial" w:hAnsi="Arial"/>
                <w:sz w:val="12"/>
                <w:szCs w:val="12"/>
                <w:color w:val="auto"/>
                <w:w w:val="88"/>
              </w:rPr>
              <w:t>Warrant</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100,750</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$9.01</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$20.00</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2.68</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0.58%</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76.29%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$254,700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$1,007,500</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$415,000</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$111,400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Amendment of 2013 Unit Notes and 2013 Unit Warrants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indicated in Note 8</w:t>
      </w:r>
      <w:r>
        <w:rPr>
          <w:rFonts w:ascii="Arial" w:cs="Arial" w:eastAsia="Arial" w:hAnsi="Arial"/>
          <w:sz w:val="12"/>
          <w:szCs w:val="12"/>
          <w:i w:val="1"/>
          <w:iCs w:val="1"/>
          <w:color w:val="auto"/>
        </w:rPr>
        <w:t>, Convertible Promissory Notes and Other Notes Payable</w:t>
      </w:r>
      <w:r>
        <w:rPr>
          <w:rFonts w:ascii="Arial" w:cs="Arial" w:eastAsia="Arial" w:hAnsi="Arial"/>
          <w:sz w:val="12"/>
          <w:szCs w:val="12"/>
          <w:color w:val="auto"/>
        </w:rPr>
        <w:t>, effective May 31, 2014, we entered into note and warrant amendment agreements with substantially all holders of 2013 Unit Notes and 2013 Unit Warrants to (i) modify certain terms of their 2013 Unit Notes, including the maturity date and certain conversion features, to conform to the corresponding terms of the 2014 Unit Notes and (ii) to modify certain terms of the 2013 Unit Warrants, including the exercise price and expiration date, to conform to the corresponding terms of the 2014 Unit Warrants. Holders of 2013 Unit Notes having an aggregate initial face amount of $895,000 and warrants to purchase an aggregate of 93,250 restricted shares of our common stock agreed to the amendments.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5" w:name="page156"/>
    <w:bookmarkEnd w:id="15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calculated the fair value of the modified 2013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20.00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Remaining contractual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2.17</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3.73</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6.65</w:t>
            </w:r>
          </w:p>
        </w:tc>
        <w:tc>
          <w:tcPr>
            <w:tcW w:w="0" w:type="dxa"/>
            <w:vAlign w:val="bottom"/>
          </w:tcPr>
          <w:p>
            <w:pPr>
              <w:spacing w:after="0"/>
              <w:rPr>
                <w:sz w:val="1"/>
                <w:szCs w:val="1"/>
                <w:color w:val="auto"/>
              </w:rPr>
            </w:pPr>
          </w:p>
        </w:tc>
      </w:tr>
      <w:tr>
        <w:trPr>
          <w:trHeight w:val="293"/>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Issuance of Securities in Satisfaction of Technology License and Maintenance Fees and Patent Expenses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In April 2014, we entered into an agreement with Icahn School of Medicine at Mount Sinai (</w:t>
      </w:r>
      <w:r>
        <w:rPr>
          <w:rFonts w:ascii="Arial" w:cs="Arial" w:eastAsia="Arial" w:hAnsi="Arial"/>
          <w:sz w:val="11"/>
          <w:szCs w:val="11"/>
          <w:i w:val="1"/>
          <w:iCs w:val="1"/>
          <w:color w:val="auto"/>
        </w:rPr>
        <w:t>Icahn School</w:t>
      </w:r>
      <w:r>
        <w:rPr>
          <w:rFonts w:ascii="Arial" w:cs="Arial" w:eastAsia="Arial" w:hAnsi="Arial"/>
          <w:sz w:val="11"/>
          <w:szCs w:val="11"/>
          <w:color w:val="auto"/>
        </w:rPr>
        <w:t xml:space="preserve">), one of our long-term stem cell technology licensors, pursuant to which we issued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1"/>
          <w:szCs w:val="11"/>
          <w:i w:val="1"/>
          <w:iCs w:val="1"/>
          <w:color w:val="auto"/>
        </w:rPr>
        <w:t>Icahn School</w:t>
      </w:r>
      <w:r>
        <w:rPr>
          <w:rFonts w:ascii="Arial" w:cs="Arial" w:eastAsia="Arial" w:hAnsi="Arial"/>
          <w:sz w:val="11"/>
          <w:szCs w:val="11"/>
          <w:color w:val="auto"/>
        </w:rPr>
        <w:t xml:space="preserve"> </w:t>
      </w:r>
      <w:r>
        <w:rPr>
          <w:rFonts w:ascii="Arial" w:cs="Arial" w:eastAsia="Arial" w:hAnsi="Arial"/>
          <w:sz w:val="11"/>
          <w:szCs w:val="11"/>
          <w:i w:val="1"/>
          <w:iCs w:val="1"/>
          <w:color w:val="auto"/>
        </w:rPr>
        <w:t>Agreement</w:t>
      </w:r>
      <w:r>
        <w:rPr>
          <w:rFonts w:ascii="Arial" w:cs="Arial" w:eastAsia="Arial" w:hAnsi="Arial"/>
          <w:sz w:val="11"/>
          <w:szCs w:val="11"/>
          <w:color w:val="auto"/>
        </w:rPr>
        <w:t>). Based on the short-duration of the note, its interest rate and other terms, we determined that the fair value of the note at the date of issuance was equal to its face value. We determined the fair value of stock to be $141,000,</w:t>
      </w:r>
      <w:r>
        <w:rPr>
          <w:rFonts w:ascii="Arial" w:cs="Arial" w:eastAsia="Arial" w:hAnsi="Arial"/>
          <w:sz w:val="11"/>
          <w:szCs w:val="11"/>
          <w:i w:val="1"/>
          <w:iCs w:val="1"/>
          <w:color w:val="auto"/>
        </w:rPr>
        <w:t xml:space="preserve"> </w:t>
      </w:r>
      <w:r>
        <w:rPr>
          <w:rFonts w:ascii="Arial" w:cs="Arial" w:eastAsia="Arial" w:hAnsi="Arial"/>
          <w:sz w:val="11"/>
          <w:szCs w:val="11"/>
          <w:color w:val="auto"/>
        </w:rPr>
        <w:t>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Icahn School Agreement, an additional $35,800 of license maintenance fees and reimbursable patent prosecution costs were added to the principal amount of the promissory note through March 31, 2015. The note remains outstanding at March 31, 2015.</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of Common Stock to Consultants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consultant. Effective January 12, 2015, we entered into a new consulting agreement with this consultant for similar services through December 31, 2015 pursuant to which we have issued 20,000 restricted shares of our common stock valued at $160,000, based on the $8.00 per share quoted market price of our common stock on the date of the agreement, and made cash payments of $20,000 as compensation for such professional services.</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March 2015, we entered into a consulting agreement with another consultant for additional advisory and business development services pursuant to which we issued 25,000 restricted shares of our common stock as compensation for such professional services. We determined the fair value of stock to be $175,000, based on the $7.50 per share quoted market price of our common stock on the date of the agreement.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We recognized a loss of $16,700 with respect to this settlement, which is included in Loss on Extinguishment of Debt in the accompanying Statement of Operations and Comprehensive Loss for the year ended March 31, 2015.</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6" w:name="page157"/>
    <w:bookmarkEnd w:id="15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Warrants to Purchase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Grants and Exercises</w:t>
      </w:r>
    </w:p>
    <w:p>
      <w:pPr>
        <w:spacing w:after="0" w:line="168"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In January 2015, when the market price of our common stock was $8.00 per share, our Board of Directors (</w:t>
      </w:r>
      <w:r>
        <w:rPr>
          <w:rFonts w:ascii="Arial" w:cs="Arial" w:eastAsia="Arial" w:hAnsi="Arial"/>
          <w:sz w:val="10"/>
          <w:szCs w:val="10"/>
          <w:i w:val="1"/>
          <w:iCs w:val="1"/>
          <w:color w:val="auto"/>
        </w:rPr>
        <w:t>Board</w:t>
      </w:r>
      <w:r>
        <w:rPr>
          <w:rFonts w:ascii="Arial" w:cs="Arial" w:eastAsia="Arial" w:hAnsi="Arial"/>
          <w:sz w:val="10"/>
          <w:szCs w:val="10"/>
          <w:color w:val="auto"/>
        </w:rPr>
        <w:t>) authorized the grant of fully-vested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expiring during calendar 2015 and reduced the exercise price to $15.00 per share for such of those extended term warrants having exercise prices in excess of that amount.</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We valued the new warrant grants at $1,756,900 using the Black Scholes Option Pricing Model and the following assumptions: market price per share: $8.00; exercise price per share: $10.00; risk-free interest rate: 1.45% for five-year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warrants and 0.24% for one-year warrants; contractual term: 5 years or 1 year; volatility: 75.86% for five-year warrants and 69.74% for one-year warrants; expected dividend rate: 0%..</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calculated the fair value of the modified warrants immediately before and after the modifications and determined that the fair value of the warrants increased by $98,400, which is reflected in general and administrative expense in the accompanying Consolidated Statements of Operations and Comprehensive Loss for the fiscal year ended March 31, 2015. The warrants subject to the exercise price modifications and term extensions were valued using the Black-Scholes Option Pricing Model and the following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23.13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0.24</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0.22</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1.31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On March 19, 2014, we granted five-year warrants to purchase an aggregate of 20,750 restricted shares of our unregistered common stock at an exercise price of $10.00 per share to the independent members of our Board and certain of our officers. The warrants became exercisable for 50% of the shares on April 1, 2014, and become exercisable for an additional 25% of the shares on April 1, 2015 and 25% of the shares on April 1, 2016, provided that the warrant will become fully vested upon a change in control of the Company, as defined, or the consummation between us and a third party of a license or sale transaction involving at least one new drug rescue variant. We valued the warrants at $120,800 using the Black Scholes Option Pricing Model and the following assumptions: market price per share: $9.20; exercise price per share: $10.00; risk-free interest rate: 1.75%; contractual term: 5 years; volatility: 80.57%; expected dividend rate: 0%. We recognized stock compensation expense of $54,100 related to the grants in the fourth quarter of the fiscal year ended March 31, 2014 and $27,000 during the fiscal year ended March 31, 2015..</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October 2013, we issued new warrants to purchase an aggregate of 11,875 shares of our restricted common stock to certain former warrant holders whose warrants to purchase an equivalent number of shares of our restricted common stock at an exercise price of $30.00 per share had recently expired. We calculated the fair value of the new warrants as $0.63 per share, using the Black-Scholes Option Pricing Model and the following assumptions. market price per share: $10.00; exercise price per share: $30.00; risk-free interest rate: 0.20%; contractual term: 1.32 years; volatility: 73.5%; and expected dividend rate: 0%. We recorded the aggregate fair value of $7,400 for the new warrants in general and administrative expense in the accompanying Consolidated Statements of Operations and Comprehensive Loss for the fiscal year ended March 31, 2014.</w:t>
      </w:r>
    </w:p>
    <w:p>
      <w:pPr>
        <w:spacing w:after="0" w:line="12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June 2013 and October 2013, our Chief Executive Officer partially exercised an outstanding warrant to purchase 2,500 and 500 restricted shares of the Company’s common stock, respectively, at an exercise price of $12.80 per share, and we received cash proceeds of $32,000 and $6,400, respectively, from the exercises.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7" w:name="page158"/>
    <w:bookmarkEnd w:id="15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Modification of Warrants Held by Platinum</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As indicated earlier in this note, effective on May 24, 2013, we entered into an Amendment and Waiver Agreement (</w:t>
      </w:r>
      <w:r>
        <w:rPr>
          <w:rFonts w:ascii="Arial" w:cs="Arial" w:eastAsia="Arial" w:hAnsi="Arial"/>
          <w:sz w:val="11"/>
          <w:szCs w:val="11"/>
          <w:i w:val="1"/>
          <w:iCs w:val="1"/>
          <w:color w:val="auto"/>
        </w:rPr>
        <w:t>Amendment and Waiver</w:t>
      </w:r>
      <w:r>
        <w:rPr>
          <w:rFonts w:ascii="Arial" w:cs="Arial" w:eastAsia="Arial" w:hAnsi="Arial"/>
          <w:sz w:val="11"/>
          <w:szCs w:val="11"/>
          <w:color w:val="auto"/>
        </w:rPr>
        <w:t>) with Platinum pursuant to which we agreed to reduce the exercise price of the Exchange Warrant and the Investment Warrants issued to Platinum between October 2012 and March 2013 (collectively, the “</w:t>
      </w:r>
      <w:r>
        <w:rPr>
          <w:rFonts w:ascii="Arial" w:cs="Arial" w:eastAsia="Arial" w:hAnsi="Arial"/>
          <w:sz w:val="11"/>
          <w:szCs w:val="11"/>
          <w:i w:val="1"/>
          <w:iCs w:val="1"/>
          <w:color w:val="auto"/>
        </w:rPr>
        <w:t>Warrants</w:t>
      </w:r>
      <w:r>
        <w:rPr>
          <w:rFonts w:ascii="Arial" w:cs="Arial" w:eastAsia="Arial" w:hAnsi="Arial"/>
          <w:sz w:val="11"/>
          <w:szCs w:val="11"/>
          <w:color w:val="auto"/>
        </w:rPr>
        <w:t>”)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(i) our sale of shares of our common stock at a price of $10.00 per share in connection with the Autilion Financing; (ii) the March 2013 grant of warrants to certain of our officers and independent directors to purchase an aggregate of 150,000 restricted shares of common stock at an exercise price of $12.80 per share; and (iii) our issuance of restricted shares of our common stock resulting in gross proceeds not to exceed $1.5 million in connection with the exercise by warrant holders, by no later than June 30, 2013, subsequently extended to July 30, 2013, of previously outstanding warrants for which we may reduce the exercise price to not less than $10.00 per share. (See “</w:t>
      </w:r>
      <w:r>
        <w:rPr>
          <w:rFonts w:ascii="Arial" w:cs="Arial" w:eastAsia="Arial" w:hAnsi="Arial"/>
          <w:sz w:val="11"/>
          <w:szCs w:val="11"/>
          <w:i w:val="1"/>
          <w:iCs w:val="1"/>
          <w:color w:val="auto"/>
        </w:rPr>
        <w:t>Other Warrant Modifications and Exercises</w:t>
      </w:r>
      <w:r>
        <w:rPr>
          <w:rFonts w:ascii="Arial" w:cs="Arial" w:eastAsia="Arial" w:hAnsi="Arial"/>
          <w:sz w:val="11"/>
          <w:szCs w:val="11"/>
          <w:color w:val="auto"/>
        </w:rPr>
        <w:t>” below.)</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As described in Note 4,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and in Note 8,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we re-measure the fair value of the Platinum Warrants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We also re-measure at the end of each reporting period the fair value of the Series A Exchange Warrant which is contingently issuable to Platinum upon the exchange of its shares of our Series A Preferred Stock into shares of our restricted common stock. At March 31, 2015 and 2014, we determined the fair values of the Platinum Warrants and the Series A Preferred Exchange Warrant to be a weighted average of $ 5.09.and $5.40 per share, respectively, or an aggregate of $3,008,500 and 2,973,900, which amounts are reflected as Warrant Liability in the accompanying Consolidated Balance Sheets at March 31, 2015 and 2014, respectively. We determined the fair value of the warrants at March 31, 2015 and 2014 using the assumptions indicated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2"/>
                <w:szCs w:val="12"/>
                <w:color w:val="auto"/>
              </w:rPr>
              <w:t>March 31,</w:t>
            </w: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Market price of common stock</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12"/>
                <w:szCs w:val="12"/>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9.80 to $10.00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0.74% to 1.37%</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Volatility</w:t>
            </w:r>
          </w:p>
        </w:tc>
        <w:tc>
          <w:tcPr>
            <w:tcW w:w="38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73.3% to 75.9%</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Term (years)</w:t>
            </w: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 to 5.0</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 to 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Dividend rate</w:t>
            </w: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Probability of Series A Preferred exchange</w:t>
            </w: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4.45 to $6.17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5.20 to $5.80</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Warrant Modifications and Exercises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During the months of June and July 2013, we offered certain long-term warrant holders the opportunity to exercise warrants having an exercise price of $30.00 per share to purchase shares of our restricted common stock at a reduced exercise price of $10.00 per share through July 30, 2013. Warrant holders exercised warrants to purchase an aggregate of 26,419 restricted shares of our common stock and we received cash proceeds of $264,200. In addition, certain warrant holders exercised modified warrants to purchase 832 restricted shares of our common stock in lieu of our payment in satisfaction of amounts due for professional services in the aggregate amount of $8,300. We calculated the fair value of the warrants exercised immediately before and after the modifications and determined that the fair value of the warrants exercised decreased.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8" w:name="page159"/>
    <w:bookmarkEnd w:id="158"/>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In October 2013, we modified certain outstanding warrants held by our long-term investors and consultants to purchase an aggregate of 64,639 restricted shares of our common stock to reduce the exercise price of the warrants to $10.00 per share and, for warrants scheduled to expire on December 31, 2013, extend the exercise term of the warrants until January 31, 2015, generally without modifying the exercise price. We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31.97</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24.68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1.40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1.08</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2.29</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December 2013, we modified additional outstanding warrants held by certain of our long-term investors, consultants, and members of management and our Board of Directors to purchase an aggregate of 63,013 restricted shares of our common stock to reduce the exercise price of the warrants to $10.00 per share and, in limited cases, extend the exercise term of the warrants. We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33.49</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0.91</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2.85</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 making its fair value determinations for both warrant modifications and new grants using the Black Scholes Option Pricing Model, we utilize the following principles in selecting its input assumptions. The market price per share is based on the quoted market price of our common stock on the OTC Markets on the date of the modification or grant. Because of our relatively short history as a public company, we estimate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most closely corresponding with the contractual term or remaining term of the warrant. The dividend rate is zero as we have not paid and do not expect to pay dividends in the near future.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9" w:name="page160"/>
    <w:bookmarkEnd w:id="15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outstanding warrants to purchase restricted shares of our common stock as of March 31, 2015. The weighted average exercise price of outstanding warrants at March 31, 2015 was $13.00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Shares Subject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to Purchase 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jc w:val="right"/>
              <w:ind w:right="460"/>
              <w:spacing w:after="0"/>
              <w:rPr>
                <w:sz w:val="20"/>
                <w:szCs w:val="20"/>
                <w:color w:val="auto"/>
              </w:rPr>
            </w:pPr>
            <w:r>
              <w:rPr>
                <w:rFonts w:ascii="Arial" w:cs="Arial" w:eastAsia="Arial" w:hAnsi="Arial"/>
                <w:sz w:val="12"/>
                <w:szCs w:val="12"/>
                <w:b w:val="1"/>
                <w:bCs w:val="1"/>
                <w:color w:val="auto"/>
              </w:rPr>
              <w:t>Exercise Price per Share</w:t>
            </w:r>
          </w:p>
        </w:tc>
        <w:tc>
          <w:tcPr>
            <w:tcW w:w="140" w:type="dxa"/>
            <w:vAlign w:val="bottom"/>
          </w:tcPr>
          <w:p>
            <w:pPr>
              <w:spacing w:after="0"/>
              <w:rPr>
                <w:sz w:val="13"/>
                <w:szCs w:val="13"/>
                <w:color w:val="auto"/>
              </w:rPr>
            </w:pPr>
          </w:p>
        </w:tc>
        <w:tc>
          <w:tcPr>
            <w:tcW w:w="6480" w:type="dxa"/>
            <w:vAlign w:val="bottom"/>
          </w:tcPr>
          <w:p>
            <w:pPr>
              <w:jc w:val="center"/>
              <w:spacing w:after="0"/>
              <w:rPr>
                <w:sz w:val="20"/>
                <w:szCs w:val="20"/>
                <w:color w:val="auto"/>
              </w:rPr>
            </w:pPr>
            <w:r>
              <w:rPr>
                <w:rFonts w:ascii="Arial" w:cs="Arial" w:eastAsia="Arial" w:hAnsi="Arial"/>
                <w:sz w:val="12"/>
                <w:szCs w:val="12"/>
                <w:b w:val="1"/>
                <w:bCs w:val="1"/>
                <w:color w:val="auto"/>
                <w:w w:val="93"/>
              </w:rPr>
              <w:t>Expiration Date</w:t>
            </w:r>
          </w:p>
        </w:tc>
        <w:tc>
          <w:tcPr>
            <w:tcW w:w="2440" w:type="dxa"/>
            <w:vAlign w:val="bottom"/>
            <w:gridSpan w:val="2"/>
          </w:tcPr>
          <w:p>
            <w:pPr>
              <w:jc w:val="center"/>
              <w:ind w:left="60"/>
              <w:spacing w:after="0"/>
              <w:rPr>
                <w:sz w:val="20"/>
                <w:szCs w:val="20"/>
                <w:color w:val="auto"/>
              </w:rPr>
            </w:pPr>
            <w:r>
              <w:rPr>
                <w:rFonts w:ascii="Arial" w:cs="Arial" w:eastAsia="Arial" w:hAnsi="Arial"/>
                <w:sz w:val="12"/>
                <w:szCs w:val="12"/>
                <w:b w:val="1"/>
                <w:bCs w:val="1"/>
                <w:color w:val="auto"/>
                <w:w w:val="89"/>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spacing w:after="0"/>
              <w:rPr>
                <w:sz w:val="12"/>
                <w:szCs w:val="12"/>
                <w:color w:val="auto"/>
              </w:rPr>
            </w:pPr>
          </w:p>
        </w:tc>
        <w:tc>
          <w:tcPr>
            <w:tcW w:w="6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1/31/2016 to 1/1/2020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1,064,683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tcPr>
          <w:p>
            <w:pPr>
              <w:jc w:val="right"/>
              <w:spacing w:after="0"/>
              <w:rPr>
                <w:sz w:val="20"/>
                <w:szCs w:val="20"/>
                <w:color w:val="auto"/>
              </w:rPr>
            </w:pPr>
            <w:r>
              <w:rPr>
                <w:rFonts w:ascii="Arial" w:cs="Arial" w:eastAsia="Arial" w:hAnsi="Arial"/>
                <w:sz w:val="12"/>
                <w:szCs w:val="12"/>
                <w:color w:val="auto"/>
              </w:rPr>
              <w:t>12.80</w:t>
            </w:r>
          </w:p>
        </w:tc>
        <w:tc>
          <w:tcPr>
            <w:tcW w:w="6620" w:type="dxa"/>
            <w:vAlign w:val="bottom"/>
            <w:gridSpan w:val="2"/>
          </w:tcPr>
          <w:p>
            <w:pPr>
              <w:jc w:val="center"/>
              <w:ind w:left="80"/>
              <w:spacing w:after="0"/>
              <w:rPr>
                <w:sz w:val="20"/>
                <w:szCs w:val="20"/>
                <w:color w:val="auto"/>
              </w:rPr>
            </w:pPr>
            <w:r>
              <w:rPr>
                <w:rFonts w:ascii="Arial" w:cs="Arial" w:eastAsia="Arial" w:hAnsi="Arial"/>
                <w:sz w:val="12"/>
                <w:szCs w:val="12"/>
                <w:color w:val="auto"/>
                <w:w w:val="94"/>
              </w:rPr>
              <w:t>3/3/2023</w:t>
            </w:r>
          </w:p>
        </w:tc>
        <w:tc>
          <w:tcPr>
            <w:tcW w:w="2440" w:type="dxa"/>
            <w:vAlign w:val="bottom"/>
            <w:gridSpan w:val="2"/>
          </w:tcPr>
          <w:p>
            <w:pPr>
              <w:jc w:val="right"/>
              <w:spacing w:after="0"/>
              <w:rPr>
                <w:sz w:val="20"/>
                <w:szCs w:val="20"/>
                <w:color w:val="auto"/>
              </w:rPr>
            </w:pPr>
            <w:r>
              <w:rPr>
                <w:rFonts w:ascii="Arial" w:cs="Arial" w:eastAsia="Arial" w:hAnsi="Arial"/>
                <w:sz w:val="12"/>
                <w:szCs w:val="12"/>
                <w:color w:val="auto"/>
              </w:rPr>
              <w:t>147,000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140" w:type="dxa"/>
            <w:vAlign w:val="bottom"/>
            <w:shd w:val="clear" w:color="auto" w:fill="CCEEFF"/>
          </w:tcPr>
          <w:p>
            <w:pPr>
              <w:spacing w:after="0"/>
              <w:rPr>
                <w:sz w:val="12"/>
                <w:szCs w:val="12"/>
                <w:color w:val="auto"/>
              </w:rPr>
            </w:pPr>
          </w:p>
        </w:tc>
        <w:tc>
          <w:tcPr>
            <w:tcW w:w="6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1/31/2016 to 6/11/2016</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54,477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tcPr>
          <w:p>
            <w:pPr>
              <w:jc w:val="right"/>
              <w:spacing w:after="0"/>
              <w:rPr>
                <w:sz w:val="20"/>
                <w:szCs w:val="20"/>
                <w:color w:val="auto"/>
              </w:rPr>
            </w:pPr>
            <w:r>
              <w:rPr>
                <w:rFonts w:ascii="Arial" w:cs="Arial" w:eastAsia="Arial" w:hAnsi="Arial"/>
                <w:sz w:val="12"/>
                <w:szCs w:val="12"/>
                <w:color w:val="auto"/>
              </w:rPr>
              <w:t>20.00</w:t>
            </w:r>
          </w:p>
        </w:tc>
        <w:tc>
          <w:tcPr>
            <w:tcW w:w="140" w:type="dxa"/>
            <w:vAlign w:val="bottom"/>
          </w:tcPr>
          <w:p>
            <w:pPr>
              <w:spacing w:after="0"/>
              <w:rPr>
                <w:sz w:val="12"/>
                <w:szCs w:val="12"/>
                <w:color w:val="auto"/>
              </w:rPr>
            </w:pPr>
          </w:p>
        </w:tc>
        <w:tc>
          <w:tcPr>
            <w:tcW w:w="6480" w:type="dxa"/>
            <w:vAlign w:val="bottom"/>
          </w:tcPr>
          <w:p>
            <w:pPr>
              <w:jc w:val="center"/>
              <w:spacing w:after="0"/>
              <w:rPr>
                <w:sz w:val="20"/>
                <w:szCs w:val="20"/>
                <w:color w:val="auto"/>
              </w:rPr>
            </w:pPr>
            <w:r>
              <w:rPr>
                <w:rFonts w:ascii="Arial" w:cs="Arial" w:eastAsia="Arial" w:hAnsi="Arial"/>
                <w:sz w:val="12"/>
                <w:szCs w:val="12"/>
                <w:color w:val="auto"/>
                <w:w w:val="90"/>
              </w:rPr>
              <w:t>7/30/2016 to 9/30/2017</w:t>
            </w:r>
          </w:p>
        </w:tc>
        <w:tc>
          <w:tcPr>
            <w:tcW w:w="2440" w:type="dxa"/>
            <w:vAlign w:val="bottom"/>
            <w:gridSpan w:val="2"/>
          </w:tcPr>
          <w:p>
            <w:pPr>
              <w:jc w:val="right"/>
              <w:spacing w:after="0"/>
              <w:rPr>
                <w:sz w:val="20"/>
                <w:szCs w:val="20"/>
                <w:color w:val="auto"/>
              </w:rPr>
            </w:pPr>
            <w:r>
              <w:rPr>
                <w:rFonts w:ascii="Arial" w:cs="Arial" w:eastAsia="Arial" w:hAnsi="Arial"/>
                <w:sz w:val="12"/>
                <w:szCs w:val="12"/>
                <w:color w:val="auto"/>
              </w:rPr>
              <w:t>186,388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40" w:type="dxa"/>
            <w:vAlign w:val="bottom"/>
            <w:shd w:val="clear" w:color="auto" w:fill="CCEEFF"/>
          </w:tcPr>
          <w:p>
            <w:pPr>
              <w:spacing w:after="0"/>
              <w:rPr>
                <w:sz w:val="12"/>
                <w:szCs w:val="12"/>
                <w:color w:val="auto"/>
              </w:rPr>
            </w:pPr>
          </w:p>
        </w:tc>
        <w:tc>
          <w:tcPr>
            <w:tcW w:w="6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2/13/2016 to 3/4/2018</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69,426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tcPr>
          <w:p>
            <w:pPr>
              <w:jc w:val="right"/>
              <w:spacing w:after="0"/>
              <w:rPr>
                <w:sz w:val="20"/>
                <w:szCs w:val="20"/>
                <w:color w:val="auto"/>
              </w:rPr>
            </w:pPr>
            <w:r>
              <w:rPr>
                <w:rFonts w:ascii="Arial" w:cs="Arial" w:eastAsia="Arial" w:hAnsi="Arial"/>
                <w:sz w:val="12"/>
                <w:szCs w:val="12"/>
                <w:color w:val="auto"/>
              </w:rPr>
              <w:t>40.00</w:t>
            </w:r>
          </w:p>
        </w:tc>
        <w:tc>
          <w:tcPr>
            <w:tcW w:w="6620" w:type="dxa"/>
            <w:vAlign w:val="bottom"/>
            <w:gridSpan w:val="2"/>
          </w:tcPr>
          <w:p>
            <w:pPr>
              <w:jc w:val="center"/>
              <w:ind w:left="80"/>
              <w:spacing w:after="0"/>
              <w:rPr>
                <w:sz w:val="20"/>
                <w:szCs w:val="20"/>
                <w:color w:val="auto"/>
              </w:rPr>
            </w:pPr>
            <w:r>
              <w:rPr>
                <w:rFonts w:ascii="Arial" w:cs="Arial" w:eastAsia="Arial" w:hAnsi="Arial"/>
                <w:sz w:val="12"/>
                <w:szCs w:val="12"/>
                <w:color w:val="auto"/>
                <w:w w:val="89"/>
              </w:rPr>
              <w:t>9/15/2017</w:t>
            </w:r>
          </w:p>
        </w:tc>
        <w:tc>
          <w:tcPr>
            <w:tcW w:w="2580" w:type="dxa"/>
            <w:vAlign w:val="bottom"/>
            <w:gridSpan w:val="3"/>
          </w:tcPr>
          <w:p>
            <w:pPr>
              <w:jc w:val="right"/>
              <w:ind w:right="140"/>
              <w:spacing w:after="0"/>
              <w:rPr>
                <w:sz w:val="20"/>
                <w:szCs w:val="20"/>
                <w:color w:val="auto"/>
              </w:rPr>
            </w:pPr>
            <w:r>
              <w:rPr>
                <w:rFonts w:ascii="Arial" w:cs="Arial" w:eastAsia="Arial" w:hAnsi="Arial"/>
                <w:sz w:val="12"/>
                <w:szCs w:val="12"/>
                <w:color w:val="auto"/>
              </w:rPr>
              <w:t>21,250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60.00</w:t>
            </w:r>
          </w:p>
        </w:tc>
        <w:tc>
          <w:tcPr>
            <w:tcW w:w="6620" w:type="dxa"/>
            <w:vAlign w:val="bottom"/>
            <w:gridSpan w:val="2"/>
            <w:shd w:val="clear" w:color="auto" w:fill="CCEEFF"/>
          </w:tcPr>
          <w:p>
            <w:pPr>
              <w:jc w:val="center"/>
              <w:ind w:left="80"/>
              <w:spacing w:after="0"/>
              <w:rPr>
                <w:sz w:val="20"/>
                <w:szCs w:val="20"/>
                <w:color w:val="auto"/>
              </w:rPr>
            </w:pPr>
            <w:r>
              <w:rPr>
                <w:rFonts w:ascii="Arial" w:cs="Arial" w:eastAsia="Arial" w:hAnsi="Arial"/>
                <w:sz w:val="12"/>
                <w:szCs w:val="12"/>
                <w:color w:val="auto"/>
                <w:w w:val="89"/>
              </w:rPr>
              <w:t>2/13/2016</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1,250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1,544,474</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Receivable from Sale of Common Stock</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May 2011, the Company accepted a $500,000 short-term note from an investor in payment for shares of the Company’s common stock sold to the investor in a private placement transaction. On October 2, 2014 we received a cash payment of $60,000 from the maker of the note. We have considered that payment to be in full satisfaction of the outstanding principal balance of the note and related accrued interest, aggregating $194,900, at the date of the payment and recognized a loss of $134,900 on the settlement of the note, which is reflected as a component of Other expenses, net in the accompanying Statement of Operations and Comprehensive Loss.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0" w:name="page161"/>
    <w:bookmarkEnd w:id="160"/>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left="1328"/>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left="1328"/>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Reserved Shares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31, 2015, the Company has reserved shares of its common stock for future issuance as follows: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Upon exchange of all shares of Series A Preferred Stock currently issued and outstanding </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92340" cy="914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84" w:lineRule="exact"/>
        <w:rPr>
          <w:sz w:val="20"/>
          <w:szCs w:val="20"/>
          <w:color w:val="auto"/>
        </w:rPr>
      </w:pPr>
    </w:p>
    <w:p>
      <w:pPr>
        <w:ind w:left="8"/>
        <w:spacing w:after="0"/>
        <w:rPr>
          <w:sz w:val="20"/>
          <w:szCs w:val="20"/>
          <w:color w:val="auto"/>
        </w:rPr>
      </w:pPr>
      <w:r>
        <w:rPr>
          <w:rFonts w:ascii="Arial" w:cs="Arial" w:eastAsia="Arial" w:hAnsi="Arial"/>
          <w:sz w:val="11"/>
          <w:szCs w:val="11"/>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92340" cy="914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42" w:lineRule="exact"/>
        <w:rPr>
          <w:sz w:val="20"/>
          <w:szCs w:val="20"/>
          <w:color w:val="auto"/>
        </w:rPr>
      </w:pPr>
    </w:p>
    <w:p>
      <w:pPr>
        <w:ind w:left="8"/>
        <w:spacing w:after="0"/>
        <w:rPr>
          <w:sz w:val="20"/>
          <w:szCs w:val="20"/>
          <w:color w:val="auto"/>
        </w:rPr>
      </w:pPr>
      <w:r>
        <w:rPr>
          <w:rFonts w:ascii="Arial" w:cs="Arial" w:eastAsia="Arial" w:hAnsi="Arial"/>
          <w:sz w:val="10"/>
          <w:szCs w:val="10"/>
          <w:color w:val="auto"/>
        </w:rPr>
        <w:t xml:space="preserve">110% of shares issuable upon conversion of 10% senior secured convertible notes issued to Platinum in October 2012, February 2013, March 2013 and July 2013, including interest accrued through maturity </w:t>
      </w:r>
      <w:r>
        <w:rPr>
          <w:rFonts w:ascii="Arial" w:cs="Arial" w:eastAsia="Arial" w:hAnsi="Arial"/>
          <w:sz w:val="13"/>
          <w:szCs w:val="1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92340" cy="914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warrants</w:t>
      </w:r>
    </w:p>
    <w:p>
      <w:pPr>
        <w:spacing w:after="0" w:line="6" w:lineRule="exact"/>
        <w:rPr>
          <w:sz w:val="20"/>
          <w:szCs w:val="20"/>
          <w:color w:val="auto"/>
        </w:rPr>
      </w:pPr>
    </w:p>
    <w:p>
      <w:pPr>
        <w:ind w:left="128"/>
        <w:spacing w:after="0"/>
        <w:rPr>
          <w:sz w:val="20"/>
          <w:szCs w:val="20"/>
          <w:color w:val="auto"/>
        </w:rPr>
      </w:pPr>
      <w:r>
        <w:rPr>
          <w:rFonts w:ascii="Arial" w:cs="Arial" w:eastAsia="Arial" w:hAnsi="Arial"/>
          <w:sz w:val="12"/>
          <w:szCs w:val="12"/>
          <w:color w:val="auto"/>
        </w:rPr>
        <w:t>Issuable pursuant to accrued interest through maturity on outstanding promissory notes 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92340" cy="914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stock incentive plans:</w:t>
      </w:r>
    </w:p>
    <w:p>
      <w:pPr>
        <w:spacing w:after="0" w:line="15" w:lineRule="exact"/>
        <w:rPr>
          <w:sz w:val="20"/>
          <w:szCs w:val="20"/>
          <w:color w:val="auto"/>
        </w:rPr>
      </w:pPr>
    </w:p>
    <w:p>
      <w:pPr>
        <w:ind w:left="128"/>
        <w:spacing w:after="0"/>
        <w:rPr>
          <w:sz w:val="20"/>
          <w:szCs w:val="20"/>
          <w:color w:val="auto"/>
        </w:rPr>
      </w:pPr>
      <w:r>
        <w:rPr>
          <w:rFonts w:ascii="Arial" w:cs="Arial" w:eastAsia="Arial" w:hAnsi="Arial"/>
          <w:sz w:val="12"/>
          <w:szCs w:val="12"/>
          <w:color w:val="auto"/>
        </w:rPr>
        <w:t>Subject to outstanding options under the 2008 and 1999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14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08"/>
        <w:spacing w:after="0"/>
        <w:rPr>
          <w:sz w:val="20"/>
          <w:szCs w:val="20"/>
          <w:color w:val="auto"/>
        </w:rPr>
      </w:pPr>
      <w:r>
        <w:rPr>
          <w:rFonts w:ascii="Arial" w:cs="Arial" w:eastAsia="Arial" w:hAnsi="Arial"/>
          <w:sz w:val="12"/>
          <w:szCs w:val="12"/>
          <w:color w:val="auto"/>
        </w:rPr>
        <w:t>Available for future grants under the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92340" cy="914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83"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additional issuances under the 2014 Private Placement of Units and upon conversion of notes and accrued interest pursuant to the 2013 Private Placement of Units and 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92340" cy="914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292340" cy="914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304"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w:t>
      </w:r>
    </w:p>
    <w:p>
      <w:pPr>
        <w:ind w:left="168" w:hanging="168"/>
        <w:spacing w:after="0" w:line="195" w:lineRule="auto"/>
        <w:tabs>
          <w:tab w:leader="none" w:pos="168" w:val="left"/>
        </w:tabs>
        <w:numPr>
          <w:ilvl w:val="0"/>
          <w:numId w:val="81"/>
        </w:numPr>
        <w:rPr>
          <w:rFonts w:ascii="Arial" w:cs="Arial" w:eastAsia="Arial" w:hAnsi="Arial"/>
          <w:sz w:val="17"/>
          <w:szCs w:val="17"/>
          <w:color w:val="auto"/>
          <w:vertAlign w:val="superscript"/>
        </w:rPr>
      </w:pPr>
      <w:r>
        <w:rPr>
          <w:rFonts w:ascii="Arial" w:cs="Arial" w:eastAsia="Arial" w:hAnsi="Arial"/>
          <w:sz w:val="12"/>
          <w:szCs w:val="12"/>
          <w:color w:val="auto"/>
        </w:rPr>
        <w:t>assumes exchange under the terms of the October 11, 2012 Note Exchange and Purchase Agreement with Platinum</w:t>
      </w:r>
    </w:p>
    <w:p>
      <w:pPr>
        <w:spacing w:after="0" w:line="1" w:lineRule="exact"/>
        <w:rPr>
          <w:rFonts w:ascii="Arial" w:cs="Arial" w:eastAsia="Arial" w:hAnsi="Arial"/>
          <w:sz w:val="17"/>
          <w:szCs w:val="17"/>
          <w:color w:val="auto"/>
          <w:vertAlign w:val="superscript"/>
        </w:rPr>
      </w:pPr>
    </w:p>
    <w:p>
      <w:pPr>
        <w:ind w:left="168" w:hanging="168"/>
        <w:spacing w:after="0" w:line="186" w:lineRule="auto"/>
        <w:tabs>
          <w:tab w:leader="none" w:pos="168" w:val="left"/>
        </w:tabs>
        <w:numPr>
          <w:ilvl w:val="0"/>
          <w:numId w:val="81"/>
        </w:numPr>
        <w:rPr>
          <w:rFonts w:ascii="Arial" w:cs="Arial" w:eastAsia="Arial" w:hAnsi="Arial"/>
          <w:sz w:val="16"/>
          <w:szCs w:val="16"/>
          <w:color w:val="auto"/>
          <w:vertAlign w:val="superscript"/>
        </w:rPr>
      </w:pPr>
      <w:r>
        <w:rPr>
          <w:rFonts w:ascii="Arial" w:cs="Arial" w:eastAsia="Arial" w:hAnsi="Arial"/>
          <w:sz w:val="11"/>
          <w:szCs w:val="11"/>
          <w:color w:val="auto"/>
        </w:rPr>
        <w:t>assumes conversion under the terms of the October 11, 2012 Note Exchange and Purchase Agreement with Platinum and the terms of the individual notes</w:t>
      </w:r>
    </w:p>
    <w:p>
      <w:pPr>
        <w:spacing w:after="0" w:line="253" w:lineRule="exact"/>
        <w:rPr>
          <w:sz w:val="20"/>
          <w:szCs w:val="20"/>
          <w:color w:val="auto"/>
        </w:rPr>
      </w:pPr>
    </w:p>
    <w:p>
      <w:pPr>
        <w:ind w:left="5628"/>
        <w:spacing w:after="0"/>
        <w:rPr>
          <w:sz w:val="20"/>
          <w:szCs w:val="20"/>
          <w:color w:val="auto"/>
        </w:rPr>
      </w:pPr>
      <w:r>
        <w:rPr>
          <w:rFonts w:ascii="Arial" w:cs="Arial" w:eastAsia="Arial" w:hAnsi="Arial"/>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750,000</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375,000</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563,871</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1,544,474</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33,612</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1,578,086</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207,638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40,491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3810</wp:posOffset>
            </wp:positionV>
            <wp:extent cx="726440"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440" cy="114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color w:val="auto"/>
        </w:rPr>
        <w:t>248,129</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807,800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100965</wp:posOffset>
            </wp:positionV>
            <wp:extent cx="72644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440" cy="1143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0"/>
          <w:szCs w:val="10"/>
          <w:color w:val="auto"/>
        </w:rPr>
        <w:t>4,322,886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24130</wp:posOffset>
            </wp:positionV>
            <wp:extent cx="7264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440" cy="571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41275</wp:posOffset>
            </wp:positionV>
            <wp:extent cx="7264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ectPr>
          <w:pgSz w:w="11900" w:h="16838" w:orient="portrait"/>
          <w:cols w:equalWidth="0" w:num="2">
            <w:col w:w="10168" w:space="720"/>
            <w:col w:w="480"/>
          </w:cols>
          <w:pgMar w:left="212" w:top="134" w:right="319" w:bottom="1440" w:gutter="0" w:footer="0" w:header="0"/>
        </w:sectPr>
      </w:pPr>
    </w:p>
    <w:bookmarkStart w:id="161" w:name="page162"/>
    <w:bookmarkEnd w:id="16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Research and Development Expenses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recorded research and development expenses of approximately $4.3 million and $2.5 million in the fiscal years ended March 31, 2015 and 2014,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Income Taxes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provision for income taxes for the periods presented in the Consolidated Statements of Operations and Comprehensive Income represents minimum California franchise taxes. Income tax expense differed from the amounts computed by applying the U.S. federal income tax rate of 34% to pretax losses as a result of the following:</w:t>
      </w:r>
    </w:p>
    <w:p>
      <w:pPr>
        <w:spacing w:after="0" w:line="133" w:lineRule="exact"/>
        <w:rPr>
          <w:sz w:val="20"/>
          <w:szCs w:val="20"/>
          <w:color w:val="auto"/>
        </w:rPr>
      </w:pPr>
    </w:p>
    <w:p>
      <w:pPr>
        <w:ind w:left="9300"/>
        <w:spacing w:after="0"/>
        <w:rPr>
          <w:sz w:val="20"/>
          <w:szCs w:val="20"/>
          <w:color w:val="auto"/>
        </w:rPr>
      </w:pPr>
      <w:r>
        <w:rPr>
          <w:rFonts w:ascii="Arial" w:cs="Arial" w:eastAsia="Arial" w:hAnsi="Arial"/>
          <w:sz w:val="12"/>
          <w:szCs w:val="12"/>
          <w:color w:val="auto"/>
        </w:rPr>
        <w:t>Fiscal Years Ended 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60" w:type="dxa"/>
            <w:vAlign w:val="bottom"/>
            <w:gridSpan w:val="2"/>
          </w:tcPr>
          <w:p>
            <w:pPr>
              <w:spacing w:after="0"/>
              <w:rPr>
                <w:sz w:val="12"/>
                <w:szCs w:val="12"/>
                <w:color w:val="auto"/>
              </w:rPr>
            </w:pP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Computed expected tax benefit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(34.0)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520" w:type="dxa"/>
            <w:vAlign w:val="bottom"/>
            <w:gridSpan w:val="2"/>
          </w:tcPr>
          <w:p>
            <w:pPr>
              <w:spacing w:after="0"/>
              <w:rPr>
                <w:sz w:val="20"/>
                <w:szCs w:val="20"/>
                <w:color w:val="auto"/>
              </w:rPr>
            </w:pPr>
            <w:r>
              <w:rPr>
                <w:rFonts w:ascii="Arial" w:cs="Arial" w:eastAsia="Arial" w:hAnsi="Arial"/>
                <w:sz w:val="12"/>
                <w:szCs w:val="12"/>
                <w:color w:val="auto"/>
              </w:rPr>
              <w:t>Tax effect of Warrant Liability mark to market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(0.1) %</w:t>
            </w: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losses not benefitted</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520" w:type="dxa"/>
            <w:vAlign w:val="bottom"/>
            <w:gridSpan w:val="2"/>
          </w:tcPr>
          <w:p>
            <w:pPr>
              <w:spacing w:after="0"/>
              <w:rPr>
                <w:sz w:val="20"/>
                <w:szCs w:val="20"/>
                <w:color w:val="auto"/>
              </w:rPr>
            </w:pPr>
            <w:r>
              <w:rPr>
                <w:rFonts w:ascii="Arial" w:cs="Arial" w:eastAsia="Arial" w:hAnsi="Arial"/>
                <w:sz w:val="12"/>
                <w:szCs w:val="12"/>
                <w:color w:val="auto"/>
              </w:rPr>
              <w:t>Other</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0.1%</w:t>
            </w: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520" w:type="dxa"/>
            <w:vAlign w:val="bottom"/>
            <w:gridSpan w:val="2"/>
          </w:tcPr>
          <w:p>
            <w:pPr>
              <w:spacing w:after="0"/>
              <w:rPr>
                <w:sz w:val="20"/>
                <w:szCs w:val="20"/>
                <w:color w:val="auto"/>
              </w:rPr>
            </w:pPr>
            <w:r>
              <w:rPr>
                <w:rFonts w:ascii="Arial" w:cs="Arial" w:eastAsia="Arial" w:hAnsi="Arial"/>
                <w:sz w:val="12"/>
                <w:szCs w:val="12"/>
                <w:color w:val="auto"/>
              </w:rPr>
              <w:t>Income tax expense</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0.0%</w:t>
            </w: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auto"/>
        </w:rPr>
        <w:t>Deferred income taxes reflect the net tax effect of temporary differences between the carrying amounts of assets and liabilities for financial reporting purposes and the amounts used for income tax purposes. Significant components of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Company’s deferred tax assets are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5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operating loss carryovers</w:t>
            </w:r>
          </w:p>
        </w:tc>
        <w:tc>
          <w:tcPr>
            <w:tcW w:w="5780" w:type="dxa"/>
            <w:vAlign w:val="bottom"/>
            <w:gridSpan w:val="2"/>
            <w:shd w:val="clear" w:color="auto" w:fill="CCEEFF"/>
          </w:tcPr>
          <w:p>
            <w:pPr>
              <w:jc w:val="right"/>
              <w:ind w:right="625"/>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23,054</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19,733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80" w:type="dxa"/>
            <w:vAlign w:val="bottom"/>
          </w:tcPr>
          <w:p>
            <w:pPr>
              <w:ind w:left="440"/>
              <w:spacing w:after="0"/>
              <w:rPr>
                <w:sz w:val="20"/>
                <w:szCs w:val="20"/>
                <w:color w:val="auto"/>
              </w:rPr>
            </w:pPr>
            <w:r>
              <w:rPr>
                <w:rFonts w:ascii="Arial" w:cs="Arial" w:eastAsia="Arial" w:hAnsi="Arial"/>
                <w:sz w:val="12"/>
                <w:szCs w:val="12"/>
                <w:color w:val="auto"/>
              </w:rPr>
              <w:t>Basis differences in fixed assets</w:t>
            </w:r>
          </w:p>
        </w:tc>
        <w:tc>
          <w:tcPr>
            <w:tcW w:w="5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Accruals and reserves</w:t>
            </w:r>
          </w:p>
        </w:tc>
        <w:tc>
          <w:tcPr>
            <w:tcW w:w="50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2,694</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1,383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80" w:type="dxa"/>
            <w:vAlign w:val="bottom"/>
            <w:tcBorders>
              <w:top w:val="single" w:sz="8" w:color="CCEEFF"/>
            </w:tcBorders>
          </w:tcPr>
          <w:p>
            <w:pPr>
              <w:spacing w:after="0"/>
              <w:rPr>
                <w:sz w:val="12"/>
                <w:szCs w:val="12"/>
                <w:color w:val="auto"/>
              </w:rPr>
            </w:pPr>
          </w:p>
        </w:tc>
        <w:tc>
          <w:tcPr>
            <w:tcW w:w="50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50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25,772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21,153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50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(25,772)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(21,153)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80" w:type="dxa"/>
            <w:vAlign w:val="bottom"/>
            <w:tcBorders>
              <w:top w:val="single" w:sz="8" w:color="CCEEFF"/>
            </w:tcBorders>
          </w:tcPr>
          <w:p>
            <w:pPr>
              <w:spacing w:after="0"/>
              <w:rPr>
                <w:sz w:val="12"/>
                <w:szCs w:val="12"/>
                <w:color w:val="auto"/>
              </w:rPr>
            </w:pPr>
          </w:p>
        </w:tc>
        <w:tc>
          <w:tcPr>
            <w:tcW w:w="50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assets</w:t>
            </w:r>
          </w:p>
        </w:tc>
        <w:tc>
          <w:tcPr>
            <w:tcW w:w="50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780" w:type="dxa"/>
            <w:vAlign w:val="bottom"/>
            <w:gridSpan w:val="2"/>
          </w:tcPr>
          <w:p>
            <w:pPr>
              <w:jc w:val="right"/>
              <w:ind w:right="3685"/>
              <w:spacing w:after="0"/>
              <w:rPr>
                <w:sz w:val="20"/>
                <w:szCs w:val="20"/>
                <w:color w:val="auto"/>
              </w:rPr>
            </w:pPr>
            <w:r>
              <w:rPr>
                <w:rFonts w:ascii="Arial" w:cs="Arial" w:eastAsia="Arial" w:hAnsi="Arial"/>
                <w:sz w:val="12"/>
                <w:szCs w:val="12"/>
                <w:color w:val="auto"/>
              </w:rPr>
              <w:t>F-38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bottom w:val="single" w:sz="8" w:color="808080"/>
            </w:tcBorders>
          </w:tcPr>
          <w:p>
            <w:pPr>
              <w:spacing w:after="0"/>
              <w:rPr>
                <w:sz w:val="6"/>
                <w:szCs w:val="6"/>
                <w:color w:val="auto"/>
              </w:rPr>
            </w:pPr>
          </w:p>
        </w:tc>
        <w:tc>
          <w:tcPr>
            <w:tcW w:w="50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62" w:name="page163"/>
    <w:bookmarkEnd w:id="162"/>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Realization of deferred tax assets is dependent upon future earnings, if any, the timing and amount of which are uncertain. Accordingly, the deferred tax assets have been fully offset by a valuation allowance. The valuation allowance increased by $4,619,000 and $2,126,000 during the fiscal years ended March 31, 2015 and 2014, respectively. When realized, deferred tax assets related to employee stock options will be credited to additional paid-in capital.</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March 31, 2015, we had U.S. federal net operating loss carryforwards of $58.7 million, which will expire in fiscal years 2020 through 2035. As of March 31, 2015, we had state net operating loss carryforwards of $53.1 million, which will expire in fiscal years 2016 through 2035.</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files income tax returns in the U.S. federal and Canadian jurisdictions and California and Maryland state jurisdictions. The Company is subject to U.S. federal and state income tax examinations by tax authorities for tax years 2000 through 2015 due to net operating losses that are being carried forward for tax purposes.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does not have any uncertain tax positions or unrecognized tax benefits at March 31, 2015 and 2014. The Company’s policy is to recognize interest and penalties related to income taxes as components of interest expense and other expense,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Licensing and Collaborative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Health Network</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On September 17, 2007, we entered into a Sponsored Research Collaboration Agreement (</w:t>
      </w:r>
      <w:r>
        <w:rPr>
          <w:rFonts w:ascii="Arial" w:cs="Arial" w:eastAsia="Arial" w:hAnsi="Arial"/>
          <w:sz w:val="11"/>
          <w:szCs w:val="11"/>
          <w:i w:val="1"/>
          <w:iCs w:val="1"/>
          <w:color w:val="auto"/>
        </w:rPr>
        <w:t>SRCA</w:t>
      </w:r>
      <w:r>
        <w:rPr>
          <w:rFonts w:ascii="Arial" w:cs="Arial" w:eastAsia="Arial" w:hAnsi="Arial"/>
          <w:sz w:val="11"/>
          <w:szCs w:val="11"/>
          <w:color w:val="auto"/>
        </w:rPr>
        <w:t>) with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to develop certain stem cell technologies for drug discovery, development and rescue technologies. The SRCA was amended on April 19, 2010 to extend the term to five years and give us various options to extend the term for an additional three years. On December 15, 2010, we entered into a second amendment with UHN to expand the scope of work to include induced pluripotent stem cell technology and to further expand the scope of research and term extension options. On April 25, 2011, we and UHN amended the SRCA a third time to expand the scope to include therapeutic and stem cell therapy applications of induced pluripotent cells and to extend the date during which we may elect to fund additional projects to April 30, 2012. On October 24, 2011, we and UHN amended the SRCA a fourth time to identify five key programs to further support our core drug rescue initiatives and potential cell therapy applications. In October 2012, we issued a promissory note in the principal amount of $549,500 and a warrant to UHN as payment in full for services rendered under the fourth amendment. We also entered into Amendment No. 5 to the SRCA establishing the sponsored research projects and the sponsored research budgets under the SRCA from October 1, 2012 to September 30, 2013. During our fiscal year ended March 31, 2015, our financial condition precluded further sponsored research activities with UHN.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Concurrent with the execution of the fourth amendment to the SRCA, we also entered into a License Agreement with UHN under the terms of which UHN granted us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we have agreed to make payments to UHN totaling $3.9 million, if, and when, we achieves certain commercial milestones set forth in the License Agreement, and to pay UHN royalties based on our receipt of revenue attributable to the licensed patents.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3" w:name="page164"/>
    <w:bookmarkEnd w:id="163"/>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National Institutes of Health</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During fiscal years 2006 through 2008,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awarded VistaGen California a $4.2 million grant to support preclinical development of AV-101, our lead drug candidate for treatment of neuropathic pain and other neurodegenerative diseases such as Huntington’s and Parkinson’s diseases. In June 2009, the NIH awarded VistaGen California a $4.2 million grant to support the Phase I clinical development of AV-101, which amount was subsequently increased to a total of $4.6 million in July 2010. The grant expired in the ordinary course on June 30, 2012 and all funds had been expended. In February 2015, we entered into a Cooperative Research and Development Agreement with the National Institute of Mental Health to collaborate on an NIH-sponsored Phase 2 clinical study of the efficacy and safety of AV-101 in subjects with MDD. The study is expected to commence late in the third quarter of 2015 and be completed in 2016.</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Ltd.</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have built a strategic development relationship with Cato Research Ltd. (“</w:t>
      </w:r>
      <w:r>
        <w:rPr>
          <w:rFonts w:ascii="Arial" w:cs="Arial" w:eastAsia="Arial" w:hAnsi="Arial"/>
          <w:sz w:val="11"/>
          <w:szCs w:val="11"/>
          <w:i w:val="1"/>
          <w:iCs w:val="1"/>
          <w:color w:val="auto"/>
        </w:rPr>
        <w:t>CRL</w:t>
      </w:r>
      <w:r>
        <w:rPr>
          <w:rFonts w:ascii="Arial" w:cs="Arial" w:eastAsia="Arial" w:hAnsi="Arial"/>
          <w:sz w:val="11"/>
          <w:szCs w:val="11"/>
          <w:color w:val="auto"/>
        </w:rPr>
        <w:t>”), a global contract research and development organization, or CRO, and an affiliate of one of the Company’s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$38,100 and $52,500 for the fiscal years ended March 31, 2015 and 2014, respectively. In October 2012, we issued an unsecured promissory note in the principal amount of $1,009,000, and a warrant exercisable for 50,450 shares of our common stock, as payment in full of all amounts owed to CRL for CRO services rendered to us through December 31, 2012.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Stock Option Plans and 401(k) Plan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have the following share-based compensation plans.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2008 Stock Incentive Plan (the “</w:t>
      </w:r>
      <w:r>
        <w:rPr>
          <w:rFonts w:ascii="Arial" w:cs="Arial" w:eastAsia="Arial" w:hAnsi="Arial"/>
          <w:sz w:val="12"/>
          <w:szCs w:val="12"/>
          <w:i w:val="1"/>
          <w:iCs w:val="1"/>
          <w:color w:val="auto"/>
        </w:rPr>
        <w:t>2008 Plan</w:t>
      </w:r>
      <w:r>
        <w:rPr>
          <w:rFonts w:ascii="Arial" w:cs="Arial" w:eastAsia="Arial" w:hAnsi="Arial"/>
          <w:sz w:val="12"/>
          <w:szCs w:val="12"/>
          <w:color w:val="auto"/>
        </w:rPr>
        <w:t>”) was adopted by the shareholders of VistaGen California on December 19, 2008 and assumed by the Company in connection with the Merger. The maximum number of shares of our common stock that may be granted pursuant to the 2008 Plan is 250,000 shares, subject to adjustments for stock splits, stock dividends or other similar changes in the common stock or capital structure.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1999 Stock Incentive Plan (the “</w:t>
      </w:r>
      <w:r>
        <w:rPr>
          <w:rFonts w:ascii="Arial" w:cs="Arial" w:eastAsia="Arial" w:hAnsi="Arial"/>
          <w:sz w:val="12"/>
          <w:szCs w:val="12"/>
          <w:i w:val="1"/>
          <w:iCs w:val="1"/>
          <w:color w:val="auto"/>
        </w:rPr>
        <w:t>1999 Plan</w:t>
      </w:r>
      <w:r>
        <w:rPr>
          <w:rFonts w:ascii="Arial" w:cs="Arial" w:eastAsia="Arial" w:hAnsi="Arial"/>
          <w:sz w:val="12"/>
          <w:szCs w:val="12"/>
          <w:color w:val="auto"/>
        </w:rPr>
        <w:t>”) was adopted by the shareholders of VistaGen California on December 6, 1999 and assumed by the Company in connection with the Merger.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the 2008 Plan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terms of the 2008 Plan, the Compensation Committee of our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4" w:name="page165"/>
    <w:bookmarkEnd w:id="164"/>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Compensation Committee may grant nonstatutory stock options under the 2008 Plan at a price of not less than 100% of the fair market value of our common stock on the date the option is granted. Incentive stock options under the 2008 Plan may be granted at a price of not less than 100% of the fair market value of our common stock on the date the option is granted. Incentive stock options granted to employees who, on the date of grant, own stock representing more than 10% of the voting power of all of our classes of stock are granted at an exercise price of not less than 110% of the fair market value of our common stock and the maximum term of such incentive stock options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 We currently have no performance-based awards outstanding.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Unless terminated sooner, the 2008 Plan will automatically terminate in 2017. The Board of Directors may at any time amend, suspend or terminate our 2008 Plan.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did not grant any stock options during fiscal 2015. During the third quarter of fiscal 2014, when the quoted market price of our common stock was $8.00 per share, we reduced the exercise price of an aggregate of 196,213 outstanding options to purchase shares of its common stock at exercise prices between $15.00 per share and $59.80 per share held by certain employees, including the Company’s officers and directors, and by certain consultants to $8.00 per share or $10.00 per share. These reductions in exercise price were accounted for as a modification of the options and resulted in a charge of $252,000.</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The following table summarizes share-based compensation expense, including share-based expense related to the March 2015 and March 2014 grants of warrants to certain of our officers and to our independent directors as described in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included in the accompanying Consolidated Statement of Operations and Comprehensive Loss for the years ended March 31, 2015 and 2014.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2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2014</w:t>
            </w:r>
          </w:p>
        </w:tc>
        <w:tc>
          <w:tcPr>
            <w:tcW w:w="120" w:type="dxa"/>
            <w:vAlign w:val="bottom"/>
          </w:tcPr>
          <w:p>
            <w:pPr>
              <w:spacing w:after="0"/>
              <w:rPr>
                <w:sz w:val="12"/>
                <w:szCs w:val="12"/>
                <w:color w:val="auto"/>
              </w:rPr>
            </w:pPr>
          </w:p>
        </w:tc>
      </w:tr>
      <w:tr>
        <w:trPr>
          <w:trHeight w:val="142"/>
        </w:trPr>
        <w:tc>
          <w:tcPr>
            <w:tcW w:w="424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Stock option grants</w:t>
            </w:r>
          </w:p>
        </w:tc>
        <w:tc>
          <w:tcPr>
            <w:tcW w:w="486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176,200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296,900</w:t>
            </w:r>
          </w:p>
        </w:tc>
      </w:tr>
      <w:tr>
        <w:trPr>
          <w:trHeight w:val="135"/>
        </w:trPr>
        <w:tc>
          <w:tcPr>
            <w:tcW w:w="4240" w:type="dxa"/>
            <w:vAlign w:val="bottom"/>
          </w:tcPr>
          <w:p>
            <w:pPr>
              <w:ind w:left="360"/>
              <w:spacing w:after="0" w:line="136" w:lineRule="exact"/>
              <w:rPr>
                <w:sz w:val="20"/>
                <w:szCs w:val="20"/>
                <w:color w:val="auto"/>
              </w:rPr>
            </w:pPr>
            <w:r>
              <w:rPr>
                <w:rFonts w:ascii="Arial" w:cs="Arial" w:eastAsia="Arial" w:hAnsi="Arial"/>
                <w:sz w:val="12"/>
                <w:szCs w:val="12"/>
                <w:color w:val="auto"/>
              </w:rPr>
              <w:t>Fully-vested warrants granted to officer and</w:t>
            </w:r>
          </w:p>
        </w:tc>
        <w:tc>
          <w:tcPr>
            <w:tcW w:w="4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4240" w:type="dxa"/>
            <w:vAlign w:val="bottom"/>
          </w:tcPr>
          <w:p>
            <w:pPr>
              <w:ind w:left="480"/>
              <w:spacing w:after="0"/>
              <w:rPr>
                <w:sz w:val="20"/>
                <w:szCs w:val="20"/>
                <w:color w:val="auto"/>
              </w:rPr>
            </w:pPr>
            <w:r>
              <w:rPr>
                <w:rFonts w:ascii="Arial" w:cs="Arial" w:eastAsia="Arial" w:hAnsi="Arial"/>
                <w:sz w:val="12"/>
                <w:szCs w:val="12"/>
                <w:color w:val="auto"/>
              </w:rPr>
              <w:t>consultants in January 2015</w:t>
            </w:r>
          </w:p>
        </w:tc>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527,500</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44"/>
        </w:trPr>
        <w:tc>
          <w:tcPr>
            <w:tcW w:w="4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Warrants granted to officer in March 2014 and 2013</w:t>
            </w: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145,100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156,500</w:t>
            </w:r>
          </w:p>
        </w:tc>
      </w:tr>
      <w:tr>
        <w:trPr>
          <w:trHeight w:val="142"/>
        </w:trPr>
        <w:tc>
          <w:tcPr>
            <w:tcW w:w="4240" w:type="dxa"/>
            <w:vAlign w:val="bottom"/>
            <w:tcBorders>
              <w:top w:val="single" w:sz="8" w:color="CCEEFF"/>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2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848,800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453,400</w:t>
            </w:r>
          </w:p>
        </w:tc>
      </w:tr>
      <w:tr>
        <w:trPr>
          <w:trHeight w:val="142"/>
        </w:trPr>
        <w:tc>
          <w:tcPr>
            <w:tcW w:w="4240" w:type="dxa"/>
            <w:vAlign w:val="bottom"/>
            <w:tcBorders>
              <w:top w:val="single" w:sz="8" w:color="CCEEFF"/>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 expense:</w:t>
            </w: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Stock option grants</w:t>
            </w: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98,800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385,100</w:t>
            </w:r>
          </w:p>
        </w:tc>
      </w:tr>
      <w:tr>
        <w:trPr>
          <w:trHeight w:val="135"/>
        </w:trPr>
        <w:tc>
          <w:tcPr>
            <w:tcW w:w="4240" w:type="dxa"/>
            <w:vAlign w:val="bottom"/>
          </w:tcPr>
          <w:p>
            <w:pPr>
              <w:ind w:left="360"/>
              <w:spacing w:after="0" w:line="136" w:lineRule="exact"/>
              <w:rPr>
                <w:sz w:val="20"/>
                <w:szCs w:val="20"/>
                <w:color w:val="auto"/>
              </w:rPr>
            </w:pPr>
            <w:r>
              <w:rPr>
                <w:rFonts w:ascii="Arial" w:cs="Arial" w:eastAsia="Arial" w:hAnsi="Arial"/>
                <w:sz w:val="12"/>
                <w:szCs w:val="12"/>
                <w:color w:val="auto"/>
              </w:rPr>
              <w:t>Fully-vested warrants granted to officers, directors</w:t>
            </w:r>
          </w:p>
        </w:tc>
        <w:tc>
          <w:tcPr>
            <w:tcW w:w="4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4240" w:type="dxa"/>
            <w:vAlign w:val="bottom"/>
          </w:tcPr>
          <w:p>
            <w:pPr>
              <w:ind w:left="480"/>
              <w:spacing w:after="0"/>
              <w:rPr>
                <w:sz w:val="20"/>
                <w:szCs w:val="20"/>
                <w:color w:val="auto"/>
              </w:rPr>
            </w:pPr>
            <w:r>
              <w:rPr>
                <w:rFonts w:ascii="Arial" w:cs="Arial" w:eastAsia="Arial" w:hAnsi="Arial"/>
                <w:sz w:val="12"/>
                <w:szCs w:val="12"/>
                <w:color w:val="auto"/>
              </w:rPr>
              <w:t>and consultants in January 2015</w:t>
            </w:r>
          </w:p>
        </w:tc>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1,229,400</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44"/>
        </w:trPr>
        <w:tc>
          <w:tcPr>
            <w:tcW w:w="4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Warrants granted to officers and directors in March</w:t>
            </w: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240" w:type="dxa"/>
            <w:vAlign w:val="bottom"/>
            <w:shd w:val="clear" w:color="auto" w:fill="CCEEFF"/>
          </w:tcPr>
          <w:p>
            <w:pPr>
              <w:ind w:left="520"/>
              <w:spacing w:after="0"/>
              <w:rPr>
                <w:sz w:val="20"/>
                <w:szCs w:val="20"/>
                <w:color w:val="auto"/>
              </w:rPr>
            </w:pPr>
            <w:r>
              <w:rPr>
                <w:rFonts w:ascii="Arial" w:cs="Arial" w:eastAsia="Arial" w:hAnsi="Arial"/>
                <w:sz w:val="12"/>
                <w:szCs w:val="12"/>
                <w:color w:val="auto"/>
              </w:rPr>
              <w:t>2014 and 2013</w:t>
            </w: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283,100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298,800</w:t>
            </w:r>
          </w:p>
        </w:tc>
      </w:tr>
      <w:tr>
        <w:trPr>
          <w:trHeight w:val="142"/>
        </w:trPr>
        <w:tc>
          <w:tcPr>
            <w:tcW w:w="4240" w:type="dxa"/>
            <w:vAlign w:val="bottom"/>
            <w:tcBorders>
              <w:top w:val="single" w:sz="8" w:color="CCEEFF"/>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2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1,611,300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683,900</w:t>
            </w:r>
          </w:p>
        </w:tc>
      </w:tr>
      <w:tr>
        <w:trPr>
          <w:trHeight w:val="142"/>
        </w:trPr>
        <w:tc>
          <w:tcPr>
            <w:tcW w:w="4240" w:type="dxa"/>
            <w:vAlign w:val="bottom"/>
            <w:tcBorders>
              <w:top w:val="single" w:sz="8" w:color="CCEEFF"/>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stock-based compensation expense</w:t>
            </w:r>
          </w:p>
        </w:tc>
        <w:tc>
          <w:tcPr>
            <w:tcW w:w="46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2,460,100</w:t>
            </w: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1,137,300</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381"/>
        </w:trPr>
        <w:tc>
          <w:tcPr>
            <w:tcW w:w="4240" w:type="dxa"/>
            <w:vAlign w:val="bottom"/>
          </w:tcPr>
          <w:p>
            <w:pPr>
              <w:spacing w:after="0"/>
              <w:rPr>
                <w:sz w:val="24"/>
                <w:szCs w:val="24"/>
                <w:color w:val="auto"/>
              </w:rPr>
            </w:pPr>
          </w:p>
        </w:tc>
        <w:tc>
          <w:tcPr>
            <w:tcW w:w="4860" w:type="dxa"/>
            <w:vAlign w:val="bottom"/>
            <w:gridSpan w:val="2"/>
          </w:tcPr>
          <w:p>
            <w:pPr>
              <w:jc w:val="right"/>
              <w:ind w:right="3210"/>
              <w:spacing w:after="0"/>
              <w:rPr>
                <w:sz w:val="20"/>
                <w:szCs w:val="20"/>
                <w:color w:val="auto"/>
              </w:rPr>
            </w:pPr>
            <w:r>
              <w:rPr>
                <w:rFonts w:ascii="Arial" w:cs="Arial" w:eastAsia="Arial" w:hAnsi="Arial"/>
                <w:sz w:val="12"/>
                <w:szCs w:val="12"/>
                <w:color w:val="auto"/>
              </w:rPr>
              <w:t>F-41</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4240" w:type="dxa"/>
            <w:vAlign w:val="bottom"/>
            <w:tcBorders>
              <w:bottom w:val="single" w:sz="8" w:color="808080"/>
            </w:tcBorders>
          </w:tcPr>
          <w:p>
            <w:pPr>
              <w:spacing w:after="0"/>
              <w:rPr>
                <w:sz w:val="6"/>
                <w:szCs w:val="6"/>
                <w:color w:val="auto"/>
              </w:rPr>
            </w:pPr>
          </w:p>
        </w:tc>
        <w:tc>
          <w:tcPr>
            <w:tcW w:w="46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5" w:name="page166"/>
    <w:bookmarkEnd w:id="165"/>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We used the Black-Scholes option valuation model with the following assumptions to determine share-based compensation expense related to option grants during the fiscal years ended March 31, 2015 and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200" w:type="dxa"/>
            <w:vAlign w:val="bottom"/>
            <w:gridSpan w:val="4"/>
          </w:tcPr>
          <w:p>
            <w:pPr>
              <w:ind w:left="16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940" w:type="dxa"/>
            <w:vAlign w:val="bottom"/>
            <w:tcBorders>
              <w:top w:val="single" w:sz="8" w:color="auto"/>
            </w:tcBorders>
          </w:tcPr>
          <w:p>
            <w:pPr>
              <w:jc w:val="center"/>
              <w:ind w:left="880"/>
              <w:spacing w:after="0"/>
              <w:rPr>
                <w:sz w:val="20"/>
                <w:szCs w:val="20"/>
                <w:color w:val="auto"/>
              </w:rPr>
            </w:pPr>
            <w:r>
              <w:rPr>
                <w:rFonts w:ascii="Arial" w:cs="Arial" w:eastAsia="Arial" w:hAnsi="Arial"/>
                <w:sz w:val="12"/>
                <w:szCs w:val="12"/>
                <w:b w:val="1"/>
                <w:bCs w:val="1"/>
                <w:color w:val="auto"/>
                <w:w w:val="89"/>
              </w:rPr>
              <w:t>2015</w:t>
            </w:r>
          </w:p>
        </w:tc>
        <w:tc>
          <w:tcPr>
            <w:tcW w:w="3800" w:type="dxa"/>
            <w:vAlign w:val="bottom"/>
            <w:tcBorders>
              <w:top w:val="single" w:sz="8" w:color="auto"/>
            </w:tcBorders>
            <w:gridSpan w:val="3"/>
          </w:tcPr>
          <w:p>
            <w:pPr>
              <w:jc w:val="center"/>
              <w:ind w:left="1300"/>
              <w:spacing w:after="0"/>
              <w:rPr>
                <w:sz w:val="20"/>
                <w:szCs w:val="20"/>
                <w:color w:val="auto"/>
              </w:rPr>
            </w:pPr>
            <w:r>
              <w:rPr>
                <w:rFonts w:ascii="Arial" w:cs="Arial" w:eastAsia="Arial" w:hAnsi="Arial"/>
                <w:sz w:val="12"/>
                <w:szCs w:val="12"/>
                <w:b w:val="1"/>
                <w:bCs w:val="1"/>
                <w:color w:val="auto"/>
                <w:w w:val="89"/>
              </w:rPr>
              <w:t>2014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Exercise price</w:t>
            </w:r>
          </w:p>
        </w:tc>
        <w:tc>
          <w:tcPr>
            <w:tcW w:w="194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w w:val="91"/>
              </w:rPr>
              <w:t>$8.00 to $16.40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Market price on date of grant</w:t>
            </w:r>
          </w:p>
        </w:tc>
        <w:tc>
          <w:tcPr>
            <w:tcW w:w="1940" w:type="dxa"/>
            <w:vAlign w:val="bottom"/>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80" w:type="dxa"/>
            <w:vAlign w:val="bottom"/>
            <w:gridSpan w:val="2"/>
          </w:tcPr>
          <w:p>
            <w:pPr>
              <w:jc w:val="center"/>
              <w:ind w:right="400"/>
              <w:spacing w:after="0"/>
              <w:rPr>
                <w:sz w:val="20"/>
                <w:szCs w:val="20"/>
                <w:color w:val="auto"/>
              </w:rPr>
            </w:pPr>
            <w:r>
              <w:rPr>
                <w:rFonts w:ascii="Arial" w:cs="Arial" w:eastAsia="Arial" w:hAnsi="Arial"/>
                <w:sz w:val="12"/>
                <w:szCs w:val="12"/>
                <w:color w:val="auto"/>
                <w:w w:val="91"/>
              </w:rPr>
              <w:t>$8.00 to $16.40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94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w w:val="89"/>
              </w:rPr>
              <w:t>1.08% to 2.53%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Expected term (years)</w:t>
            </w:r>
          </w:p>
        </w:tc>
        <w:tc>
          <w:tcPr>
            <w:tcW w:w="1940" w:type="dxa"/>
            <w:vAlign w:val="bottom"/>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8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6.25 to 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94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w w:val="91"/>
              </w:rPr>
              <w:t>87.9% to 103.2%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1940" w:type="dxa"/>
            <w:vAlign w:val="bottom"/>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3800" w:type="dxa"/>
            <w:vAlign w:val="bottom"/>
            <w:gridSpan w:val="3"/>
          </w:tcPr>
          <w:p>
            <w:pPr>
              <w:jc w:val="center"/>
              <w:ind w:left="1260"/>
              <w:spacing w:after="0"/>
              <w:rPr>
                <w:sz w:val="20"/>
                <w:szCs w:val="20"/>
                <w:color w:val="auto"/>
              </w:rPr>
            </w:pPr>
            <w:r>
              <w:rPr>
                <w:rFonts w:ascii="Arial" w:cs="Arial" w:eastAsia="Arial" w:hAnsi="Arial"/>
                <w:sz w:val="12"/>
                <w:szCs w:val="12"/>
                <w:color w:val="auto"/>
                <w:w w:val="91"/>
              </w:rPr>
              <w:t>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Fair value per share at grant date</w:t>
            </w:r>
          </w:p>
        </w:tc>
        <w:tc>
          <w:tcPr>
            <w:tcW w:w="1940" w:type="dxa"/>
            <w:vAlign w:val="bottom"/>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80" w:type="dxa"/>
            <w:vAlign w:val="bottom"/>
            <w:gridSpan w:val="2"/>
          </w:tcPr>
          <w:p>
            <w:pPr>
              <w:jc w:val="center"/>
              <w:ind w:right="400"/>
              <w:spacing w:after="0"/>
              <w:rPr>
                <w:sz w:val="20"/>
                <w:szCs w:val="20"/>
                <w:color w:val="auto"/>
              </w:rPr>
            </w:pPr>
            <w:r>
              <w:rPr>
                <w:rFonts w:ascii="Arial" w:cs="Arial" w:eastAsia="Arial" w:hAnsi="Arial"/>
                <w:sz w:val="12"/>
                <w:szCs w:val="12"/>
                <w:color w:val="auto"/>
                <w:w w:val="91"/>
              </w:rPr>
              <w:t>$6.38 to $13.63</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our limited historical experience as a publicly traded company as well as the lack of liquidity resulting from the limited number of freely-tradable shares of our common stock. Limited historical experience and lack of liquidity in our stock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activity for the fiscal years ended March 31, 2015 and 2014 under our stock option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2"/>
                <w:szCs w:val="12"/>
                <w:color w:val="auto"/>
              </w:rPr>
              <w:t>Fiscal Years Ended March 31,</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color w:val="auto"/>
              </w:rPr>
              <w:t>2015</w:t>
            </w:r>
          </w:p>
        </w:tc>
        <w:tc>
          <w:tcPr>
            <w:tcW w:w="9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2"/>
                <w:szCs w:val="12"/>
                <w:color w:val="auto"/>
              </w:rPr>
              <w:t>2014</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90"/>
              </w:rPr>
              <w:t>Weighted</w:t>
            </w: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86"/>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Average</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2"/>
                <w:szCs w:val="12"/>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1"/>
              </w:rPr>
              <w:t>Exercise</w:t>
            </w:r>
          </w:p>
        </w:tc>
        <w:tc>
          <w:tcPr>
            <w:tcW w:w="1380" w:type="dxa"/>
            <w:vAlign w:val="bottom"/>
            <w:gridSpan w:val="2"/>
          </w:tcPr>
          <w:p>
            <w:pPr>
              <w:jc w:val="right"/>
              <w:ind w:right="540"/>
              <w:spacing w:after="0"/>
              <w:rPr>
                <w:sz w:val="20"/>
                <w:szCs w:val="20"/>
                <w:color w:val="auto"/>
              </w:rPr>
            </w:pPr>
            <w:r>
              <w:rPr>
                <w:rFonts w:ascii="Arial" w:cs="Arial" w:eastAsia="Arial" w:hAnsi="Arial"/>
                <w:sz w:val="12"/>
                <w:szCs w:val="12"/>
                <w:color w:val="auto"/>
              </w:rPr>
              <w:t>Number of</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Exercise</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Price</w:t>
            </w:r>
          </w:p>
        </w:tc>
        <w:tc>
          <w:tcPr>
            <w:tcW w:w="1380" w:type="dxa"/>
            <w:vAlign w:val="bottom"/>
            <w:gridSpan w:val="2"/>
          </w:tcPr>
          <w:p>
            <w:pPr>
              <w:jc w:val="right"/>
              <w:ind w:right="640"/>
              <w:spacing w:after="0"/>
              <w:rPr>
                <w:sz w:val="20"/>
                <w:szCs w:val="20"/>
                <w:color w:val="auto"/>
              </w:rPr>
            </w:pPr>
            <w:r>
              <w:rPr>
                <w:rFonts w:ascii="Arial" w:cs="Arial" w:eastAsia="Arial" w:hAnsi="Arial"/>
                <w:sz w:val="12"/>
                <w:szCs w:val="12"/>
                <w:color w:val="auto"/>
              </w:rPr>
              <w:t>Shares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7"/>
              </w:rPr>
              <w:t>Price</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outstanding at beginning of period</w:t>
            </w:r>
          </w:p>
        </w:tc>
        <w:tc>
          <w:tcPr>
            <w:tcW w:w="3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212,486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10.09</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245,653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26.43</w:t>
            </w:r>
          </w:p>
        </w:tc>
        <w:tc>
          <w:tcPr>
            <w:tcW w:w="0" w:type="dxa"/>
            <w:vAlign w:val="bottom"/>
          </w:tcPr>
          <w:p>
            <w:pPr>
              <w:spacing w:after="0"/>
              <w:rPr>
                <w:sz w:val="1"/>
                <w:szCs w:val="1"/>
                <w:color w:val="auto"/>
              </w:rPr>
            </w:pPr>
          </w:p>
        </w:tc>
      </w:tr>
      <w:tr>
        <w:trPr>
          <w:trHeight w:val="144"/>
        </w:trPr>
        <w:tc>
          <w:tcPr>
            <w:tcW w:w="3900" w:type="dxa"/>
            <w:vAlign w:val="bottom"/>
          </w:tcPr>
          <w:p>
            <w:pPr>
              <w:ind w:left="600"/>
              <w:spacing w:after="0"/>
              <w:rPr>
                <w:sz w:val="20"/>
                <w:szCs w:val="20"/>
                <w:color w:val="auto"/>
              </w:rPr>
            </w:pPr>
            <w:r>
              <w:rPr>
                <w:rFonts w:ascii="Arial" w:cs="Arial" w:eastAsia="Arial" w:hAnsi="Arial"/>
                <w:sz w:val="12"/>
                <w:szCs w:val="12"/>
                <w:color w:val="auto"/>
              </w:rPr>
              <w:t>Options granted</w:t>
            </w:r>
          </w:p>
        </w:tc>
        <w:tc>
          <w:tcPr>
            <w:tcW w:w="3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19,050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10.89</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exercised</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ind w:left="600"/>
              <w:spacing w:after="0"/>
              <w:rPr>
                <w:sz w:val="20"/>
                <w:szCs w:val="20"/>
                <w:color w:val="auto"/>
              </w:rPr>
            </w:pPr>
            <w:r>
              <w:rPr>
                <w:rFonts w:ascii="Arial" w:cs="Arial" w:eastAsia="Arial" w:hAnsi="Arial"/>
                <w:sz w:val="12"/>
                <w:szCs w:val="12"/>
                <w:color w:val="auto"/>
              </w:rPr>
              <w:t>Options forfeited</w:t>
            </w:r>
          </w:p>
        </w:tc>
        <w:tc>
          <w:tcPr>
            <w:tcW w:w="3480" w:type="dxa"/>
            <w:vAlign w:val="bottom"/>
            <w:gridSpan w:val="3"/>
          </w:tcPr>
          <w:p>
            <w:pPr>
              <w:jc w:val="right"/>
              <w:ind w:right="100"/>
              <w:spacing w:after="0"/>
              <w:rPr>
                <w:sz w:val="20"/>
                <w:szCs w:val="20"/>
                <w:color w:val="auto"/>
              </w:rPr>
            </w:pPr>
            <w:r>
              <w:rPr>
                <w:rFonts w:ascii="Arial" w:cs="Arial" w:eastAsia="Arial" w:hAnsi="Arial"/>
                <w:sz w:val="12"/>
                <w:szCs w:val="12"/>
                <w:color w:val="auto"/>
              </w:rPr>
              <w:t>(2,001)</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9.25</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(3,954)</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27.22</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expired</w:t>
            </w:r>
          </w:p>
        </w:tc>
        <w:tc>
          <w:tcPr>
            <w:tcW w:w="3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(2,847)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10.56</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(48,263)</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23.94</w:t>
            </w: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tcBorders>
          </w:tcPr>
          <w:p>
            <w:pPr>
              <w:spacing w:after="0"/>
              <w:rPr>
                <w:sz w:val="12"/>
                <w:szCs w:val="12"/>
                <w:color w:val="auto"/>
              </w:rPr>
            </w:pPr>
          </w:p>
        </w:tc>
        <w:tc>
          <w:tcPr>
            <w:tcW w:w="218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90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Options outstanding at end of period</w:t>
            </w:r>
          </w:p>
        </w:tc>
        <w:tc>
          <w:tcPr>
            <w:tcW w:w="2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207,638</w:t>
            </w:r>
          </w:p>
        </w:tc>
        <w:tc>
          <w:tcPr>
            <w:tcW w:w="30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2"/>
                <w:szCs w:val="12"/>
                <w:color w:val="auto"/>
              </w:rPr>
              <w:t>10.09</w:t>
            </w:r>
          </w:p>
        </w:tc>
        <w:tc>
          <w:tcPr>
            <w:tcW w:w="11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212,486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900" w:type="dxa"/>
            <w:vAlign w:val="bottom"/>
          </w:tcPr>
          <w:p>
            <w:pPr>
              <w:ind w:left="20"/>
              <w:spacing w:after="0" w:line="120" w:lineRule="exact"/>
              <w:rPr>
                <w:sz w:val="20"/>
                <w:szCs w:val="20"/>
                <w:color w:val="auto"/>
              </w:rPr>
            </w:pPr>
            <w:r>
              <w:rPr>
                <w:rFonts w:ascii="Arial" w:cs="Arial" w:eastAsia="Arial" w:hAnsi="Arial"/>
                <w:sz w:val="12"/>
                <w:szCs w:val="12"/>
                <w:color w:val="auto"/>
              </w:rPr>
              <w:t>Options exercisable at end of period</w:t>
            </w:r>
          </w:p>
        </w:tc>
        <w:tc>
          <w:tcPr>
            <w:tcW w:w="2180" w:type="dxa"/>
            <w:vAlign w:val="bottom"/>
          </w:tcPr>
          <w:p>
            <w:pPr>
              <w:spacing w:after="0"/>
              <w:rPr>
                <w:sz w:val="10"/>
                <w:szCs w:val="10"/>
                <w:color w:val="auto"/>
              </w:rPr>
            </w:pPr>
          </w:p>
        </w:tc>
        <w:tc>
          <w:tcPr>
            <w:tcW w:w="1300" w:type="dxa"/>
            <w:vAlign w:val="bottom"/>
            <w:gridSpan w:val="2"/>
          </w:tcPr>
          <w:p>
            <w:pPr>
              <w:jc w:val="right"/>
              <w:ind w:right="140"/>
              <w:spacing w:after="0" w:line="120" w:lineRule="exact"/>
              <w:rPr>
                <w:sz w:val="20"/>
                <w:szCs w:val="20"/>
                <w:color w:val="auto"/>
              </w:rPr>
            </w:pPr>
            <w:r>
              <w:rPr>
                <w:rFonts w:ascii="Arial" w:cs="Arial" w:eastAsia="Arial" w:hAnsi="Arial"/>
                <w:sz w:val="12"/>
                <w:szCs w:val="12"/>
                <w:color w:val="auto"/>
              </w:rPr>
              <w:t>199,013</w:t>
            </w:r>
          </w:p>
        </w:tc>
        <w:tc>
          <w:tcPr>
            <w:tcW w:w="300" w:type="dxa"/>
            <w:vAlign w:val="bottom"/>
            <w:gridSpan w:val="2"/>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10.09</w:t>
            </w:r>
          </w:p>
        </w:tc>
        <w:tc>
          <w:tcPr>
            <w:tcW w:w="1160" w:type="dxa"/>
            <w:vAlign w:val="bottom"/>
          </w:tcPr>
          <w:p>
            <w:pPr>
              <w:jc w:val="right"/>
              <w:spacing w:after="0" w:line="120" w:lineRule="exact"/>
              <w:rPr>
                <w:sz w:val="20"/>
                <w:szCs w:val="20"/>
                <w:color w:val="auto"/>
              </w:rPr>
            </w:pPr>
            <w:r>
              <w:rPr>
                <w:rFonts w:ascii="Arial" w:cs="Arial" w:eastAsia="Arial" w:hAnsi="Arial"/>
                <w:sz w:val="12"/>
                <w:szCs w:val="12"/>
                <w:color w:val="auto"/>
              </w:rPr>
              <w:t>182,775</w:t>
            </w:r>
          </w:p>
        </w:tc>
        <w:tc>
          <w:tcPr>
            <w:tcW w:w="220" w:type="dxa"/>
            <w:vAlign w:val="bottom"/>
          </w:tcPr>
          <w:p>
            <w:pPr>
              <w:spacing w:after="0"/>
              <w:rPr>
                <w:sz w:val="10"/>
                <w:szCs w:val="10"/>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10.06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9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00" w:type="dxa"/>
            <w:vAlign w:val="bottom"/>
          </w:tcPr>
          <w:p>
            <w:pPr>
              <w:ind w:left="20"/>
              <w:spacing w:after="0" w:line="136" w:lineRule="exact"/>
              <w:rPr>
                <w:sz w:val="20"/>
                <w:szCs w:val="20"/>
                <w:color w:val="auto"/>
              </w:rPr>
            </w:pPr>
            <w:r>
              <w:rPr>
                <w:rFonts w:ascii="Arial" w:cs="Arial" w:eastAsia="Arial" w:hAnsi="Arial"/>
                <w:sz w:val="12"/>
                <w:szCs w:val="12"/>
                <w:color w:val="auto"/>
              </w:rPr>
              <w:t>Weighted average grant-date fair value of</w:t>
            </w:r>
          </w:p>
        </w:tc>
        <w:tc>
          <w:tcPr>
            <w:tcW w:w="2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600"/>
              <w:spacing w:after="0"/>
              <w:rPr>
                <w:sz w:val="20"/>
                <w:szCs w:val="20"/>
                <w:color w:val="auto"/>
              </w:rPr>
            </w:pPr>
            <w:r>
              <w:rPr>
                <w:rFonts w:ascii="Arial" w:cs="Arial" w:eastAsia="Arial" w:hAnsi="Arial"/>
                <w:sz w:val="12"/>
                <w:szCs w:val="12"/>
                <w:color w:val="auto"/>
              </w:rPr>
              <w:t>options granted during the period</w:t>
            </w:r>
          </w:p>
        </w:tc>
        <w:tc>
          <w:tcPr>
            <w:tcW w:w="2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8.36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480" w:type="dxa"/>
            <w:vAlign w:val="bottom"/>
            <w:gridSpan w:val="3"/>
            <w:vMerge w:val="restart"/>
          </w:tcPr>
          <w:p>
            <w:pPr>
              <w:jc w:val="right"/>
              <w:ind w:right="1540"/>
              <w:spacing w:after="0"/>
              <w:rPr>
                <w:sz w:val="20"/>
                <w:szCs w:val="20"/>
                <w:color w:val="auto"/>
              </w:rPr>
            </w:pPr>
            <w:r>
              <w:rPr>
                <w:rFonts w:ascii="Arial" w:cs="Arial" w:eastAsia="Arial" w:hAnsi="Arial"/>
                <w:sz w:val="12"/>
                <w:szCs w:val="12"/>
                <w:color w:val="auto"/>
              </w:rPr>
              <w:t>F-42</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900" w:type="dxa"/>
            <w:vAlign w:val="bottom"/>
          </w:tcPr>
          <w:p>
            <w:pPr>
              <w:spacing w:after="0"/>
              <w:rPr>
                <w:sz w:val="24"/>
                <w:szCs w:val="24"/>
                <w:color w:val="auto"/>
              </w:rPr>
            </w:pPr>
          </w:p>
        </w:tc>
        <w:tc>
          <w:tcPr>
            <w:tcW w:w="3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900" w:type="dxa"/>
            <w:vAlign w:val="bottom"/>
            <w:tcBorders>
              <w:bottom w:val="single" w:sz="8" w:color="808080"/>
            </w:tcBorders>
          </w:tcPr>
          <w:p>
            <w:pPr>
              <w:spacing w:after="0"/>
              <w:rPr>
                <w:sz w:val="6"/>
                <w:szCs w:val="6"/>
                <w:color w:val="auto"/>
              </w:rPr>
            </w:pPr>
          </w:p>
        </w:tc>
        <w:tc>
          <w:tcPr>
            <w:tcW w:w="218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26"/>
        </w:trPr>
        <w:tc>
          <w:tcPr>
            <w:tcW w:w="1920" w:type="dxa"/>
            <w:vAlign w:val="bottom"/>
            <w:gridSpan w:val="5"/>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4"/>
          </w:tcPr>
          <w:p>
            <w:pPr>
              <w:jc w:val="right"/>
              <w:ind w:right="245"/>
              <w:spacing w:after="0"/>
              <w:rPr>
                <w:sz w:val="20"/>
                <w:szCs w:val="20"/>
                <w:color w:val="auto"/>
              </w:rPr>
            </w:pPr>
            <w:r>
              <w:rPr>
                <w:rFonts w:ascii="Arial" w:cs="Arial" w:eastAsia="Arial" w:hAnsi="Arial"/>
                <w:sz w:val="12"/>
                <w:szCs w:val="12"/>
                <w:b w:val="1"/>
                <w:bCs w:val="1"/>
                <w:color w:val="auto"/>
              </w:rPr>
              <w:t>VISTAGEN THERAPEUTICS, INC.</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8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NOTES TO CONSOLIDATED FINANCIAL STATEMENTS</w:t>
            </w: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980" w:type="dxa"/>
            <w:vAlign w:val="bottom"/>
            <w:gridSpan w:val="12"/>
          </w:tcPr>
          <w:p>
            <w:pPr>
              <w:spacing w:after="0"/>
              <w:rPr>
                <w:sz w:val="20"/>
                <w:szCs w:val="20"/>
                <w:color w:val="auto"/>
              </w:rPr>
            </w:pPr>
            <w:r>
              <w:rPr>
                <w:rFonts w:ascii="Arial" w:cs="Arial" w:eastAsia="Arial" w:hAnsi="Arial"/>
                <w:sz w:val="12"/>
                <w:szCs w:val="12"/>
                <w:color w:val="auto"/>
                <w:w w:val="93"/>
              </w:rPr>
              <w:t>The following table summarizes information on stock options outstanding and exercisable under our stock option plans as of March 31, 2015:</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color w:val="auto"/>
              </w:rPr>
              <w:t>Options Exercisable</w:t>
            </w: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00"/>
              <w:spacing w:after="0" w:line="133" w:lineRule="exact"/>
              <w:rPr>
                <w:sz w:val="20"/>
                <w:szCs w:val="20"/>
                <w:color w:val="auto"/>
              </w:rPr>
            </w:pPr>
            <w:r>
              <w:rPr>
                <w:rFonts w:ascii="Arial" w:cs="Arial" w:eastAsia="Arial" w:hAnsi="Arial"/>
                <w:sz w:val="12"/>
                <w:szCs w:val="12"/>
                <w:color w:val="auto"/>
                <w:w w:val="90"/>
              </w:rPr>
              <w:t>Weighted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89"/>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center"/>
              <w:ind w:left="365"/>
              <w:spacing w:after="0"/>
              <w:rPr>
                <w:sz w:val="20"/>
                <w:szCs w:val="20"/>
                <w:color w:val="auto"/>
              </w:rPr>
            </w:pPr>
            <w:r>
              <w:rPr>
                <w:rFonts w:ascii="Arial" w:cs="Arial" w:eastAsia="Arial" w:hAnsi="Arial"/>
                <w:sz w:val="12"/>
                <w:szCs w:val="12"/>
                <w:color w:val="auto"/>
                <w:w w:val="90"/>
              </w:rPr>
              <w:t>Weighted</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0"/>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0"/>
              </w:rPr>
              <w:t>Remaining</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center"/>
              <w:ind w:left="365"/>
              <w:spacing w:after="0"/>
              <w:rPr>
                <w:sz w:val="20"/>
                <w:szCs w:val="20"/>
                <w:color w:val="auto"/>
              </w:rPr>
            </w:pPr>
            <w:r>
              <w:rPr>
                <w:rFonts w:ascii="Arial" w:cs="Arial" w:eastAsia="Arial" w:hAnsi="Arial"/>
                <w:sz w:val="12"/>
                <w:szCs w:val="12"/>
                <w:color w:val="auto"/>
                <w:w w:val="84"/>
              </w:rPr>
              <w:t>Average</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9"/>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center"/>
              <w:ind w:right="640"/>
              <w:spacing w:after="0"/>
              <w:rPr>
                <w:sz w:val="20"/>
                <w:szCs w:val="20"/>
                <w:color w:val="auto"/>
              </w:rPr>
            </w:pPr>
            <w:r>
              <w:rPr>
                <w:rFonts w:ascii="Arial" w:cs="Arial" w:eastAsia="Arial" w:hAnsi="Arial"/>
                <w:sz w:val="12"/>
                <w:szCs w:val="12"/>
                <w:color w:val="auto"/>
                <w:w w:val="86"/>
              </w:rPr>
              <w:t>Exercise</w:t>
            </w:r>
          </w:p>
        </w:tc>
        <w:tc>
          <w:tcPr>
            <w:tcW w:w="1160" w:type="dxa"/>
            <w:vAlign w:val="bottom"/>
          </w:tcPr>
          <w:p>
            <w:pPr>
              <w:jc w:val="center"/>
              <w:ind w:left="400"/>
              <w:spacing w:after="0"/>
              <w:rPr>
                <w:sz w:val="20"/>
                <w:szCs w:val="20"/>
                <w:color w:val="auto"/>
              </w:rPr>
            </w:pPr>
            <w:r>
              <w:rPr>
                <w:rFonts w:ascii="Arial" w:cs="Arial" w:eastAsia="Arial" w:hAnsi="Arial"/>
                <w:sz w:val="12"/>
                <w:szCs w:val="12"/>
                <w:color w:val="auto"/>
                <w:w w:val="88"/>
              </w:rPr>
              <w:t>Number</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1"/>
              </w:rPr>
              <w:t>Years until</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center"/>
              <w:ind w:left="365"/>
              <w:spacing w:after="0"/>
              <w:rPr>
                <w:sz w:val="20"/>
                <w:szCs w:val="20"/>
                <w:color w:val="auto"/>
              </w:rPr>
            </w:pPr>
            <w:r>
              <w:rPr>
                <w:rFonts w:ascii="Arial" w:cs="Arial" w:eastAsia="Arial" w:hAnsi="Arial"/>
                <w:sz w:val="12"/>
                <w:szCs w:val="12"/>
                <w:color w:val="auto"/>
                <w:w w:val="91"/>
              </w:rPr>
              <w:t>Exercise</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Number</w:t>
            </w: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1"/>
              </w:rPr>
              <w:t>Exercise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center"/>
              <w:ind w:right="640"/>
              <w:spacing w:after="0"/>
              <w:rPr>
                <w:sz w:val="20"/>
                <w:szCs w:val="20"/>
                <w:color w:val="auto"/>
              </w:rPr>
            </w:pPr>
            <w:r>
              <w:rPr>
                <w:rFonts w:ascii="Arial" w:cs="Arial" w:eastAsia="Arial" w:hAnsi="Arial"/>
                <w:sz w:val="12"/>
                <w:szCs w:val="12"/>
                <w:color w:val="auto"/>
                <w:w w:val="87"/>
              </w:rPr>
              <w:t>Price</w:t>
            </w:r>
          </w:p>
        </w:tc>
        <w:tc>
          <w:tcPr>
            <w:tcW w:w="1160" w:type="dxa"/>
            <w:vAlign w:val="bottom"/>
          </w:tcPr>
          <w:p>
            <w:pPr>
              <w:jc w:val="center"/>
              <w:ind w:left="400"/>
              <w:spacing w:after="0"/>
              <w:rPr>
                <w:sz w:val="20"/>
                <w:szCs w:val="20"/>
                <w:color w:val="auto"/>
              </w:rPr>
            </w:pPr>
            <w:r>
              <w:rPr>
                <w:rFonts w:ascii="Arial" w:cs="Arial" w:eastAsia="Arial" w:hAnsi="Arial"/>
                <w:sz w:val="12"/>
                <w:szCs w:val="12"/>
                <w:color w:val="auto"/>
                <w:w w:val="89"/>
              </w:rPr>
              <w:t>Outstanding</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7"/>
              </w:rPr>
              <w:t>Expiration</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center"/>
              <w:ind w:left="365"/>
              <w:spacing w:after="0"/>
              <w:rPr>
                <w:sz w:val="20"/>
                <w:szCs w:val="20"/>
                <w:color w:val="auto"/>
              </w:rPr>
            </w:pPr>
            <w:r>
              <w:rPr>
                <w:rFonts w:ascii="Arial" w:cs="Arial" w:eastAsia="Arial" w:hAnsi="Arial"/>
                <w:sz w:val="12"/>
                <w:szCs w:val="12"/>
                <w:color w:val="auto"/>
                <w:w w:val="94"/>
              </w:rPr>
              <w:t>Price</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Exercisable</w:t>
            </w:r>
          </w:p>
        </w:tc>
        <w:tc>
          <w:tcPr>
            <w:tcW w:w="460" w:type="dxa"/>
            <w:vAlign w:val="bottom"/>
          </w:tcPr>
          <w:p>
            <w:pPr>
              <w:spacing w:after="0"/>
              <w:rPr>
                <w:sz w:val="13"/>
                <w:szCs w:val="13"/>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7"/>
              </w:rPr>
              <w:t>Price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8.00</w:t>
            </w:r>
          </w:p>
        </w:tc>
        <w:tc>
          <w:tcPr>
            <w:tcW w:w="1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49,590</w:t>
            </w: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7.53</w:t>
            </w:r>
          </w:p>
        </w:tc>
        <w:tc>
          <w:tcPr>
            <w:tcW w:w="1200" w:type="dxa"/>
            <w:vAlign w:val="bottom"/>
            <w:shd w:val="clear" w:color="auto" w:fill="CCEEFF"/>
          </w:tcPr>
          <w:p>
            <w:pPr>
              <w:jc w:val="right"/>
              <w:ind w:right="1085"/>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8.00</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46,466</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w:t>
            </w:r>
          </w:p>
        </w:tc>
        <w:tc>
          <w:tcPr>
            <w:tcW w:w="1600" w:type="dxa"/>
            <w:vAlign w:val="bottom"/>
            <w:gridSpan w:val="3"/>
          </w:tcPr>
          <w:p>
            <w:pPr>
              <w:jc w:val="right"/>
              <w:ind w:right="300"/>
              <w:spacing w:after="0"/>
              <w:rPr>
                <w:sz w:val="20"/>
                <w:szCs w:val="20"/>
                <w:color w:val="auto"/>
              </w:rPr>
            </w:pPr>
            <w:r>
              <w:rPr>
                <w:rFonts w:ascii="Arial" w:cs="Arial" w:eastAsia="Arial" w:hAnsi="Arial"/>
                <w:sz w:val="12"/>
                <w:szCs w:val="12"/>
                <w:color w:val="auto"/>
              </w:rPr>
              <w:t>10.00</w:t>
            </w:r>
          </w:p>
        </w:tc>
        <w:tc>
          <w:tcPr>
            <w:tcW w:w="1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147,939</w:t>
            </w: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2"/>
                <w:szCs w:val="12"/>
                <w:color w:val="auto"/>
              </w:rPr>
              <w:t>4.88</w:t>
            </w:r>
          </w:p>
        </w:tc>
        <w:tc>
          <w:tcPr>
            <w:tcW w:w="1200" w:type="dxa"/>
            <w:vAlign w:val="bottom"/>
          </w:tcPr>
          <w:p>
            <w:pPr>
              <w:jc w:val="right"/>
              <w:ind w:right="1085"/>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2"/>
                <w:szCs w:val="12"/>
                <w:color w:val="auto"/>
              </w:rPr>
              <w:t>10.00</w:t>
            </w:r>
          </w:p>
        </w:tc>
        <w:tc>
          <w:tcPr>
            <w:tcW w:w="1940" w:type="dxa"/>
            <w:vAlign w:val="bottom"/>
            <w:gridSpan w:val="2"/>
          </w:tcPr>
          <w:p>
            <w:pPr>
              <w:jc w:val="right"/>
              <w:ind w:right="300"/>
              <w:spacing w:after="0"/>
              <w:rPr>
                <w:sz w:val="20"/>
                <w:szCs w:val="20"/>
                <w:color w:val="auto"/>
              </w:rPr>
            </w:pPr>
            <w:r>
              <w:rPr>
                <w:rFonts w:ascii="Arial" w:cs="Arial" w:eastAsia="Arial" w:hAnsi="Arial"/>
                <w:sz w:val="12"/>
                <w:szCs w:val="12"/>
                <w:color w:val="auto"/>
              </w:rPr>
              <w:t>142,751</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14.40 to $36.00</w:t>
            </w:r>
          </w:p>
        </w:tc>
        <w:tc>
          <w:tcPr>
            <w:tcW w:w="1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10,109</w:t>
            </w: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4.64</w:t>
            </w:r>
          </w:p>
        </w:tc>
        <w:tc>
          <w:tcPr>
            <w:tcW w:w="1200" w:type="dxa"/>
            <w:vAlign w:val="bottom"/>
            <w:shd w:val="clear" w:color="auto" w:fill="CCEEFF"/>
          </w:tcPr>
          <w:p>
            <w:pPr>
              <w:jc w:val="right"/>
              <w:ind w:right="1085"/>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21.69</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9,796</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207,638</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5.51</w:t>
            </w:r>
          </w:p>
        </w:tc>
        <w:tc>
          <w:tcPr>
            <w:tcW w:w="1200" w:type="dxa"/>
            <w:vAlign w:val="bottom"/>
            <w:tcBorders>
              <w:bottom w:val="single" w:sz="8" w:color="CCEEFF"/>
            </w:tcBorders>
            <w:shd w:val="clear" w:color="auto" w:fill="CCEEFF"/>
          </w:tcPr>
          <w:p>
            <w:pPr>
              <w:jc w:val="right"/>
              <w:ind w:right="1085"/>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10.09</w:t>
            </w:r>
          </w:p>
        </w:tc>
        <w:tc>
          <w:tcPr>
            <w:tcW w:w="1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199,013</w:t>
            </w: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10.09</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At March 31, 2015, there were 40,491 shares of our common stock remaining available for grant under the 2008 Plan. There were no option exercises during the years ended March 31, 2015 or 2014.</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Aggregate intrinsic value is the sum of the amounts by which the fair value of the underlying common stock exceeded the exercise price of the option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$10.00 per share quoted market price of our common stock on March 31, 2015, the aggregate intrinsic value of outstanding options at that date was $99,200, of which $92,900 related to exercisable options.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As of March 31, 2015, there was approximately $71,700 of unrecognized compensation cost related to non-vested share-based compensation awards from the 2008 Plan, which is expected to be recognized through May 2016. Additionally, at March 31, 2015 there was approximately $27,000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Related Party Transactions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Cato Holding Company (</w:t>
      </w:r>
      <w:r>
        <w:rPr>
          <w:rFonts w:ascii="Arial" w:cs="Arial" w:eastAsia="Arial" w:hAnsi="Arial"/>
          <w:sz w:val="11"/>
          <w:szCs w:val="11"/>
          <w:i w:val="1"/>
          <w:iCs w:val="1"/>
          <w:color w:val="auto"/>
        </w:rPr>
        <w:t>CHC</w:t>
      </w:r>
      <w:r>
        <w:rPr>
          <w:rFonts w:ascii="Arial" w:cs="Arial" w:eastAsia="Arial" w:hAnsi="Arial"/>
          <w:sz w:val="11"/>
          <w:szCs w:val="11"/>
          <w:color w:val="auto"/>
        </w:rPr>
        <w:t>), doing business as Cato BioVentures (</w:t>
      </w:r>
      <w:r>
        <w:rPr>
          <w:rFonts w:ascii="Arial" w:cs="Arial" w:eastAsia="Arial" w:hAnsi="Arial"/>
          <w:sz w:val="11"/>
          <w:szCs w:val="11"/>
          <w:i w:val="1"/>
          <w:iCs w:val="1"/>
          <w:color w:val="auto"/>
        </w:rPr>
        <w:t>CBV</w:t>
      </w:r>
      <w:r>
        <w:rPr>
          <w:rFonts w:ascii="Arial" w:cs="Arial" w:eastAsia="Arial" w:hAnsi="Arial"/>
          <w:sz w:val="11"/>
          <w:szCs w:val="11"/>
          <w:color w:val="auto"/>
        </w:rPr>
        <w:t xml:space="preserve">), the parent of CRL,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1"/>
          <w:szCs w:val="11"/>
          <w:i w:val="1"/>
          <w:iCs w:val="1"/>
          <w:color w:val="auto"/>
        </w:rPr>
        <w:t>2012 CHC Note</w:t>
      </w:r>
      <w:r>
        <w:rPr>
          <w:rFonts w:ascii="Arial" w:cs="Arial" w:eastAsia="Arial" w:hAnsi="Arial"/>
          <w:sz w:val="11"/>
          <w:szCs w:val="11"/>
          <w:color w:val="auto"/>
        </w:rPr>
        <w:t xml:space="preserve">) and a five-year warrant to purchase 12,500 restricted shares of our common stock at a price of $30.00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xml:space="preserve">).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7" w:name="page168"/>
    <w:bookmarkEnd w:id="167"/>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fiscal year 2007, VistaGen California entered into a contract research organization arrangement with CRL related to the development of AV-101, under which we incurred expenses of $38,100 and $52,500 for the fiscal years ended March 31, 2015 and 2014, respectively. Total interest expense on notes payable to CHC and CRL was $174,800 and $167,900 for the fiscal years ended March 31, 2015 and 2014, respectively.</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VistaGen California becoming subject to the requirements of the Securities Exchange Act of 1934, as amended (</w:t>
      </w:r>
      <w:r>
        <w:rPr>
          <w:rFonts w:ascii="Arial" w:cs="Arial" w:eastAsia="Arial" w:hAnsi="Arial"/>
          <w:sz w:val="11"/>
          <w:szCs w:val="11"/>
          <w:i w:val="1"/>
          <w:iCs w:val="1"/>
          <w:color w:val="auto"/>
        </w:rPr>
        <w:t>Exchange Act</w:t>
      </w:r>
      <w:r>
        <w:rPr>
          <w:rFonts w:ascii="Arial" w:cs="Arial" w:eastAsia="Arial" w:hAnsi="Arial"/>
          <w:sz w:val="11"/>
          <w:szCs w:val="11"/>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2015, we have completely repaid the balance of the advances and the $50,000 promissory note issued in connection with his investment in the 2013 Unit Private Placement to Mr. Singh.</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Commitments, Contingencies, Guarantees and Indemnifications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2015 or 2014.</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2015 or 2014.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26"/>
        </w:trPr>
        <w:tc>
          <w:tcPr>
            <w:tcW w:w="8840" w:type="dxa"/>
            <w:vAlign w:val="bottom"/>
            <w:gridSpan w:val="3"/>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VISTAGEN THERAPEUTICS, INC.</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NOTES TO CONSOLIDATED FINANCIAL STATEMENTS</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8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Leases</w:t>
            </w: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color w:val="auto"/>
              </w:rPr>
              <w:t>As of March 31, 2015 and 2014, the following assets are under capital lease obligations and included in property and equipment:</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2"/>
                <w:szCs w:val="12"/>
                <w:color w:val="auto"/>
              </w:rPr>
              <w:t>March 31,</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color w:val="auto"/>
              </w:rPr>
              <w:t>2015</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820" w:type="dxa"/>
            <w:vAlign w:val="bottom"/>
            <w:shd w:val="clear" w:color="auto" w:fill="CCEEFF"/>
          </w:tcPr>
          <w:p>
            <w:pPr>
              <w:jc w:val="right"/>
              <w:ind w:right="707"/>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Office equipment</w:t>
            </w: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Accumulated depreciation</w:t>
            </w:r>
          </w:p>
        </w:tc>
        <w:tc>
          <w:tcPr>
            <w:tcW w:w="8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w w:val="94"/>
              </w:rPr>
              <w:t>(2,500)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(11,100)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Net book value</w:t>
            </w:r>
          </w:p>
        </w:tc>
        <w:tc>
          <w:tcPr>
            <w:tcW w:w="820" w:type="dxa"/>
            <w:vAlign w:val="bottom"/>
          </w:tcPr>
          <w:p>
            <w:pPr>
              <w:jc w:val="right"/>
              <w:ind w:right="707"/>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2"/>
                <w:szCs w:val="12"/>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9660" w:type="dxa"/>
            <w:vAlign w:val="bottom"/>
            <w:gridSpan w:val="4"/>
          </w:tcPr>
          <w:p>
            <w:pPr>
              <w:spacing w:after="0"/>
              <w:rPr>
                <w:sz w:val="20"/>
                <w:szCs w:val="20"/>
                <w:color w:val="auto"/>
              </w:rPr>
            </w:pPr>
            <w:r>
              <w:rPr>
                <w:rFonts w:ascii="Arial" w:cs="Arial" w:eastAsia="Arial" w:hAnsi="Arial"/>
                <w:sz w:val="12"/>
                <w:szCs w:val="12"/>
                <w:color w:val="auto"/>
                <w:w w:val="90"/>
              </w:rPr>
              <w:t>Amortization expense for assets recorded under capital leases is included in depreciation expense. Future minimum payments, by year and in the aggregate, required under capital leases are as follows: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2"/>
                <w:szCs w:val="12"/>
                <w:color w:val="auto"/>
                <w:w w:val="90"/>
              </w:rPr>
              <w:t>Capital</w:t>
            </w:r>
          </w:p>
        </w:tc>
        <w:tc>
          <w:tcPr>
            <w:tcW w:w="0" w:type="dxa"/>
            <w:vAlign w:val="bottom"/>
          </w:tcPr>
          <w:p>
            <w:pPr>
              <w:spacing w:after="0"/>
              <w:rPr>
                <w:sz w:val="1"/>
                <w:szCs w:val="1"/>
                <w:color w:val="auto"/>
              </w:rPr>
            </w:pPr>
          </w:p>
        </w:tc>
      </w:tr>
      <w:tr>
        <w:trPr>
          <w:trHeight w:val="153"/>
        </w:trPr>
        <w:tc>
          <w:tcPr>
            <w:tcW w:w="884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2"/>
                <w:szCs w:val="12"/>
                <w:color w:val="auto"/>
                <w:w w:val="82"/>
              </w:rPr>
              <w:t>Leases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2016</w:t>
            </w:r>
          </w:p>
        </w:tc>
        <w:tc>
          <w:tcPr>
            <w:tcW w:w="80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2017</w:t>
            </w:r>
          </w:p>
        </w:tc>
        <w:tc>
          <w:tcPr>
            <w:tcW w:w="8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2018</w:t>
            </w:r>
          </w:p>
        </w:tc>
        <w:tc>
          <w:tcPr>
            <w:tcW w:w="80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Future minimum lease payments</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00"/>
              <w:spacing w:after="0"/>
              <w:rPr>
                <w:sz w:val="20"/>
                <w:szCs w:val="20"/>
                <w:color w:val="auto"/>
              </w:rPr>
            </w:pPr>
            <w:r>
              <w:rPr>
                <w:rFonts w:ascii="Arial" w:cs="Arial" w:eastAsia="Arial" w:hAnsi="Arial"/>
                <w:sz w:val="12"/>
                <w:szCs w:val="12"/>
                <w:color w:val="auto"/>
              </w:rPr>
              <w:t>Less imputed interest included in minimum lease payments</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Present value of minimum lease payments</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00"/>
              <w:spacing w:after="0"/>
              <w:rPr>
                <w:sz w:val="20"/>
                <w:szCs w:val="20"/>
                <w:color w:val="auto"/>
              </w:rPr>
            </w:pPr>
            <w:r>
              <w:rPr>
                <w:rFonts w:ascii="Arial" w:cs="Arial" w:eastAsia="Arial" w:hAnsi="Arial"/>
                <w:sz w:val="12"/>
                <w:szCs w:val="12"/>
                <w:color w:val="auto"/>
              </w:rPr>
              <w:t>Less current portion</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Non-current capital lease obligation</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gridSpan w:val="2"/>
            <w:vMerge w:val="restart"/>
          </w:tcPr>
          <w:p>
            <w:pPr>
              <w:ind w:left="400"/>
              <w:spacing w:after="0"/>
              <w:rPr>
                <w:sz w:val="20"/>
                <w:szCs w:val="20"/>
                <w:color w:val="auto"/>
              </w:rPr>
            </w:pPr>
            <w:r>
              <w:rPr>
                <w:rFonts w:ascii="Arial" w:cs="Arial" w:eastAsia="Arial" w:hAnsi="Arial"/>
                <w:sz w:val="12"/>
                <w:szCs w:val="12"/>
                <w:color w:val="auto"/>
                <w:w w:val="92"/>
              </w:rPr>
              <w:t>At March 31, 2015, future minimum payments under operating leases relate to our facility lease in South San Francisco, California through July 31, 2017 and are as follows:</w:t>
            </w: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8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2"/>
                <w:szCs w:val="12"/>
                <w:color w:val="auto"/>
                <w:w w:val="9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2016</w:t>
            </w:r>
          </w:p>
        </w:tc>
        <w:tc>
          <w:tcPr>
            <w:tcW w:w="80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264,000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2017</w:t>
            </w:r>
          </w:p>
        </w:tc>
        <w:tc>
          <w:tcPr>
            <w:tcW w:w="8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277,100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2018</w:t>
            </w:r>
          </w:p>
        </w:tc>
        <w:tc>
          <w:tcPr>
            <w:tcW w:w="80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93,800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634,900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We incurred total facility rent expense for the fiscal years ended March 31, 2015 and 2014 of $337,000 and $284,100 , respectively.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9" w:name="page170"/>
    <w:bookmarkEnd w:id="16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Debt Repayment</w:t>
      </w:r>
    </w:p>
    <w:p>
      <w:pPr>
        <w:spacing w:after="0" w:line="141"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At March 31, 2015, assuming that all outstanding convertible notes are converted into shares of common stock in accordance with their respective conversion provisions and that Replacement Note B issued to Morrison &amp; Foerster, the CRL Note and the UHN Note, each as described further in Note 8,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are repaid through the issuance of restricted common stock upon the exercise of the warrants associated with such notes, future minimum principal payments related to long-term debt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100" w:type="dxa"/>
            <w:vAlign w:val="bottom"/>
            <w:gridSpan w:val="2"/>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color w:val="auto"/>
              </w:rPr>
              <w:t>Amount</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2016</w:t>
            </w: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2,185,700</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9,800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2018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10,500</w:t>
            </w: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11,300</w:t>
            </w: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Thereafter through June 2019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4,000</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10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2,221,300</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Subsequent Events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evaluated subsequent events through the date of this report and have identified the following material events and transactions that occurred after March 31, 2015.</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2014 Unit Private Placement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From April 1, 2015 through May 14, 2015, we entered into securities purchase agreements with accredited investors pursuant to which we sold to such accredited investors Units, for aggregate cash proceeds of $280,000, consisting of (i) 10% convertible notes in the aggregate face amount of $280,000 due between April 30, 2015 and May 15, 2015 or automatically convertible into securities we may issue upon the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Creation of Series B Preferred Stock</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May 7, 2015, we filed a Certificate of Designation of the Relative Rights and Preferences of the Series B 10% Preferred Stock of VistaGen Therapeutics, Inc. (</w:t>
      </w:r>
      <w:r>
        <w:rPr>
          <w:rFonts w:ascii="Arial" w:cs="Arial" w:eastAsia="Arial" w:hAnsi="Arial"/>
          <w:sz w:val="12"/>
          <w:szCs w:val="12"/>
          <w:i w:val="1"/>
          <w:iCs w:val="1"/>
          <w:color w:val="auto"/>
        </w:rPr>
        <w:t>Certificate of Designation</w:t>
      </w:r>
      <w:r>
        <w:rPr>
          <w:rFonts w:ascii="Arial" w:cs="Arial" w:eastAsia="Arial" w:hAnsi="Arial"/>
          <w:sz w:val="12"/>
          <w:szCs w:val="12"/>
          <w:color w:val="auto"/>
        </w:rPr>
        <w:t>) with the Nevada Secretary of State to designate 4.0 million shares of our authorized preferred stock as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Each share of Series B Preferred is convertible, at the option of the holder (</w:t>
      </w:r>
      <w:r>
        <w:rPr>
          <w:rFonts w:ascii="Arial" w:cs="Arial" w:eastAsia="Arial" w:hAnsi="Arial"/>
          <w:sz w:val="11"/>
          <w:szCs w:val="11"/>
          <w:i w:val="1"/>
          <w:iCs w:val="1"/>
          <w:color w:val="auto"/>
        </w:rPr>
        <w:t>Voluntary Conversion</w:t>
      </w:r>
      <w:r>
        <w:rPr>
          <w:rFonts w:ascii="Arial" w:cs="Arial" w:eastAsia="Arial" w:hAnsi="Arial"/>
          <w:sz w:val="11"/>
          <w:szCs w:val="11"/>
          <w:color w:val="auto"/>
        </w:rPr>
        <w:t>), into one (1) share of our common stock at a fixed conversion price of $7.00 per share (</w:t>
      </w:r>
      <w:r>
        <w:rPr>
          <w:rFonts w:ascii="Arial" w:cs="Arial" w:eastAsia="Arial" w:hAnsi="Arial"/>
          <w:sz w:val="11"/>
          <w:szCs w:val="11"/>
          <w:i w:val="1"/>
          <w:iCs w:val="1"/>
          <w:color w:val="auto"/>
        </w:rPr>
        <w:t>Conversion Price</w:t>
      </w:r>
      <w:r>
        <w:rPr>
          <w:rFonts w:ascii="Arial" w:cs="Arial" w:eastAsia="Arial" w:hAnsi="Arial"/>
          <w:sz w:val="11"/>
          <w:szCs w:val="11"/>
          <w:color w:val="auto"/>
        </w:rPr>
        <w:t>). The Conversion Price is subject to adjustment only for customary stock dividends, reclassifications, splits and similar transactions set forth in the Certificate of Designation. All outstanding shares of Series B Preferred are also convertible automatically into shares of our common stock (“</w:t>
      </w:r>
      <w:r>
        <w:rPr>
          <w:rFonts w:ascii="Arial" w:cs="Arial" w:eastAsia="Arial" w:hAnsi="Arial"/>
          <w:sz w:val="11"/>
          <w:szCs w:val="11"/>
          <w:i w:val="1"/>
          <w:iCs w:val="1"/>
          <w:color w:val="auto"/>
        </w:rPr>
        <w:t>Automatic Conversion</w:t>
      </w:r>
      <w:r>
        <w:rPr>
          <w:rFonts w:ascii="Arial" w:cs="Arial" w:eastAsia="Arial" w:hAnsi="Arial"/>
          <w:sz w:val="11"/>
          <w:szCs w:val="11"/>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1"/>
          <w:szCs w:val="11"/>
          <w:i w:val="1"/>
          <w:iCs w:val="1"/>
          <w:color w:val="auto"/>
        </w:rPr>
        <w:t>Conversion</w:t>
      </w:r>
      <w:r>
        <w:rPr>
          <w:rFonts w:ascii="Arial" w:cs="Arial" w:eastAsia="Arial" w:hAnsi="Arial"/>
          <w:sz w:val="11"/>
          <w:szCs w:val="11"/>
          <w:color w:val="auto"/>
        </w:rPr>
        <w:t>) are subject to certain beneficial ownership blockers as set forth in the Certificate of Designation.</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Prior to Conversion, shares of Series B Preferred will accrue dividends, payable only in shares of our common stock, at a rate of 10% per annum (</w:t>
      </w:r>
      <w:r>
        <w:rPr>
          <w:rFonts w:ascii="Arial" w:cs="Arial" w:eastAsia="Arial" w:hAnsi="Arial"/>
          <w:sz w:val="12"/>
          <w:szCs w:val="12"/>
          <w:i w:val="1"/>
          <w:iCs w:val="1"/>
          <w:color w:val="auto"/>
        </w:rPr>
        <w:t>Accrued Dividend</w:t>
      </w:r>
      <w:r>
        <w:rPr>
          <w:rFonts w:ascii="Arial" w:cs="Arial" w:eastAsia="Arial" w:hAnsi="Arial"/>
          <w:sz w:val="12"/>
          <w:szCs w:val="12"/>
          <w:color w:val="auto"/>
        </w:rPr>
        <w:t>). The Accrued Dividend will be payable on the date of either a Voluntary Conversion or Automatic Conversion solely in that number of shares of common stock equal to the Accrued Dividend, divided by the Conversion Price.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0" w:name="page171"/>
    <w:bookmarkEnd w:id="17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Agreement with Platinum</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On May 5, 2015, we entered into an Agreement with Platinum, which, as modified by an Acknowledgement and Agreement, became effective on May 12, 2015 (</w:t>
      </w:r>
      <w:r>
        <w:rPr>
          <w:rFonts w:ascii="Arial" w:cs="Arial" w:eastAsia="Arial" w:hAnsi="Arial"/>
          <w:sz w:val="11"/>
          <w:szCs w:val="11"/>
          <w:i w:val="1"/>
          <w:iCs w:val="1"/>
          <w:color w:val="auto"/>
        </w:rPr>
        <w:t>Platinum Agreement</w:t>
      </w:r>
      <w:r>
        <w:rPr>
          <w:rFonts w:ascii="Arial" w:cs="Arial" w:eastAsia="Arial" w:hAnsi="Arial"/>
          <w:sz w:val="11"/>
          <w:szCs w:val="11"/>
          <w:color w:val="auto"/>
        </w:rPr>
        <w:t>). Under the Platinum Agreement, Platinum:</w:t>
      </w:r>
    </w:p>
    <w:p>
      <w:pPr>
        <w:spacing w:after="0" w:line="180" w:lineRule="exact"/>
        <w:rPr>
          <w:sz w:val="20"/>
          <w:szCs w:val="20"/>
          <w:color w:val="auto"/>
        </w:rPr>
      </w:pPr>
    </w:p>
    <w:p>
      <w:pPr>
        <w:ind w:left="920" w:hanging="484"/>
        <w:spacing w:after="0" w:line="276" w:lineRule="auto"/>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Converted all of the approximately $4.5 million outstanding balance (principal and accrued but unpaid interest) of the Senior Notes we issued to Platinum into 641,335 shares of Series B Preferred, thereby cancelling approximately $4.5 million of our outstanding indebtedness;</w:t>
      </w:r>
    </w:p>
    <w:p>
      <w:pPr>
        <w:spacing w:after="0" w:line="114" w:lineRule="exact"/>
        <w:rPr>
          <w:rFonts w:ascii="Arial" w:cs="Arial" w:eastAsia="Arial" w:hAnsi="Arial"/>
          <w:sz w:val="12"/>
          <w:szCs w:val="12"/>
          <w:color w:val="auto"/>
        </w:rPr>
      </w:pPr>
    </w:p>
    <w:p>
      <w:pPr>
        <w:ind w:left="920" w:hanging="484"/>
        <w:spacing w:after="0" w:line="276" w:lineRule="auto"/>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32" w:lineRule="exact"/>
        <w:rPr>
          <w:rFonts w:ascii="Arial" w:cs="Arial" w:eastAsia="Arial" w:hAnsi="Arial"/>
          <w:sz w:val="12"/>
          <w:szCs w:val="12"/>
          <w:color w:val="auto"/>
        </w:rPr>
      </w:pPr>
    </w:p>
    <w:p>
      <w:pPr>
        <w:ind w:left="920" w:hanging="484"/>
        <w:spacing w:after="0" w:line="323" w:lineRule="auto"/>
        <w:tabs>
          <w:tab w:leader="none" w:pos="920" w:val="left"/>
        </w:tabs>
        <w:numPr>
          <w:ilvl w:val="0"/>
          <w:numId w:val="82"/>
        </w:numPr>
        <w:rPr>
          <w:rFonts w:ascii="Arial" w:cs="Arial" w:eastAsia="Arial" w:hAnsi="Arial"/>
          <w:sz w:val="11"/>
          <w:szCs w:val="11"/>
          <w:color w:val="auto"/>
        </w:rPr>
      </w:pPr>
      <w:r>
        <w:rPr>
          <w:rFonts w:ascii="Arial" w:cs="Arial" w:eastAsia="Arial" w:hAnsi="Arial"/>
          <w:sz w:val="11"/>
          <w:szCs w:val="11"/>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1"/>
          <w:szCs w:val="11"/>
          <w:i w:val="1"/>
          <w:iCs w:val="1"/>
          <w:color w:val="auto"/>
        </w:rPr>
        <w:t>Series B Warrants</w:t>
      </w:r>
      <w:r>
        <w:rPr>
          <w:rFonts w:ascii="Arial" w:cs="Arial" w:eastAsia="Arial" w:hAnsi="Arial"/>
          <w:sz w:val="11"/>
          <w:szCs w:val="11"/>
          <w:color w:val="auto"/>
        </w:rPr>
        <w:t>), thereby cancelling approximately $1.3 million of our outstanding indebtedness; and</w:t>
      </w:r>
    </w:p>
    <w:p>
      <w:pPr>
        <w:spacing w:after="0" w:line="109" w:lineRule="exact"/>
        <w:rPr>
          <w:rFonts w:ascii="Arial" w:cs="Arial" w:eastAsia="Arial" w:hAnsi="Arial"/>
          <w:sz w:val="11"/>
          <w:szCs w:val="11"/>
          <w:color w:val="auto"/>
        </w:rPr>
      </w:pPr>
    </w:p>
    <w:p>
      <w:pPr>
        <w:jc w:val="both"/>
        <w:ind w:left="920" w:hanging="484"/>
        <w:spacing w:after="0" w:line="263" w:lineRule="auto"/>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xml:space="preserve"> ) and converted the entire outstanding balance of the Investor 2014 Unit Notes into 265,699 shares of Series B Preferred and Series B Warrants to purchase 265,699 shares of our common stock, thereby cancelling approximately $1.5 million of our outstanding indebtedness; and</w:t>
      </w:r>
    </w:p>
    <w:p>
      <w:pPr>
        <w:spacing w:after="0" w:line="140" w:lineRule="exact"/>
        <w:rPr>
          <w:rFonts w:ascii="Arial" w:cs="Arial" w:eastAsia="Arial" w:hAnsi="Arial"/>
          <w:sz w:val="12"/>
          <w:szCs w:val="12"/>
          <w:color w:val="auto"/>
        </w:rPr>
      </w:pPr>
    </w:p>
    <w:p>
      <w:pPr>
        <w:ind w:left="920" w:right="20" w:hanging="484"/>
        <w:spacing w:after="0" w:line="276" w:lineRule="auto"/>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Entered into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to purchase, for $1.0 million, a total of 142,857 shares of Series B Preferred and a Series B Warrant to purchase 142,857 shares of our common stock, on or before June 11, 2015 (a portion of which purchase was completed on June 19, 2015); and</w:t>
      </w:r>
    </w:p>
    <w:p>
      <w:pPr>
        <w:spacing w:after="0" w:line="132" w:lineRule="exact"/>
        <w:rPr>
          <w:rFonts w:ascii="Arial" w:cs="Arial" w:eastAsia="Arial" w:hAnsi="Arial"/>
          <w:sz w:val="12"/>
          <w:szCs w:val="12"/>
          <w:color w:val="auto"/>
        </w:rPr>
      </w:pPr>
    </w:p>
    <w:p>
      <w:pPr>
        <w:ind w:left="920" w:hanging="484"/>
        <w:spacing w:after="0"/>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Amended the Platinum Warrants (all warrants previously issued by us to Platinum in connection with the Senior Notes) and the Series A Exchange Warrant to:</w:t>
      </w:r>
    </w:p>
    <w:p>
      <w:pPr>
        <w:spacing w:after="0" w:line="150" w:lineRule="exact"/>
        <w:rPr>
          <w:sz w:val="20"/>
          <w:szCs w:val="20"/>
          <w:color w:val="auto"/>
        </w:rPr>
      </w:pPr>
    </w:p>
    <w:p>
      <w:pPr>
        <w:ind w:left="920" w:hanging="159"/>
        <w:spacing w:after="0"/>
        <w:tabs>
          <w:tab w:leader="none" w:pos="920" w:val="left"/>
        </w:tabs>
        <w:numPr>
          <w:ilvl w:val="1"/>
          <w:numId w:val="83"/>
        </w:numPr>
        <w:rPr>
          <w:rFonts w:ascii="Arial" w:cs="Arial" w:eastAsia="Arial" w:hAnsi="Arial"/>
          <w:sz w:val="12"/>
          <w:szCs w:val="12"/>
          <w:color w:val="auto"/>
        </w:rPr>
      </w:pPr>
      <w:r>
        <w:rPr>
          <w:rFonts w:ascii="Arial" w:cs="Arial" w:eastAsia="Arial" w:hAnsi="Arial"/>
          <w:sz w:val="12"/>
          <w:szCs w:val="12"/>
          <w:color w:val="auto"/>
        </w:rPr>
        <w:t>fix the exercise price thereof at $7.00 per share;</w:t>
      </w:r>
    </w:p>
    <w:p>
      <w:pPr>
        <w:spacing w:after="0" w:line="14" w:lineRule="exact"/>
        <w:rPr>
          <w:rFonts w:ascii="Arial" w:cs="Arial" w:eastAsia="Arial" w:hAnsi="Arial"/>
          <w:sz w:val="12"/>
          <w:szCs w:val="12"/>
          <w:color w:val="auto"/>
        </w:rPr>
      </w:pPr>
    </w:p>
    <w:p>
      <w:pPr>
        <w:ind w:left="920" w:hanging="159"/>
        <w:spacing w:after="0"/>
        <w:tabs>
          <w:tab w:leader="none" w:pos="920" w:val="left"/>
        </w:tabs>
        <w:numPr>
          <w:ilvl w:val="1"/>
          <w:numId w:val="83"/>
        </w:numPr>
        <w:rPr>
          <w:rFonts w:ascii="Arial" w:cs="Arial" w:eastAsia="Arial" w:hAnsi="Arial"/>
          <w:sz w:val="12"/>
          <w:szCs w:val="12"/>
          <w:color w:val="auto"/>
        </w:rPr>
      </w:pPr>
      <w:r>
        <w:rPr>
          <w:rFonts w:ascii="Arial" w:cs="Arial" w:eastAsia="Arial" w:hAnsi="Arial"/>
          <w:sz w:val="12"/>
          <w:szCs w:val="12"/>
          <w:color w:val="auto"/>
        </w:rPr>
        <w:t>eliminate the exercise price reset features and fix the number of shares of our common stock issuable thereunder; and</w:t>
      </w:r>
    </w:p>
    <w:p>
      <w:pPr>
        <w:spacing w:after="0" w:line="6" w:lineRule="exact"/>
        <w:rPr>
          <w:rFonts w:ascii="Arial" w:cs="Arial" w:eastAsia="Arial" w:hAnsi="Arial"/>
          <w:sz w:val="12"/>
          <w:szCs w:val="12"/>
          <w:color w:val="auto"/>
        </w:rPr>
      </w:pPr>
    </w:p>
    <w:p>
      <w:pPr>
        <w:ind w:left="920" w:hanging="159"/>
        <w:spacing w:after="0"/>
        <w:tabs>
          <w:tab w:leader="none" w:pos="920" w:val="left"/>
        </w:tabs>
        <w:numPr>
          <w:ilvl w:val="1"/>
          <w:numId w:val="83"/>
        </w:numPr>
        <w:rPr>
          <w:rFonts w:ascii="Arial" w:cs="Arial" w:eastAsia="Arial" w:hAnsi="Arial"/>
          <w:sz w:val="12"/>
          <w:szCs w:val="12"/>
          <w:color w:val="auto"/>
        </w:rPr>
      </w:pPr>
      <w:r>
        <w:rPr>
          <w:rFonts w:ascii="Arial" w:cs="Arial" w:eastAsia="Arial" w:hAnsi="Arial"/>
          <w:sz w:val="12"/>
          <w:szCs w:val="12"/>
          <w:color w:val="auto"/>
        </w:rPr>
        <w:t>eliminate the cashless exercise provisions from the Platinum Warrants and the Series A Exchange Warrant; and</w:t>
      </w:r>
    </w:p>
    <w:p>
      <w:pPr>
        <w:spacing w:after="0" w:line="159" w:lineRule="exact"/>
        <w:rPr>
          <w:rFonts w:ascii="Arial" w:cs="Arial" w:eastAsia="Arial" w:hAnsi="Arial"/>
          <w:sz w:val="12"/>
          <w:szCs w:val="12"/>
          <w:color w:val="auto"/>
        </w:rPr>
      </w:pPr>
    </w:p>
    <w:p>
      <w:pPr>
        <w:ind w:left="920" w:right="20" w:hanging="484"/>
        <w:spacing w:after="0" w:line="276" w:lineRule="auto"/>
        <w:tabs>
          <w:tab w:leader="none" w:pos="9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2014 Unit Notes</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Effective May 20, 2015, holders of the remaining approximately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1" w:name="page172"/>
    <w:bookmarkEnd w:id="171"/>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 of Series B Preferred Units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May 26, 2015 and June 25, 2015, we sold to accredited investors and institutions an aggregate of $557,500 of units in our Series B Preferred Unit offering, which units consist of Series B Preferred and Series B Warrants (together Series B Preferred Units),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Notes and Accounts Payable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During May and June 2015,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adjustments thereto) into 831,577 shares of Series B Preferred, thereby cancelling an additional approximately $5.8 million of our outstanding debt.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Supplemental Financial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2015.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4100" w:type="dxa"/>
            <w:vAlign w:val="bottom"/>
            <w:gridSpan w:val="7"/>
          </w:tcPr>
          <w:p>
            <w:pPr>
              <w:jc w:val="right"/>
              <w:ind w:right="500"/>
              <w:spacing w:after="0"/>
              <w:rPr>
                <w:sz w:val="20"/>
                <w:szCs w:val="20"/>
                <w:color w:val="auto"/>
              </w:rPr>
            </w:pPr>
            <w:r>
              <w:rPr>
                <w:rFonts w:ascii="Arial" w:cs="Arial" w:eastAsia="Arial" w:hAnsi="Arial"/>
                <w:sz w:val="12"/>
                <w:szCs w:val="12"/>
                <w:b w:val="1"/>
                <w:bCs w:val="1"/>
                <w:color w:val="auto"/>
              </w:rPr>
              <w:t>Quarterly Results of Operations (Unaudited)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gridSpan w:val="7"/>
          </w:tcPr>
          <w:p>
            <w:pPr>
              <w:jc w:val="right"/>
              <w:ind w:right="320"/>
              <w:spacing w:after="0"/>
              <w:rPr>
                <w:sz w:val="20"/>
                <w:szCs w:val="20"/>
                <w:color w:val="auto"/>
              </w:rPr>
            </w:pPr>
            <w:r>
              <w:rPr>
                <w:rFonts w:ascii="Arial" w:cs="Arial" w:eastAsia="Arial" w:hAnsi="Arial"/>
                <w:sz w:val="12"/>
                <w:szCs w:val="12"/>
                <w:b w:val="1"/>
                <w:bCs w:val="1"/>
                <w:color w:val="auto"/>
              </w:rPr>
              <w:t>(in thousands, except share and per share amounts)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2014</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2014</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2015</w:t>
            </w:r>
          </w:p>
        </w:tc>
        <w:tc>
          <w:tcPr>
            <w:tcW w:w="0" w:type="dxa"/>
            <w:vAlign w:val="bottom"/>
          </w:tcPr>
          <w:p>
            <w:pPr>
              <w:spacing w:after="0"/>
              <w:rPr>
                <w:sz w:val="1"/>
                <w:szCs w:val="1"/>
                <w:color w:val="auto"/>
              </w:rPr>
            </w:pPr>
          </w:p>
        </w:tc>
      </w:tr>
      <w:tr>
        <w:trPr>
          <w:trHeight w:val="286"/>
        </w:trPr>
        <w:tc>
          <w:tcPr>
            <w:tcW w:w="20" w:type="dxa"/>
            <w:vAlign w:val="bottom"/>
            <w:vMerge w:val="restart"/>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474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558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445</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2,433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General and administrative</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ind w:left="360"/>
              <w:spacing w:after="0"/>
              <w:rPr>
                <w:sz w:val="20"/>
                <w:szCs w:val="20"/>
                <w:color w:val="auto"/>
              </w:rPr>
            </w:pPr>
            <w:r>
              <w:rPr>
                <w:rFonts w:ascii="Arial" w:cs="Arial" w:eastAsia="Arial" w:hAnsi="Arial"/>
                <w:sz w:val="12"/>
                <w:szCs w:val="12"/>
                <w:color w:val="auto"/>
              </w:rPr>
              <w:t>Total operating expenses</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3,276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6,777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(1,271)</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(1,116)</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(3,276)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(6,777)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ind w:left="220"/>
              <w:spacing w:after="0"/>
              <w:rPr>
                <w:sz w:val="20"/>
                <w:szCs w:val="20"/>
                <w:color w:val="auto"/>
              </w:rPr>
            </w:pPr>
            <w:r>
              <w:rPr>
                <w:rFonts w:ascii="Arial" w:cs="Arial" w:eastAsia="Arial" w:hAnsi="Arial"/>
                <w:sz w:val="12"/>
                <w:szCs w:val="12"/>
                <w:color w:val="auto"/>
              </w:rPr>
              <w:t>Interest expense, net</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(785)</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(606)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(792)</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(2,366)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(4,549)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warrant liabilities</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(1,727)</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953</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(563)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ind w:left="220"/>
              <w:spacing w:after="0"/>
              <w:rPr>
                <w:sz w:val="20"/>
                <w:szCs w:val="20"/>
                <w:color w:val="auto"/>
              </w:rPr>
            </w:pPr>
            <w:r>
              <w:rPr>
                <w:rFonts w:ascii="Arial" w:cs="Arial" w:eastAsia="Arial" w:hAnsi="Arial"/>
                <w:sz w:val="12"/>
                <w:szCs w:val="12"/>
                <w:color w:val="auto"/>
              </w:rPr>
              <w:t>Loss on extinguishment of debt</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(768)</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(1,603)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(2,388)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expense, net</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(4,551)</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(1,090)</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(6,222)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(13,884)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20"/>
                <w:szCs w:val="20"/>
                <w:color w:val="auto"/>
              </w:rPr>
            </w:pPr>
            <w:r>
              <w:rPr>
                <w:rFonts w:ascii="Arial" w:cs="Arial" w:eastAsia="Arial" w:hAnsi="Arial"/>
                <w:sz w:val="12"/>
                <w:szCs w:val="12"/>
                <w:color w:val="auto"/>
              </w:rPr>
              <w:t>Income taxes</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(4,553)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(1,090)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(13,886)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tcPr>
          <w:p>
            <w:pPr>
              <w:spacing w:after="0"/>
              <w:rPr>
                <w:sz w:val="20"/>
                <w:szCs w:val="20"/>
                <w:color w:val="auto"/>
              </w:rPr>
            </w:pPr>
            <w:r>
              <w:rPr>
                <w:rFonts w:ascii="Arial" w:cs="Arial" w:eastAsia="Arial" w:hAnsi="Arial"/>
                <w:sz w:val="12"/>
                <w:szCs w:val="12"/>
                <w:color w:val="auto"/>
              </w:rPr>
              <w:t>Basic net (loss) per common share</w:t>
            </w:r>
          </w:p>
        </w:tc>
        <w:tc>
          <w:tcPr>
            <w:tcW w:w="1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(3.70)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(1.58)</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(0.84)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(4.24)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2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tcPr>
          <w:p>
            <w:pPr>
              <w:spacing w:after="0"/>
              <w:rPr>
                <w:sz w:val="20"/>
                <w:szCs w:val="20"/>
                <w:color w:val="auto"/>
              </w:rPr>
            </w:pPr>
            <w:r>
              <w:rPr>
                <w:rFonts w:ascii="Arial" w:cs="Arial" w:eastAsia="Arial" w:hAnsi="Arial"/>
                <w:sz w:val="12"/>
                <w:szCs w:val="12"/>
                <w:color w:val="auto"/>
              </w:rPr>
              <w:t>Diluted net loss per common share</w:t>
            </w:r>
          </w:p>
        </w:tc>
        <w:tc>
          <w:tcPr>
            <w:tcW w:w="1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(3.70)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(1.08)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(4.24)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2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tcPr>
          <w:p>
            <w:pPr>
              <w:spacing w:after="0"/>
              <w:rPr>
                <w:sz w:val="20"/>
                <w:szCs w:val="20"/>
                <w:color w:val="auto"/>
              </w:rPr>
            </w:pPr>
            <w:r>
              <w:rPr>
                <w:rFonts w:ascii="Arial" w:cs="Arial" w:eastAsia="Arial" w:hAnsi="Arial"/>
                <w:sz w:val="12"/>
                <w:szCs w:val="12"/>
                <w:color w:val="auto"/>
              </w:rPr>
              <w:t>Weighted average shares used in computing:</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Basic net (loss) per common share</w:t>
            </w: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1,229,488</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1,279,251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1,302,300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1,466,386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1,318,797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Diluted net loss per common share</w:t>
            </w:r>
          </w:p>
        </w:tc>
        <w:tc>
          <w:tcPr>
            <w:tcW w:w="1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1,229,488</w:t>
            </w:r>
          </w:p>
        </w:tc>
        <w:tc>
          <w:tcPr>
            <w:tcW w:w="2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1,299,099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1,302,300</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1,466,386</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1,318,797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F-48</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26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26"/>
        </w:trPr>
        <w:tc>
          <w:tcPr>
            <w:tcW w:w="4720" w:type="dxa"/>
            <w:vAlign w:val="bottom"/>
            <w:gridSpan w:val="3"/>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20" w:type="dxa"/>
            <w:vAlign w:val="bottom"/>
            <w:gridSpan w:val="6"/>
            <w:vMerge w:val="restart"/>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3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6"/>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2013</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2013</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2014</w:t>
            </w:r>
          </w:p>
        </w:tc>
        <w:tc>
          <w:tcPr>
            <w:tcW w:w="0" w:type="dxa"/>
            <w:vAlign w:val="bottom"/>
          </w:tcPr>
          <w:p>
            <w:pPr>
              <w:spacing w:after="0"/>
              <w:rPr>
                <w:sz w:val="1"/>
                <w:szCs w:val="1"/>
                <w:color w:val="auto"/>
              </w:rPr>
            </w:pPr>
          </w:p>
        </w:tc>
      </w:tr>
      <w:tr>
        <w:trPr>
          <w:trHeight w:val="286"/>
        </w:trPr>
        <w:tc>
          <w:tcPr>
            <w:tcW w:w="20" w:type="dxa"/>
            <w:vAlign w:val="bottom"/>
            <w:vMerge w:val="restart"/>
          </w:tcPr>
          <w:p>
            <w:pPr>
              <w:spacing w:after="0"/>
              <w:rPr>
                <w:sz w:val="24"/>
                <w:szCs w:val="24"/>
                <w:color w:val="auto"/>
              </w:rPr>
            </w:pPr>
          </w:p>
        </w:tc>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9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Research and development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695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669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551</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General and administrative</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tcPr>
          <w:p>
            <w:pPr>
              <w:ind w:left="360"/>
              <w:spacing w:after="0"/>
              <w:rPr>
                <w:sz w:val="20"/>
                <w:szCs w:val="20"/>
                <w:color w:val="auto"/>
              </w:rPr>
            </w:pPr>
            <w:r>
              <w:rPr>
                <w:rFonts w:ascii="Arial" w:cs="Arial" w:eastAsia="Arial" w:hAnsi="Arial"/>
                <w:sz w:val="12"/>
                <w:szCs w:val="12"/>
                <w:color w:val="auto"/>
              </w:rPr>
              <w:t>Total operating expenses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1,448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(1,300)</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(1,448)</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(1,066)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Interest expense, net</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(316)</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(323)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(361)</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(503)</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Change in warrant liabilities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1,940</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9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(loss) before income taxes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Income taxes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(2,968)</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income (loss) per common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0.18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0.12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net loss per common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(0.44)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(0.44)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Basic net income (loss) per common share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1,042,081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1,081,529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1,110,529</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1,162,636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1,098,742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Diluted net loss per common share</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1,061,544</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1,128,152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1,110,529</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1,162,636</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1,099,216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F-49</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39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83" w:right="19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26"/>
        </w:trPr>
        <w:tc>
          <w:tcPr>
            <w:tcW w:w="8720" w:type="dxa"/>
            <w:vAlign w:val="bottom"/>
            <w:gridSpan w:val="2"/>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60" w:type="dxa"/>
            <w:vAlign w:val="bottom"/>
            <w:tcBorders>
              <w:top w:val="single" w:sz="8" w:color="0000EE"/>
            </w:tcBorders>
          </w:tcPr>
          <w:p>
            <w:pPr>
              <w:spacing w:after="0"/>
              <w:rPr>
                <w:sz w:val="24"/>
                <w:szCs w:val="24"/>
                <w:color w:val="auto"/>
              </w:rPr>
            </w:pPr>
          </w:p>
        </w:tc>
        <w:tc>
          <w:tcPr>
            <w:tcW w:w="7960" w:type="dxa"/>
            <w:vAlign w:val="bottom"/>
          </w:tcPr>
          <w:p>
            <w:pPr>
              <w:jc w:val="center"/>
              <w:ind w:left="1960"/>
              <w:spacing w:after="0"/>
              <w:rPr>
                <w:sz w:val="20"/>
                <w:szCs w:val="20"/>
                <w:color w:val="auto"/>
              </w:rPr>
            </w:pPr>
            <w:r>
              <w:rPr>
                <w:rFonts w:ascii="Arial" w:cs="Arial" w:eastAsia="Arial" w:hAnsi="Arial"/>
                <w:sz w:val="12"/>
                <w:szCs w:val="12"/>
                <w:b w:val="1"/>
                <w:bCs w:val="1"/>
                <w:color w:val="auto"/>
              </w:rPr>
              <w:t>VISTAGEN THERAPEUTICS,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60" w:type="dxa"/>
            <w:vAlign w:val="bottom"/>
          </w:tcPr>
          <w:p>
            <w:pPr>
              <w:spacing w:after="0"/>
              <w:rPr>
                <w:sz w:val="24"/>
                <w:szCs w:val="24"/>
                <w:color w:val="auto"/>
              </w:rPr>
            </w:pPr>
          </w:p>
        </w:tc>
        <w:tc>
          <w:tcPr>
            <w:tcW w:w="7960" w:type="dxa"/>
            <w:vAlign w:val="bottom"/>
          </w:tcPr>
          <w:p>
            <w:pPr>
              <w:jc w:val="center"/>
              <w:ind w:left="1920"/>
              <w:spacing w:after="0"/>
              <w:rPr>
                <w:sz w:val="20"/>
                <w:szCs w:val="20"/>
                <w:color w:val="auto"/>
              </w:rPr>
            </w:pPr>
            <w:r>
              <w:rPr>
                <w:rFonts w:ascii="Arial" w:cs="Arial" w:eastAsia="Arial" w:hAnsi="Arial"/>
                <w:sz w:val="12"/>
                <w:szCs w:val="12"/>
                <w:b w:val="1"/>
                <w:bCs w:val="1"/>
                <w:color w:val="auto"/>
                <w:w w:val="98"/>
              </w:rPr>
              <w:t>CONDENSED CONSOLIDATED BALANCE SHEETS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960" w:type="dxa"/>
            <w:vAlign w:val="bottom"/>
          </w:tcPr>
          <w:p>
            <w:pPr>
              <w:jc w:val="center"/>
              <w:ind w:left="1940"/>
              <w:spacing w:after="0"/>
              <w:rPr>
                <w:sz w:val="20"/>
                <w:szCs w:val="20"/>
                <w:color w:val="auto"/>
              </w:rPr>
            </w:pPr>
            <w:r>
              <w:rPr>
                <w:rFonts w:ascii="Arial" w:cs="Arial" w:eastAsia="Arial" w:hAnsi="Arial"/>
                <w:sz w:val="12"/>
                <w:szCs w:val="12"/>
                <w:b w:val="1"/>
                <w:bCs w:val="1"/>
                <w:color w:val="auto"/>
                <w:w w:val="89"/>
              </w:rPr>
              <w:t>(Amounts in Dollars, except share amounts)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7960" w:type="dxa"/>
            <w:vAlign w:val="bottom"/>
          </w:tcPr>
          <w:p>
            <w:pPr>
              <w:ind w:left="3180"/>
              <w:spacing w:after="0"/>
              <w:rPr>
                <w:sz w:val="20"/>
                <w:szCs w:val="20"/>
                <w:color w:val="auto"/>
              </w:rPr>
            </w:pPr>
            <w:r>
              <w:rPr>
                <w:rFonts w:ascii="Arial" w:cs="Arial" w:eastAsia="Arial" w:hAnsi="Arial"/>
                <w:sz w:val="12"/>
                <w:szCs w:val="12"/>
                <w:color w:val="auto"/>
              </w:rPr>
              <w:t>See accompanying notes to Condensed Consolidated Financial Statements.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7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1"/>
              </w:rPr>
              <w:t>June 30,</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2015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960" w:type="dxa"/>
            <w:vAlign w:val="bottom"/>
            <w:vMerge w:val="restart"/>
          </w:tcPr>
          <w:p>
            <w:pPr>
              <w:jc w:val="center"/>
              <w:ind w:right="680"/>
              <w:spacing w:after="0"/>
              <w:rPr>
                <w:sz w:val="20"/>
                <w:szCs w:val="20"/>
                <w:color w:val="auto"/>
              </w:rPr>
            </w:pPr>
            <w:r>
              <w:rPr>
                <w:rFonts w:ascii="Arial" w:cs="Arial" w:eastAsia="Arial" w:hAnsi="Arial"/>
                <w:sz w:val="12"/>
                <w:szCs w:val="12"/>
                <w:b w:val="1"/>
                <w:bCs w:val="1"/>
                <w:color w:val="auto"/>
                <w:w w:val="95"/>
              </w:rPr>
              <w:t>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80"/>
              <w:spacing w:after="0"/>
              <w:rPr>
                <w:sz w:val="20"/>
                <w:szCs w:val="20"/>
                <w:color w:val="auto"/>
              </w:rPr>
            </w:pPr>
            <w:r>
              <w:rPr>
                <w:rFonts w:ascii="Arial" w:cs="Arial" w:eastAsia="Arial" w:hAnsi="Arial"/>
                <w:sz w:val="12"/>
                <w:szCs w:val="12"/>
                <w:b w:val="1"/>
                <w:bCs w:val="1"/>
                <w:color w:val="auto"/>
                <w:w w:val="92"/>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(Note 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7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70,000</w:t>
            </w: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1,473,300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35,700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1,594,300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105,700</w:t>
            </w: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Property and equipment, net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102,600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117,100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46,900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Total assets</w:t>
            </w:r>
          </w:p>
        </w:tc>
        <w:tc>
          <w:tcPr>
            <w:tcW w:w="12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1,743,800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269,700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0" w:type="dxa"/>
            <w:vAlign w:val="bottom"/>
            <w:shd w:val="clear" w:color="auto" w:fill="CCEEFF"/>
          </w:tcPr>
          <w:p>
            <w:pPr>
              <w:spacing w:after="0"/>
              <w:rPr>
                <w:sz w:val="10"/>
                <w:szCs w:val="10"/>
                <w:color w:val="auto"/>
              </w:rPr>
            </w:pPr>
          </w:p>
        </w:tc>
        <w:tc>
          <w:tcPr>
            <w:tcW w:w="7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7960" w:type="dxa"/>
            <w:vAlign w:val="bottom"/>
          </w:tcPr>
          <w:p>
            <w:pPr>
              <w:jc w:val="center"/>
              <w:ind w:right="660"/>
              <w:spacing w:after="0"/>
              <w:rPr>
                <w:sz w:val="20"/>
                <w:szCs w:val="20"/>
                <w:color w:val="auto"/>
              </w:rPr>
            </w:pPr>
            <w:r>
              <w:rPr>
                <w:rFonts w:ascii="Arial" w:cs="Arial" w:eastAsia="Arial" w:hAnsi="Arial"/>
                <w:sz w:val="12"/>
                <w:szCs w:val="12"/>
                <w:b w:val="1"/>
                <w:bCs w:val="1"/>
                <w:color w:val="auto"/>
              </w:rPr>
              <w:t>LIABILITIES AND STOCKHOLDERS’ DEFICIT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Accounts payable</w:t>
            </w:r>
          </w:p>
        </w:tc>
        <w:tc>
          <w:tcPr>
            <w:tcW w:w="28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1,549,800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2,251,100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Accrued expenses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1,382,200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Current maturities of senior secured convertible promissory notes and accrued interest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4,146,100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portion of notes payable, net of discount of $0 at June 30, 2015 and $474,500 at March</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31, 2015, and accrued interest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4,117,000</w:t>
            </w:r>
          </w:p>
        </w:tc>
        <w:tc>
          <w:tcPr>
            <w:tcW w:w="0" w:type="dxa"/>
            <w:vAlign w:val="bottom"/>
          </w:tcPr>
          <w:p>
            <w:pPr>
              <w:spacing w:after="0"/>
              <w:rPr>
                <w:sz w:val="1"/>
                <w:szCs w:val="1"/>
                <w:color w:val="auto"/>
              </w:rPr>
            </w:pPr>
          </w:p>
        </w:tc>
      </w:tr>
      <w:tr>
        <w:trPr>
          <w:trHeight w:val="135"/>
        </w:trPr>
        <w:tc>
          <w:tcPr>
            <w:tcW w:w="872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Current portion of notes payable to related parties, net of discount of $0 at June 30, 2015 and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$54,500 at March 31, 2015, and accrued interest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1,508,800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Convertible promissory notes and accrued interest, net of discount of $0 at June 30, 2015 and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$180,000 at March 31, 2015, respectively</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4,157,600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Capital lease obligations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current liabilities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3,278,700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17,388,100</w:t>
            </w:r>
          </w:p>
        </w:tc>
        <w:tc>
          <w:tcPr>
            <w:tcW w:w="0" w:type="dxa"/>
            <w:vAlign w:val="bottom"/>
          </w:tcPr>
          <w:p>
            <w:pPr>
              <w:spacing w:after="0"/>
              <w:rPr>
                <w:sz w:val="1"/>
                <w:szCs w:val="1"/>
                <w:color w:val="auto"/>
              </w:rPr>
            </w:pPr>
          </w:p>
        </w:tc>
      </w:tr>
      <w:tr>
        <w:trPr>
          <w:trHeight w:val="142"/>
        </w:trPr>
        <w:tc>
          <w:tcPr>
            <w:tcW w:w="760" w:type="dxa"/>
            <w:vAlign w:val="bottom"/>
            <w:tcBorders>
              <w:top w:val="single" w:sz="8" w:color="CCEEFF"/>
            </w:tcBorders>
          </w:tcPr>
          <w:p>
            <w:pPr>
              <w:spacing w:after="0"/>
              <w:rPr>
                <w:sz w:val="12"/>
                <w:szCs w:val="12"/>
                <w:color w:val="auto"/>
              </w:rPr>
            </w:pPr>
          </w:p>
        </w:tc>
        <w:tc>
          <w:tcPr>
            <w:tcW w:w="7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Non-current liabilities: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120"/>
              <w:spacing w:after="0"/>
              <w:rPr>
                <w:sz w:val="20"/>
                <w:szCs w:val="20"/>
                <w:color w:val="auto"/>
              </w:rPr>
            </w:pPr>
            <w:r>
              <w:rPr>
                <w:rFonts w:ascii="Arial" w:cs="Arial" w:eastAsia="Arial" w:hAnsi="Arial"/>
                <w:sz w:val="12"/>
                <w:szCs w:val="12"/>
                <w:color w:val="auto"/>
              </w:rPr>
              <w:t>Senior secured convertible promissory notes and accrued interest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296,200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Notes payable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1,038,500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35,600</w:t>
            </w: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Warrant liability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Accrued dividends on Series B Preferred Stock</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Deferred rent liability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78,300</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83,000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Capital lease obligations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1,100</w:t>
            </w:r>
          </w:p>
        </w:tc>
        <w:tc>
          <w:tcPr>
            <w:tcW w:w="0" w:type="dxa"/>
            <w:vAlign w:val="bottom"/>
          </w:tcPr>
          <w:p>
            <w:pPr>
              <w:spacing w:after="0"/>
              <w:rPr>
                <w:sz w:val="1"/>
                <w:szCs w:val="1"/>
                <w:color w:val="auto"/>
              </w:rPr>
            </w:pPr>
          </w:p>
        </w:tc>
      </w:tr>
      <w:tr>
        <w:trPr>
          <w:trHeight w:val="142"/>
        </w:trPr>
        <w:tc>
          <w:tcPr>
            <w:tcW w:w="8720" w:type="dxa"/>
            <w:vAlign w:val="bottom"/>
            <w:tcBorders>
              <w:top w:val="single" w:sz="8" w:color="CCEEFF"/>
            </w:tcBorders>
            <w:gridSpan w:val="2"/>
          </w:tcPr>
          <w:p>
            <w:pPr>
              <w:ind w:left="20"/>
              <w:spacing w:after="0"/>
              <w:rPr>
                <w:sz w:val="20"/>
                <w:szCs w:val="20"/>
                <w:color w:val="auto"/>
              </w:rPr>
            </w:pPr>
            <w:r>
              <w:rPr>
                <w:rFonts w:ascii="Arial" w:cs="Arial" w:eastAsia="Arial" w:hAnsi="Arial"/>
                <w:sz w:val="12"/>
                <w:szCs w:val="12"/>
                <w:color w:val="auto"/>
              </w:rPr>
              <w:t>Total non-current liabilities</w:t>
            </w: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1,331,000</w:t>
            </w: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3,424,400</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liabilities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4,609,700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20,812,500</w:t>
            </w:r>
          </w:p>
        </w:tc>
        <w:tc>
          <w:tcPr>
            <w:tcW w:w="0" w:type="dxa"/>
            <w:vAlign w:val="bottom"/>
          </w:tcPr>
          <w:p>
            <w:pPr>
              <w:spacing w:after="0"/>
              <w:rPr>
                <w:sz w:val="1"/>
                <w:szCs w:val="1"/>
                <w:color w:val="auto"/>
              </w:rPr>
            </w:pPr>
          </w:p>
        </w:tc>
      </w:tr>
      <w:tr>
        <w:trPr>
          <w:trHeight w:val="142"/>
        </w:trPr>
        <w:tc>
          <w:tcPr>
            <w:tcW w:w="760" w:type="dxa"/>
            <w:vAlign w:val="bottom"/>
            <w:tcBorders>
              <w:top w:val="single" w:sz="8" w:color="CCEEFF"/>
            </w:tcBorders>
          </w:tcPr>
          <w:p>
            <w:pPr>
              <w:spacing w:after="0"/>
              <w:rPr>
                <w:sz w:val="12"/>
                <w:szCs w:val="12"/>
                <w:color w:val="auto"/>
              </w:rPr>
            </w:pPr>
          </w:p>
        </w:tc>
        <w:tc>
          <w:tcPr>
            <w:tcW w:w="7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Commitments and contingencies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Stockholders’ deficit: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720" w:type="dxa"/>
            <w:vAlign w:val="bottom"/>
            <w:gridSpan w:val="2"/>
          </w:tcPr>
          <w:p>
            <w:pPr>
              <w:ind w:left="180"/>
              <w:spacing w:after="0" w:line="136" w:lineRule="exact"/>
              <w:rPr>
                <w:sz w:val="20"/>
                <w:szCs w:val="20"/>
                <w:color w:val="auto"/>
              </w:rPr>
            </w:pPr>
            <w:r>
              <w:rPr>
                <w:rFonts w:ascii="Arial" w:cs="Arial" w:eastAsia="Arial" w:hAnsi="Arial"/>
                <w:sz w:val="12"/>
                <w:szCs w:val="12"/>
                <w:color w:val="auto"/>
              </w:rPr>
              <w:t>Preferred stock, $0.001 par value; 10,000,000 shares authorized at June 30, 2015 and March 31, 2015: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300"/>
              <w:spacing w:after="0"/>
              <w:rPr>
                <w:sz w:val="20"/>
                <w:szCs w:val="20"/>
                <w:color w:val="auto"/>
              </w:rPr>
            </w:pPr>
            <w:r>
              <w:rPr>
                <w:rFonts w:ascii="Arial" w:cs="Arial" w:eastAsia="Arial" w:hAnsi="Arial"/>
                <w:sz w:val="12"/>
                <w:szCs w:val="12"/>
                <w:color w:val="auto"/>
              </w:rPr>
              <w:t>Series A Preferred, 500,000 shares authorized and outstanding at June 30, 2015 and March 31, 2015,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20" w:type="dxa"/>
            <w:vAlign w:val="bottom"/>
            <w:gridSpan w:val="2"/>
          </w:tcPr>
          <w:p>
            <w:pPr>
              <w:ind w:left="420"/>
              <w:spacing w:after="0"/>
              <w:rPr>
                <w:sz w:val="20"/>
                <w:szCs w:val="20"/>
                <w:color w:val="auto"/>
              </w:rPr>
            </w:pPr>
            <w:r>
              <w:rPr>
                <w:rFonts w:ascii="Arial" w:cs="Arial" w:eastAsia="Arial" w:hAnsi="Arial"/>
                <w:sz w:val="12"/>
                <w:szCs w:val="12"/>
                <w:color w:val="auto"/>
              </w:rPr>
              <w:t>respectively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Series B Preferred, 4,000,000 shares and no shares authorized at June 30, 2015 and March 31, 2015,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respectively; 2,995,579 shares issued and outstanding at June 30, 2015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72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Common stock, $0.001 par value; 10,000,000 shares authorized at June 30, 2015 and March 31, 2015,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200"/>
              <w:spacing w:after="0"/>
              <w:rPr>
                <w:sz w:val="20"/>
                <w:szCs w:val="20"/>
                <w:color w:val="auto"/>
              </w:rPr>
            </w:pPr>
            <w:r>
              <w:rPr>
                <w:rFonts w:ascii="Arial" w:cs="Arial" w:eastAsia="Arial" w:hAnsi="Arial"/>
                <w:sz w:val="12"/>
                <w:szCs w:val="12"/>
                <w:color w:val="auto"/>
              </w:rPr>
              <w:t>respectively; 1,730,126 shares and 1,677,110 shares issued at June 30, 2015 and March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20" w:type="dxa"/>
            <w:vAlign w:val="bottom"/>
            <w:gridSpan w:val="2"/>
          </w:tcPr>
          <w:p>
            <w:pPr>
              <w:ind w:left="200"/>
              <w:spacing w:after="0"/>
              <w:rPr>
                <w:sz w:val="20"/>
                <w:szCs w:val="20"/>
                <w:color w:val="auto"/>
              </w:rPr>
            </w:pPr>
            <w:r>
              <w:rPr>
                <w:rFonts w:ascii="Arial" w:cs="Arial" w:eastAsia="Arial" w:hAnsi="Arial"/>
                <w:sz w:val="12"/>
                <w:szCs w:val="12"/>
                <w:color w:val="auto"/>
              </w:rPr>
              <w:t>2015, respectively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1,700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Additional paid-in capital</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115,143,800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67,945,800</w:t>
            </w:r>
          </w:p>
        </w:tc>
        <w:tc>
          <w:tcPr>
            <w:tcW w:w="0" w:type="dxa"/>
            <w:vAlign w:val="bottom"/>
          </w:tcPr>
          <w:p>
            <w:pPr>
              <w:spacing w:after="0"/>
              <w:rPr>
                <w:sz w:val="1"/>
                <w:szCs w:val="1"/>
                <w:color w:val="auto"/>
              </w:rPr>
            </w:pPr>
          </w:p>
        </w:tc>
      </w:tr>
      <w:tr>
        <w:trPr>
          <w:trHeight w:val="135"/>
        </w:trPr>
        <w:tc>
          <w:tcPr>
            <w:tcW w:w="872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Treasury stock, at cost, 135,665 shares of common stock held at June 30, 2015 and March 31, 2015,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720" w:type="dxa"/>
            <w:vAlign w:val="bottom"/>
            <w:gridSpan w:val="2"/>
          </w:tcPr>
          <w:p>
            <w:pPr>
              <w:ind w:left="200"/>
              <w:spacing w:after="0"/>
              <w:rPr>
                <w:sz w:val="20"/>
                <w:szCs w:val="20"/>
                <w:color w:val="auto"/>
              </w:rPr>
            </w:pPr>
            <w:r>
              <w:rPr>
                <w:rFonts w:ascii="Arial" w:cs="Arial" w:eastAsia="Arial" w:hAnsi="Arial"/>
                <w:sz w:val="12"/>
                <w:szCs w:val="12"/>
                <w:color w:val="auto"/>
              </w:rPr>
              <w:t>respectively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Accumulated deficit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(114,046,800)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(84,522,700)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Total stockholders’ deficit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(2,865,900)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(20,542,800)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liabilities and stockholders’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1,743,800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269,700</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VISTAGEN THERAPEUTICS, INC.</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8"/>
              </w:rPr>
              <w:t>CONDENSED CONSOLIDATED STATEMENTS OF OPERATIONS AND COMPREHENSIVE LOSS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(Unaudited)</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2"/>
                <w:szCs w:val="12"/>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7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6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372,600</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473,600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1,448,500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797,200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operating expenses</w:t>
            </w:r>
          </w:p>
        </w:tc>
        <w:tc>
          <w:tcPr>
            <w:tcW w:w="6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1,821,100</w:t>
            </w:r>
          </w:p>
        </w:tc>
        <w:tc>
          <w:tcPr>
            <w:tcW w:w="2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1,270,800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Loss from operations</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(1,821,100)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(1,270,800)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6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Interest expense, net</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(755,100)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(784,900)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Change in warrant liability</w:t>
            </w:r>
          </w:p>
        </w:tc>
        <w:tc>
          <w:tcPr>
            <w:tcW w:w="6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(1,894,700)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(1,727,200)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Loss on extinguishment of debt</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(25,050,900)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(768,000)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6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(29,521,800)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(4,550,900)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Income taxes</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(2,300)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(2,400)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Net loss and comprehensive loss</w:t>
            </w:r>
          </w:p>
        </w:tc>
        <w:tc>
          <w:tcPr>
            <w:tcW w:w="6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(29,524,100)</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(4,553,300)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Accrued dividends on Series B Preferred stock</w:t>
            </w:r>
          </w:p>
        </w:tc>
        <w:tc>
          <w:tcPr>
            <w:tcW w:w="6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(213,300)</w:t>
            </w: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Deemed dividend on Series B Preferred Units</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(256,200)</w:t>
            </w: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6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(29,993,600)</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(4,553,300)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2700" w:type="dxa"/>
            <w:vAlign w:val="bottom"/>
            <w:shd w:val="clear" w:color="auto" w:fill="CCEEFF"/>
          </w:tcPr>
          <w:p>
            <w:pPr>
              <w:spacing w:after="0"/>
              <w:rPr>
                <w:sz w:val="10"/>
                <w:szCs w:val="10"/>
                <w:color w:val="auto"/>
              </w:rPr>
            </w:pPr>
          </w:p>
        </w:tc>
        <w:tc>
          <w:tcPr>
            <w:tcW w:w="6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2"/>
                <w:szCs w:val="12"/>
                <w:color w:val="auto"/>
              </w:rPr>
              <w:t>Basic and diluted net loss attributable to common</w:t>
            </w:r>
          </w:p>
        </w:tc>
        <w:tc>
          <w:tcPr>
            <w:tcW w:w="6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tcPr>
          <w:p>
            <w:pPr>
              <w:ind w:left="60"/>
              <w:spacing w:after="0"/>
              <w:rPr>
                <w:sz w:val="20"/>
                <w:szCs w:val="20"/>
                <w:color w:val="auto"/>
              </w:rPr>
            </w:pPr>
            <w:r>
              <w:rPr>
                <w:rFonts w:ascii="Arial" w:cs="Arial" w:eastAsia="Arial" w:hAnsi="Arial"/>
                <w:sz w:val="12"/>
                <w:szCs w:val="12"/>
                <w:color w:val="auto"/>
              </w:rPr>
              <w:t>stockholders per common share</w:t>
            </w:r>
          </w:p>
        </w:tc>
        <w:tc>
          <w:tcPr>
            <w:tcW w:w="6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(19.23)</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2700" w:type="dxa"/>
            <w:vAlign w:val="bottom"/>
            <w:shd w:val="clear" w:color="auto" w:fill="CCEEFF"/>
          </w:tcPr>
          <w:p>
            <w:pPr>
              <w:spacing w:after="0"/>
              <w:rPr>
                <w:sz w:val="10"/>
                <w:szCs w:val="10"/>
                <w:color w:val="auto"/>
              </w:rPr>
            </w:pPr>
          </w:p>
        </w:tc>
        <w:tc>
          <w:tcPr>
            <w:tcW w:w="6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2"/>
                <w:szCs w:val="12"/>
                <w:color w:val="auto"/>
              </w:rPr>
              <w:t>Weighted average shares used in computing</w:t>
            </w:r>
          </w:p>
        </w:tc>
        <w:tc>
          <w:tcPr>
            <w:tcW w:w="6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720" w:type="dxa"/>
            <w:vAlign w:val="bottom"/>
            <w:gridSpan w:val="2"/>
          </w:tcPr>
          <w:p>
            <w:pPr>
              <w:spacing w:after="0"/>
              <w:rPr>
                <w:sz w:val="20"/>
                <w:szCs w:val="20"/>
                <w:color w:val="auto"/>
              </w:rPr>
            </w:pPr>
            <w:r>
              <w:rPr>
                <w:rFonts w:ascii="Arial" w:cs="Arial" w:eastAsia="Arial" w:hAnsi="Arial"/>
                <w:sz w:val="12"/>
                <w:szCs w:val="12"/>
                <w:color w:val="auto"/>
              </w:rPr>
              <w:t>basic and diluted net loss attributable to common</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20" w:type="dxa"/>
            <w:vAlign w:val="bottom"/>
            <w:gridSpan w:val="2"/>
          </w:tcPr>
          <w:p>
            <w:pPr>
              <w:spacing w:after="0"/>
              <w:rPr>
                <w:sz w:val="20"/>
                <w:szCs w:val="20"/>
                <w:color w:val="auto"/>
              </w:rPr>
            </w:pPr>
            <w:r>
              <w:rPr>
                <w:rFonts w:ascii="Arial" w:cs="Arial" w:eastAsia="Arial" w:hAnsi="Arial"/>
                <w:sz w:val="12"/>
                <w:szCs w:val="12"/>
                <w:color w:val="auto"/>
              </w:rPr>
              <w:t>stockholders per common share</w:t>
            </w:r>
          </w:p>
        </w:tc>
        <w:tc>
          <w:tcPr>
            <w:tcW w:w="6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1,559,483</w:t>
            </w: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1,229,488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57"/>
        </w:trPr>
        <w:tc>
          <w:tcPr>
            <w:tcW w:w="8840" w:type="dxa"/>
            <w:vAlign w:val="bottom"/>
          </w:tcPr>
          <w:p>
            <w:pPr>
              <w:jc w:val="center"/>
              <w:ind w:left="2560"/>
              <w:spacing w:after="0"/>
              <w:rPr>
                <w:sz w:val="20"/>
                <w:szCs w:val="20"/>
                <w:color w:val="auto"/>
              </w:rPr>
            </w:pPr>
            <w:r>
              <w:rPr>
                <w:rFonts w:ascii="Arial" w:cs="Arial" w:eastAsia="Arial" w:hAnsi="Arial"/>
                <w:sz w:val="12"/>
                <w:szCs w:val="12"/>
                <w:b w:val="1"/>
                <w:bCs w:val="1"/>
                <w:color w:val="auto"/>
              </w:rPr>
              <w:t>VISTAGEN THERAPEUTICS, INC.</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8840" w:type="dxa"/>
            <w:vAlign w:val="bottom"/>
          </w:tcPr>
          <w:p>
            <w:pPr>
              <w:jc w:val="center"/>
              <w:ind w:left="2580"/>
              <w:spacing w:after="0"/>
              <w:rPr>
                <w:sz w:val="20"/>
                <w:szCs w:val="20"/>
                <w:color w:val="auto"/>
              </w:rPr>
            </w:pPr>
            <w:r>
              <w:rPr>
                <w:rFonts w:ascii="Arial" w:cs="Arial" w:eastAsia="Arial" w:hAnsi="Arial"/>
                <w:sz w:val="12"/>
                <w:szCs w:val="12"/>
                <w:b w:val="1"/>
                <w:bCs w:val="1"/>
                <w:color w:val="auto"/>
                <w:w w:val="98"/>
              </w:rPr>
              <w:t>CONDENSED CONSOLIDATED STATEMENTS OF CASH FLOWS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840" w:type="dxa"/>
            <w:vAlign w:val="bottom"/>
          </w:tcPr>
          <w:p>
            <w:pPr>
              <w:jc w:val="center"/>
              <w:ind w:left="2560"/>
              <w:spacing w:after="0"/>
              <w:rPr>
                <w:sz w:val="20"/>
                <w:szCs w:val="20"/>
                <w:color w:val="auto"/>
              </w:rPr>
            </w:pPr>
            <w:r>
              <w:rPr>
                <w:rFonts w:ascii="Arial" w:cs="Arial" w:eastAsia="Arial" w:hAnsi="Arial"/>
                <w:sz w:val="12"/>
                <w:szCs w:val="12"/>
                <w:b w:val="1"/>
                <w:bCs w:val="1"/>
                <w:color w:val="auto"/>
                <w:w w:val="92"/>
              </w:rPr>
              <w:t>(Unaudited)</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840" w:type="dxa"/>
            <w:vAlign w:val="bottom"/>
          </w:tcPr>
          <w:p>
            <w:pPr>
              <w:jc w:val="center"/>
              <w:ind w:left="2580"/>
              <w:spacing w:after="0"/>
              <w:rPr>
                <w:sz w:val="20"/>
                <w:szCs w:val="20"/>
                <w:color w:val="auto"/>
              </w:rPr>
            </w:pPr>
            <w:r>
              <w:rPr>
                <w:rFonts w:ascii="Arial" w:cs="Arial" w:eastAsia="Arial" w:hAnsi="Arial"/>
                <w:sz w:val="12"/>
                <w:szCs w:val="12"/>
                <w:b w:val="1"/>
                <w:bCs w:val="1"/>
                <w:color w:val="auto"/>
                <w:w w:val="91"/>
              </w:rPr>
              <w:t>(Amounts in Dollars)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Three Months Ended June 30,</w:t>
            </w:r>
          </w:p>
        </w:tc>
      </w:tr>
      <w:tr>
        <w:trPr>
          <w:trHeight w:val="142"/>
        </w:trPr>
        <w:tc>
          <w:tcPr>
            <w:tcW w:w="88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r>
      <w:tr>
        <w:trPr>
          <w:trHeight w:val="142"/>
        </w:trPr>
        <w:tc>
          <w:tcPr>
            <w:tcW w:w="8840" w:type="dxa"/>
            <w:vAlign w:val="bottom"/>
          </w:tcPr>
          <w:p>
            <w:pPr>
              <w:ind w:left="20"/>
              <w:spacing w:after="0"/>
              <w:rPr>
                <w:sz w:val="20"/>
                <w:szCs w:val="20"/>
                <w:color w:val="auto"/>
              </w:rPr>
            </w:pPr>
            <w:r>
              <w:rPr>
                <w:rFonts w:ascii="Arial" w:cs="Arial" w:eastAsia="Arial" w:hAnsi="Arial"/>
                <w:sz w:val="12"/>
                <w:szCs w:val="12"/>
                <w:color w:val="auto"/>
              </w:rPr>
              <w:t>Cash flows from operating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loss</w:t>
            </w:r>
          </w:p>
        </w:tc>
        <w:tc>
          <w:tcPr>
            <w:tcW w:w="280" w:type="dxa"/>
            <w:vAlign w:val="bottom"/>
            <w:shd w:val="clear" w:color="auto" w:fill="CCEEFF"/>
          </w:tcPr>
          <w:p>
            <w:pPr>
              <w:jc w:val="right"/>
              <w:ind w:right="167"/>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(29,524,100)</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(4,553,300)</w:t>
            </w:r>
          </w:p>
        </w:tc>
      </w:tr>
      <w:tr>
        <w:trPr>
          <w:trHeight w:val="144"/>
        </w:trPr>
        <w:tc>
          <w:tcPr>
            <w:tcW w:w="8840" w:type="dxa"/>
            <w:vAlign w:val="bottom"/>
          </w:tcPr>
          <w:p>
            <w:pPr>
              <w:ind w:left="4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14,500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13,100</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Amortization of discounts on convertible and promissory notes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550,800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481,900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warrant liability</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1,894,700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1,727,200</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Stock-based compensation</w:t>
            </w:r>
          </w:p>
        </w:tc>
        <w:tc>
          <w:tcPr>
            <w:tcW w:w="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29,200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203,400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 related to modification of warrants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Non-cash rent and relocation expense</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(4,700)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(1,400)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 on note receivable for stock purchase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(2,500)</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Fair value of common stock granted for services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134,000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Fair value of Series B Preferred stock granted for services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Fair value of warrants granted for services and interest</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16,500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Foreign currency transaction loss</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10,300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19,800</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Loss on extinguishment of debt</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25,050,900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767,900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(8,200)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(11,900)</w:t>
            </w:r>
          </w:p>
        </w:tc>
      </w:tr>
      <w:tr>
        <w:trPr>
          <w:trHeight w:val="144"/>
        </w:trPr>
        <w:tc>
          <w:tcPr>
            <w:tcW w:w="8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 and accrued expenses, including accrued interest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193,500</w:t>
            </w:r>
          </w:p>
        </w:tc>
      </w:tr>
      <w:tr>
        <w:trPr>
          <w:trHeight w:val="20"/>
        </w:trPr>
        <w:tc>
          <w:tcPr>
            <w:tcW w:w="8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840" w:type="dxa"/>
            <w:vAlign w:val="bottom"/>
          </w:tcPr>
          <w:p>
            <w:pPr>
              <w:ind w:left="140"/>
              <w:spacing w:after="0"/>
              <w:rPr>
                <w:sz w:val="20"/>
                <w:szCs w:val="20"/>
                <w:color w:val="auto"/>
              </w:rPr>
            </w:pPr>
            <w:r>
              <w:rPr>
                <w:rFonts w:ascii="Arial" w:cs="Arial" w:eastAsia="Arial" w:hAnsi="Arial"/>
                <w:sz w:val="12"/>
                <w:szCs w:val="12"/>
                <w:color w:val="auto"/>
              </w:rPr>
              <w:t>Net cash used in operating activities</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(823,300)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(1,011,800)</w:t>
            </w:r>
          </w:p>
        </w:tc>
      </w:tr>
      <w:tr>
        <w:trPr>
          <w:trHeight w:val="142"/>
        </w:trPr>
        <w:tc>
          <w:tcPr>
            <w:tcW w:w="88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Cash flows from investing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Purchases of equipment, net</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840" w:type="dxa"/>
            <w:vAlign w:val="bottom"/>
          </w:tcPr>
          <w:p>
            <w:pPr>
              <w:ind w:left="140"/>
              <w:spacing w:after="0"/>
              <w:rPr>
                <w:sz w:val="20"/>
                <w:szCs w:val="20"/>
                <w:color w:val="auto"/>
              </w:rPr>
            </w:pPr>
            <w:r>
              <w:rPr>
                <w:rFonts w:ascii="Arial" w:cs="Arial" w:eastAsia="Arial" w:hAnsi="Arial"/>
                <w:sz w:val="12"/>
                <w:szCs w:val="12"/>
                <w:color w:val="auto"/>
              </w:rPr>
              <w:t>Net cash used in investing activities</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8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Cash flows from financing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proceeds from issuance of common stock and warrants, including Units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1,520,000</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Net proceeds from issuance of Series B Preferred Units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607,500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Repayment of capital lease obligations</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(2,000)</w:t>
            </w: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Repayment of notes</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(13,000)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(105,500)</w:t>
            </w:r>
          </w:p>
        </w:tc>
      </w:tr>
      <w:tr>
        <w:trPr>
          <w:trHeight w:val="142"/>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874,300</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1,412,500</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840" w:type="dxa"/>
            <w:vAlign w:val="bottom"/>
          </w:tcPr>
          <w:p>
            <w:pPr>
              <w:ind w:left="80"/>
              <w:spacing w:after="0"/>
              <w:rPr>
                <w:sz w:val="20"/>
                <w:szCs w:val="20"/>
                <w:color w:val="auto"/>
              </w:rPr>
            </w:pPr>
            <w:r>
              <w:rPr>
                <w:rFonts w:ascii="Arial" w:cs="Arial" w:eastAsia="Arial" w:hAnsi="Arial"/>
                <w:sz w:val="12"/>
                <w:szCs w:val="12"/>
                <w:color w:val="auto"/>
              </w:rPr>
              <w:t>Net increase in cash and cash equivalents</w:t>
            </w:r>
          </w:p>
        </w:tc>
        <w:tc>
          <w:tcPr>
            <w:tcW w:w="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51,000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400,700</w:t>
            </w:r>
          </w:p>
        </w:tc>
      </w:tr>
      <w:tr>
        <w:trPr>
          <w:trHeight w:val="144"/>
        </w:trPr>
        <w:tc>
          <w:tcPr>
            <w:tcW w:w="8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Cash and cash equivalents at beginning of period</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70,000</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840" w:type="dxa"/>
            <w:vAlign w:val="bottom"/>
          </w:tcPr>
          <w:p>
            <w:pPr>
              <w:ind w:left="80"/>
              <w:spacing w:after="0"/>
              <w:rPr>
                <w:sz w:val="20"/>
                <w:szCs w:val="20"/>
                <w:color w:val="auto"/>
              </w:rPr>
            </w:pPr>
            <w:r>
              <w:rPr>
                <w:rFonts w:ascii="Arial" w:cs="Arial" w:eastAsia="Arial" w:hAnsi="Arial"/>
                <w:sz w:val="12"/>
                <w:szCs w:val="12"/>
                <w:color w:val="auto"/>
              </w:rPr>
              <w:t>Cash and cash equivalents at end of period</w:t>
            </w:r>
          </w:p>
        </w:tc>
        <w:tc>
          <w:tcPr>
            <w:tcW w:w="280" w:type="dxa"/>
            <w:vAlign w:val="bottom"/>
          </w:tcPr>
          <w:p>
            <w:pPr>
              <w:jc w:val="right"/>
              <w:ind w:right="167"/>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121,000</w:t>
            </w:r>
          </w:p>
        </w:tc>
        <w:tc>
          <w:tcPr>
            <w:tcW w:w="240" w:type="dxa"/>
            <w:vAlign w:val="bottom"/>
          </w:tcPr>
          <w:p>
            <w:pPr>
              <w:spacing w:after="0"/>
              <w:rPr>
                <w:sz w:val="12"/>
                <w:szCs w:val="12"/>
                <w:color w:val="auto"/>
              </w:rPr>
            </w:pP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400,700</w:t>
            </w: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8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Supplemental disclosure of non-cash activites: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84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Senior Secured Notes, 2014 Unit Notes, other promissory notes and related accrued interest and accounts</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93"/>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payable, including conversion premiums, converted into Series B Preferred stock</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17,335,400</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Description of 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VistaGen Therapeutics, Inc., a Nevada corporation, is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1"/>
          <w:szCs w:val="11"/>
          <w:i w:val="1"/>
          <w:iCs w:val="1"/>
          <w:color w:val="auto"/>
        </w:rPr>
        <w:t>CN</w:t>
      </w:r>
      <w:r>
        <w:rPr>
          <w:rFonts w:ascii="Arial" w:cs="Arial" w:eastAsia="Arial" w:hAnsi="Arial"/>
          <w:sz w:val="11"/>
          <w:szCs w:val="11"/>
          <w:color w:val="auto"/>
        </w:rPr>
        <w:t xml:space="preserve">S), as well as cancer. Our principal executive offices are located at 343 Allerton Avenue, South San Francisco, California 94080, and our telephone number is (650) 577-3600. Our website address is </w:t>
      </w:r>
      <w:r>
        <w:rPr>
          <w:rFonts w:ascii="Arial" w:cs="Arial" w:eastAsia="Arial" w:hAnsi="Arial"/>
          <w:sz w:val="11"/>
          <w:szCs w:val="11"/>
          <w:i w:val="1"/>
          <w:iCs w:val="1"/>
          <w:color w:val="auto"/>
        </w:rPr>
        <w:t>www.vistagen.com</w:t>
      </w:r>
      <w:r>
        <w:rPr>
          <w:rFonts w:ascii="Arial" w:cs="Arial" w:eastAsia="Arial" w:hAnsi="Arial"/>
          <w:sz w:val="11"/>
          <w:szCs w:val="11"/>
          <w:color w:val="auto"/>
        </w:rPr>
        <w:t>. Unless the context otherwise requires, the words “</w:t>
      </w:r>
      <w:r>
        <w:rPr>
          <w:rFonts w:ascii="Arial" w:cs="Arial" w:eastAsia="Arial" w:hAnsi="Arial"/>
          <w:sz w:val="11"/>
          <w:szCs w:val="11"/>
          <w:i w:val="1"/>
          <w:iCs w:val="1"/>
          <w:color w:val="auto"/>
        </w:rPr>
        <w:t>VistaGen Therapeutics, Inc.</w:t>
      </w:r>
      <w:r>
        <w:rPr>
          <w:rFonts w:ascii="Arial" w:cs="Arial" w:eastAsia="Arial" w:hAnsi="Arial"/>
          <w:sz w:val="11"/>
          <w:szCs w:val="11"/>
          <w:color w:val="auto"/>
        </w:rPr>
        <w:t>” “</w:t>
      </w:r>
      <w:r>
        <w:rPr>
          <w:rFonts w:ascii="Arial" w:cs="Arial" w:eastAsia="Arial" w:hAnsi="Arial"/>
          <w:sz w:val="11"/>
          <w:szCs w:val="11"/>
          <w:i w:val="1"/>
          <w:iCs w:val="1"/>
          <w:color w:val="auto"/>
        </w:rPr>
        <w:t>VistaGen</w:t>
      </w:r>
      <w:r>
        <w:rPr>
          <w:rFonts w:ascii="Arial" w:cs="Arial" w:eastAsia="Arial" w:hAnsi="Arial"/>
          <w:sz w:val="11"/>
          <w:szCs w:val="11"/>
          <w:color w:val="auto"/>
        </w:rPr>
        <w:t>,” “</w:t>
      </w:r>
      <w:r>
        <w:rPr>
          <w:rFonts w:ascii="Arial" w:cs="Arial" w:eastAsia="Arial" w:hAnsi="Arial"/>
          <w:sz w:val="11"/>
          <w:szCs w:val="11"/>
          <w:i w:val="1"/>
          <w:iCs w:val="1"/>
          <w:color w:val="auto"/>
        </w:rPr>
        <w:t>we</w:t>
      </w:r>
      <w:r>
        <w:rPr>
          <w:rFonts w:ascii="Arial" w:cs="Arial" w:eastAsia="Arial" w:hAnsi="Arial"/>
          <w:sz w:val="11"/>
          <w:szCs w:val="11"/>
          <w:color w:val="auto"/>
        </w:rPr>
        <w:t>,” “</w:t>
      </w:r>
      <w:r>
        <w:rPr>
          <w:rFonts w:ascii="Arial" w:cs="Arial" w:eastAsia="Arial" w:hAnsi="Arial"/>
          <w:sz w:val="11"/>
          <w:szCs w:val="11"/>
          <w:i w:val="1"/>
          <w:iCs w:val="1"/>
          <w:color w:val="auto"/>
        </w:rPr>
        <w:t>the Company</w:t>
      </w:r>
      <w:r>
        <w:rPr>
          <w:rFonts w:ascii="Arial" w:cs="Arial" w:eastAsia="Arial" w:hAnsi="Arial"/>
          <w:sz w:val="11"/>
          <w:szCs w:val="11"/>
          <w:color w:val="auto"/>
        </w:rPr>
        <w:t>,” “</w:t>
      </w:r>
      <w:r>
        <w:rPr>
          <w:rFonts w:ascii="Arial" w:cs="Arial" w:eastAsia="Arial" w:hAnsi="Arial"/>
          <w:sz w:val="11"/>
          <w:szCs w:val="11"/>
          <w:i w:val="1"/>
          <w:iCs w:val="1"/>
          <w:color w:val="auto"/>
        </w:rPr>
        <w:t>us</w:t>
      </w:r>
      <w:r>
        <w:rPr>
          <w:rFonts w:ascii="Arial" w:cs="Arial" w:eastAsia="Arial" w:hAnsi="Arial"/>
          <w:sz w:val="11"/>
          <w:szCs w:val="11"/>
          <w:color w:val="auto"/>
        </w:rPr>
        <w:t>” and “</w:t>
      </w:r>
      <w:r>
        <w:rPr>
          <w:rFonts w:ascii="Arial" w:cs="Arial" w:eastAsia="Arial" w:hAnsi="Arial"/>
          <w:sz w:val="11"/>
          <w:szCs w:val="11"/>
          <w:i w:val="1"/>
          <w:iCs w:val="1"/>
          <w:color w:val="auto"/>
        </w:rPr>
        <w:t>our</w:t>
      </w:r>
      <w:r>
        <w:rPr>
          <w:rFonts w:ascii="Arial" w:cs="Arial" w:eastAsia="Arial" w:hAnsi="Arial"/>
          <w:sz w:val="11"/>
          <w:szCs w:val="11"/>
          <w:color w:val="auto"/>
        </w:rPr>
        <w:t>” refer to VistaGen Therapeutics, Inc., a Nevada corporation.</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VistaGen Therapeutics, Inc., a California corporation incorporated on May 26, 1998 (</w:t>
      </w:r>
      <w:r>
        <w:rPr>
          <w:rFonts w:ascii="Arial" w:cs="Arial" w:eastAsia="Arial" w:hAnsi="Arial"/>
          <w:sz w:val="11"/>
          <w:szCs w:val="11"/>
          <w:i w:val="1"/>
          <w:iCs w:val="1"/>
          <w:color w:val="auto"/>
        </w:rPr>
        <w:t>VistaGen California</w:t>
      </w:r>
      <w:r>
        <w:rPr>
          <w:rFonts w:ascii="Arial" w:cs="Arial" w:eastAsia="Arial" w:hAnsi="Arial"/>
          <w:sz w:val="11"/>
          <w:szCs w:val="11"/>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1"/>
          <w:szCs w:val="11"/>
          <w:i w:val="1"/>
          <w:iCs w:val="1"/>
          <w:color w:val="auto"/>
        </w:rPr>
        <w:t>Merger</w:t>
      </w:r>
      <w:r>
        <w:rPr>
          <w:rFonts w:ascii="Arial" w:cs="Arial" w:eastAsia="Arial" w:hAnsi="Arial"/>
          <w:sz w:val="11"/>
          <w:szCs w:val="11"/>
          <w:color w:val="auto"/>
        </w:rPr>
        <w:t>), and assumed all of VistaGen California’s pre-Merger obligations.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Effective August 14, 2014, we consummated a 1-for-20 reverse split of our authorized, and issued and outstanding shares of common stock (Stock Consolidation). Each reference to shares of common stock or the price per share of common stock in these financial statements is post-Stock Consolidation, and reflects the 1-for-20 adjustment as a result of the Stock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 and Major Depressive Disorder</w:t>
      </w:r>
    </w:p>
    <w:p>
      <w:pPr>
        <w:spacing w:after="0" w:line="15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World Health Organization estimates that 350 million people worldwide are affected by depression. According to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major depression is one of the most common mental disorders in the U.S. In 2012, the NIH estimated 16 million adults aged 18 or older in the U.S. had at least one major depressive episode. This represented 6.9 percent of all U.S. adults. According to the U.S. Centers for Disease Control and Prevention (CDC), one in ten Americans take an antidepressant medication. Unfortunately, approximately two-thirds of depression sufferers do not benefit from the first round treatment of currently approved antidepressant agents, including selective serotonin reuptake inhibitors (SSRIs) and serotonin-norepinephrine reuptake inhibitors (SNRIs). And, even when they do relieve depressive symptoms and induce remission of a major depressive episode, because of their mechanism of action, SSRIs and SNRIs take many weeks to achieve those therapeutic benefits. During the multiple-week lag before onset of therapeutic benefits, risks of side effects, including suicidal thoughts and behaviors, may be considerable. Ultimately, after as many as four treatment cycles involving several different antidepressant medications, approximately two-thirds of patients may find an antidepressant drug or drug combination that induces remission of depressive symptoms. This trial and error period to find an effective antidepressant medication can take many months to more than a year to achieve, with an increasing rate of potentially significant side effect risks with each successive treatment attempt.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32" w:right="199" w:bottom="1440" w:gutter="0" w:footer="0" w:header="0"/>
        </w:sectPr>
      </w:pPr>
    </w:p>
    <w:bookmarkStart w:id="177" w:name="page178"/>
    <w:bookmarkEnd w:id="177"/>
    <w:p>
      <w:pPr>
        <w:jc w:val="both"/>
        <w:ind w:left="8" w:firstLine="432"/>
        <w:spacing w:after="0" w:line="283" w:lineRule="auto"/>
        <w:rPr>
          <w:sz w:val="20"/>
          <w:szCs w:val="20"/>
          <w:color w:val="auto"/>
        </w:rPr>
      </w:pPr>
      <w:r>
        <w:rPr>
          <w:rFonts w:ascii="Arial" w:cs="Arial" w:eastAsia="Arial" w:hAnsi="Arial"/>
          <w:sz w:val="11"/>
          <w:szCs w:val="11"/>
          <w:color w:val="auto"/>
        </w:rPr>
        <w:t>Our lead product candidate, AV-101, is an orally available small molecule prodrug in Phase 2 clinical development for Major Depressive Disorder (</w:t>
      </w:r>
      <w:r>
        <w:rPr>
          <w:rFonts w:ascii="Arial" w:cs="Arial" w:eastAsia="Arial" w:hAnsi="Arial"/>
          <w:sz w:val="11"/>
          <w:szCs w:val="11"/>
          <w:i w:val="1"/>
          <w:iCs w:val="1"/>
          <w:color w:val="auto"/>
        </w:rPr>
        <w:t>MDD</w:t>
      </w:r>
      <w:r>
        <w:rPr>
          <w:rFonts w:ascii="Arial" w:cs="Arial" w:eastAsia="Arial" w:hAnsi="Arial"/>
          <w:sz w:val="11"/>
          <w:szCs w:val="11"/>
          <w:color w:val="auto"/>
        </w:rPr>
        <w:t>). AV-101’s mechanism of action (</w:t>
      </w:r>
      <w:r>
        <w:rPr>
          <w:rFonts w:ascii="Arial" w:cs="Arial" w:eastAsia="Arial" w:hAnsi="Arial"/>
          <w:sz w:val="11"/>
          <w:szCs w:val="11"/>
          <w:i w:val="1"/>
          <w:iCs w:val="1"/>
          <w:color w:val="auto"/>
        </w:rPr>
        <w:t>MOA</w:t>
      </w:r>
      <w:r>
        <w:rPr>
          <w:rFonts w:ascii="Arial" w:cs="Arial" w:eastAsia="Arial" w:hAnsi="Arial"/>
          <w:sz w:val="11"/>
          <w:szCs w:val="11"/>
          <w:color w:val="auto"/>
        </w:rPr>
        <w:t>), as an N-methyl-D-aspartate receptor (</w:t>
      </w:r>
      <w:r>
        <w:rPr>
          <w:rFonts w:ascii="Arial" w:cs="Arial" w:eastAsia="Arial" w:hAnsi="Arial"/>
          <w:sz w:val="11"/>
          <w:szCs w:val="11"/>
          <w:i w:val="1"/>
          <w:iCs w:val="1"/>
          <w:color w:val="auto"/>
        </w:rPr>
        <w:t>NMDAR</w:t>
      </w:r>
      <w:r>
        <w:rPr>
          <w:rFonts w:ascii="Arial" w:cs="Arial" w:eastAsia="Arial" w:hAnsi="Arial"/>
          <w:sz w:val="11"/>
          <w:szCs w:val="11"/>
          <w:color w:val="auto"/>
        </w:rPr>
        <w:t>) antagonist binding selectively at the glycine-binding (</w:t>
      </w:r>
      <w:r>
        <w:rPr>
          <w:rFonts w:ascii="Arial" w:cs="Arial" w:eastAsia="Arial" w:hAnsi="Arial"/>
          <w:sz w:val="11"/>
          <w:szCs w:val="11"/>
          <w:i w:val="1"/>
          <w:iCs w:val="1"/>
          <w:color w:val="auto"/>
        </w:rPr>
        <w:t>GlyB</w:t>
      </w:r>
      <w:r>
        <w:rPr>
          <w:rFonts w:ascii="Arial" w:cs="Arial" w:eastAsia="Arial" w:hAnsi="Arial"/>
          <w:sz w:val="11"/>
          <w:szCs w:val="11"/>
          <w:color w:val="auto"/>
        </w:rPr>
        <w:t>) co-agonist site of the NMDAR, is fundamentally different from all antidepressants approved by the U.S. Food and Drug Administration (</w:t>
      </w:r>
      <w:r>
        <w:rPr>
          <w:rFonts w:ascii="Arial" w:cs="Arial" w:eastAsia="Arial" w:hAnsi="Arial"/>
          <w:sz w:val="11"/>
          <w:szCs w:val="11"/>
          <w:i w:val="1"/>
          <w:iCs w:val="1"/>
          <w:color w:val="auto"/>
        </w:rPr>
        <w:t>FDA</w:t>
      </w:r>
      <w:r>
        <w:rPr>
          <w:rFonts w:ascii="Arial" w:cs="Arial" w:eastAsia="Arial" w:hAnsi="Arial"/>
          <w:sz w:val="11"/>
          <w:szCs w:val="11"/>
          <w:color w:val="auto"/>
        </w:rPr>
        <w:t>). In four preclinical studies utilizing well-validated animal models of depression, AV-101 was shown to induce fast-acting, dose-dependent, persistent and statistically significant antidepressant-like responses, following a single treatment, which were equivalent to responses seen with a control single sub-anesthetic dose of ketamine (an FDA-approved drug sometimes used by clinicians off-label to treat suicidal behavior). In the same preclinical studies, fluoxetine (Prozac) did not induce rapid onset antidepressant-like responses. Preclinical studies also support the hypothesis that AV-101 has the potential to treat several additional CNS disorders, including chronic neuropathic pain, epilepsy and neurodegenerative diseases, such as Parkinson’s disease and Huntington’s disease, where modulation of the NMDAR may have therapeutic benefit.</w:t>
      </w:r>
    </w:p>
    <w:p>
      <w:pPr>
        <w:spacing w:after="0" w:line="11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U.S.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NIH. Under the CRADA, we are collaborating with the NIMH on the initial Phase 2 clinical efficacy study of AV-101 in subjects with treatment-resistant MDD. Pursuant to the CRADA, the study will be conducted at the NIMH and be fully funded by the NIMH. It is contemplated that this clinical study will begin in the second half of 2015 under the direction of Dr. Carlos Zarate, Jr., Chief of the NIMH’s Experimental Therapeutics &amp; Pathophysiology Branch and its Section on Neurobiology and Treatment of Mood and Anxiety Disorders.</w:t>
      </w:r>
    </w:p>
    <w:p>
      <w:pPr>
        <w:spacing w:after="0" w:line="125"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In addition to developing AV-101 for MDD and other CNS indications, we are applying our stem cell technology for drug rescue to identify and develop proprietary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xml:space="preserve">) for our internal drug candidate pipeline and selected regenerative medicine opportunities. Drug rescue involves (1) using our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systems to predict potential heart and liver toxicity of NCEs, (2) leveraging prior investments by pharmaceutical companies and others related to screening large-scale compound libraries, optimizing and testing for efficacy NCEs that were terminated before FDA approval due to heart or liver toxicity and are now available in the public domain, and</w:t>
      </w:r>
    </w:p>
    <w:p>
      <w:pPr>
        <w:jc w:val="both"/>
        <w:ind w:left="8" w:hanging="8"/>
        <w:spacing w:after="0" w:line="281" w:lineRule="auto"/>
        <w:tabs>
          <w:tab w:leader="none" w:pos="188" w:val="left"/>
        </w:tabs>
        <w:numPr>
          <w:ilvl w:val="0"/>
          <w:numId w:val="84"/>
        </w:numPr>
        <w:rPr>
          <w:rFonts w:ascii="Arial" w:cs="Arial" w:eastAsia="Arial" w:hAnsi="Arial"/>
          <w:sz w:val="11"/>
          <w:szCs w:val="11"/>
          <w:color w:val="auto"/>
        </w:rPr>
      </w:pPr>
      <w:r>
        <w:rPr>
          <w:rFonts w:ascii="Arial" w:cs="Arial" w:eastAsia="Arial" w:hAnsi="Arial"/>
          <w:sz w:val="11"/>
          <w:szCs w:val="11"/>
          <w:color w:val="auto"/>
        </w:rPr>
        <w:t xml:space="preserve">applying medicinal chemistry to produce safer proprietary NCEs for our internal development pipeline.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bioassay system uses our human pluripotent stem cell (</w:t>
      </w:r>
      <w:r>
        <w:rPr>
          <w:rFonts w:ascii="Arial" w:cs="Arial" w:eastAsia="Arial" w:hAnsi="Arial"/>
          <w:sz w:val="11"/>
          <w:szCs w:val="11"/>
          <w:i w:val="1"/>
          <w:iCs w:val="1"/>
          <w:color w:val="auto"/>
        </w:rPr>
        <w:t>hPSC</w:t>
      </w:r>
      <w:r>
        <w:rPr>
          <w:rFonts w:ascii="Arial" w:cs="Arial" w:eastAsia="Arial" w:hAnsi="Arial"/>
          <w:sz w:val="11"/>
          <w:szCs w:val="11"/>
          <w:color w:val="auto"/>
        </w:rPr>
        <w:t xml:space="preserve">)-derived cardiomyocytes, or human heart cells.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which is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We use our hPSC-derived hepatocytes, or human liver cells, in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bioassay system to predict potential liver toxicity of NCEs, including potential drug metabolism issues and adverse drug-drug interactions.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NCEs we produce. Our focus in regenerative medicine is on innovative therapeutic opportunities involving blood, cartilage, heart and liver cells.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 Basis of Presentation and Going Concern</w:t>
      </w:r>
    </w:p>
    <w:p>
      <w:pPr>
        <w:spacing w:after="0" w:line="17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The accompanying unaudited Condensed Consolidated Financial Statements have been prepared in accordance with accounting principles generally accepted in the United States (</w:t>
      </w:r>
      <w:r>
        <w:rPr>
          <w:rFonts w:ascii="Arial" w:cs="Arial" w:eastAsia="Arial" w:hAnsi="Arial"/>
          <w:sz w:val="11"/>
          <w:szCs w:val="11"/>
          <w:i w:val="1"/>
          <w:iCs w:val="1"/>
          <w:color w:val="auto"/>
        </w:rPr>
        <w:t>U.S. GAAP</w:t>
      </w:r>
      <w:r>
        <w:rPr>
          <w:rFonts w:ascii="Arial" w:cs="Arial" w:eastAsia="Arial" w:hAnsi="Arial"/>
          <w:sz w:val="11"/>
          <w:szCs w:val="11"/>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2015 has been derived from our audited consolidated financial statements at that date but does not include all disclosures required by U.S. GAAP. The operating results for the three months ended June 30, 2015 are not necessarily indicative of the operating results to be expected for our fiscal year ending March 31, 2016 or for any other interim period or any other future period.</w:t>
      </w:r>
    </w:p>
    <w:p>
      <w:pPr>
        <w:spacing w:after="0" w:line="111"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accompanying unaudited Condensed Consolidated Financial Statements and notes to Condensed Consolidated Financial Statements should be read in conjunction with our audited Consolidated Financial Statements for the fiscal year ended March 31, 2015 contained in our Annual Report on Form 10-K, as filed with the Securities and Exchange Commission (</w:t>
      </w:r>
      <w:r>
        <w:rPr>
          <w:rFonts w:ascii="Arial" w:cs="Arial" w:eastAsia="Arial" w:hAnsi="Arial"/>
          <w:sz w:val="12"/>
          <w:szCs w:val="12"/>
          <w:i w:val="1"/>
          <w:iCs w:val="1"/>
          <w:color w:val="auto"/>
        </w:rPr>
        <w:t>SEC</w:t>
      </w:r>
      <w:r>
        <w:rPr>
          <w:rFonts w:ascii="Arial" w:cs="Arial" w:eastAsia="Arial" w:hAnsi="Arial"/>
          <w:sz w:val="12"/>
          <w:szCs w:val="12"/>
          <w:color w:val="auto"/>
        </w:rPr>
        <w:t>) on June 29, 2015.</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78" w:name="page179"/>
    <w:bookmarkEnd w:id="178"/>
    <w:p>
      <w:pPr>
        <w:jc w:val="both"/>
        <w:ind w:firstLine="432"/>
        <w:spacing w:after="0" w:line="263" w:lineRule="auto"/>
        <w:rPr>
          <w:sz w:val="20"/>
          <w:szCs w:val="20"/>
          <w:color w:val="auto"/>
        </w:rPr>
      </w:pPr>
      <w:r>
        <w:rPr>
          <w:rFonts w:ascii="Arial" w:cs="Arial" w:eastAsia="Arial" w:hAnsi="Arial"/>
          <w:sz w:val="12"/>
          <w:szCs w:val="12"/>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$114.0 million accumulated from inception through June 30, 2015. We expect losses and negative cash flows from operations to continue for the foreseeable future as we engage in further potential development of AV-101, other potential programs involving drug development, drug rescue drug discovery and regenerative medicine.</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Since our inception in May 1998 through June 30, 2015, we have financed our operations through (1) the issuance and sale of our common stock, preferred stock, warrants for common stock, and promissory notes for aggregate cash proceeds of approximately $30.0.million; (2) issuance of common stock and preferred stock with an approximate value at issuance of $25.2 million as consideration for, among other things, technology license payments, sponsored research, contract research, development, manufacturing and regulatory services, and legal, corporate development and financial advisory services; and (3) receipt of aggregate non-dilutive cash proceeds of approximately $16.4 million from government research and development grant awards and strategic collaborations.</w:t>
      </w:r>
    </w:p>
    <w:p>
      <w:pPr>
        <w:spacing w:after="0" w:line="14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 xml:space="preserve">As described more completely in Note 7, </w:t>
      </w:r>
      <w:r>
        <w:rPr>
          <w:rFonts w:ascii="Arial" w:cs="Arial" w:eastAsia="Arial" w:hAnsi="Arial"/>
          <w:sz w:val="10"/>
          <w:szCs w:val="10"/>
          <w:i w:val="1"/>
          <w:iCs w:val="1"/>
          <w:color w:val="auto"/>
        </w:rPr>
        <w:t>Convertible Promissory Notes and other Notes Payable</w:t>
      </w:r>
      <w:r>
        <w:rPr>
          <w:rFonts w:ascii="Arial" w:cs="Arial" w:eastAsia="Arial" w:hAnsi="Arial"/>
          <w:sz w:val="10"/>
          <w:szCs w:val="10"/>
          <w:color w:val="auto"/>
        </w:rPr>
        <w:t xml:space="preserve">, and Note 8, </w:t>
      </w:r>
      <w:r>
        <w:rPr>
          <w:rFonts w:ascii="Arial" w:cs="Arial" w:eastAsia="Arial" w:hAnsi="Arial"/>
          <w:sz w:val="10"/>
          <w:szCs w:val="10"/>
          <w:i w:val="1"/>
          <w:iCs w:val="1"/>
          <w:color w:val="auto"/>
        </w:rPr>
        <w:t>Capital Stock</w:t>
      </w:r>
      <w:r>
        <w:rPr>
          <w:rFonts w:ascii="Arial" w:cs="Arial" w:eastAsia="Arial" w:hAnsi="Arial"/>
          <w:sz w:val="10"/>
          <w:szCs w:val="10"/>
          <w:color w:val="auto"/>
        </w:rPr>
        <w:t>, in May 2015, we created a new class of Series B 10% Convertible Preferred Stock (</w:t>
      </w:r>
      <w:r>
        <w:rPr>
          <w:rFonts w:ascii="Arial" w:cs="Arial" w:eastAsia="Arial" w:hAnsi="Arial"/>
          <w:sz w:val="10"/>
          <w:szCs w:val="10"/>
          <w:i w:val="1"/>
          <w:iCs w:val="1"/>
          <w:color w:val="auto"/>
        </w:rPr>
        <w:t>Series B Preferred</w:t>
      </w:r>
      <w:r>
        <w:rPr>
          <w:rFonts w:ascii="Arial" w:cs="Arial" w:eastAsia="Arial" w:hAnsi="Arial"/>
          <w:sz w:val="10"/>
          <w:szCs w:val="10"/>
          <w:color w:val="auto"/>
        </w:rPr>
        <w:t>). Between March 31, 2015 and June 30, 2015, we extinguished the outstanding balances of approximately $15.4 million of promissory notes, other debt obligations and certain adjustments thereto that were either already due and payable or would have otherwise matured prior to March 31, 2016, through conversion into our Series B Preferred and, with respect to a portion of the indebtedness converted, warrants to purchase common stock. More specifically, we have converted the outstanding balances of (i) all Senior Secured Convertible Promissory Notes originally issued to Platinum Long Term Growth VII, LLC (</w:t>
      </w:r>
      <w:r>
        <w:rPr>
          <w:rFonts w:ascii="Arial" w:cs="Arial" w:eastAsia="Arial" w:hAnsi="Arial"/>
          <w:sz w:val="10"/>
          <w:szCs w:val="10"/>
          <w:i w:val="1"/>
          <w:iCs w:val="1"/>
          <w:color w:val="auto"/>
        </w:rPr>
        <w:t>Platinum</w:t>
      </w:r>
      <w:r>
        <w:rPr>
          <w:rFonts w:ascii="Arial" w:cs="Arial" w:eastAsia="Arial" w:hAnsi="Arial"/>
          <w:sz w:val="10"/>
          <w:szCs w:val="10"/>
          <w:color w:val="auto"/>
        </w:rPr>
        <w:t xml:space="preserve">), (ii) all 2014 Unit Notes outstanding at March 31, 2015 and those issued subsequently, and (iii) other outstanding promissory notes including those issued to Cato Research Ltd., Cato Holding Company, Morrison &amp; Foerster (Note B), University Health Network and others, through the issuance of an aggregate of 2,363,789 shares of our Series B Preferred. Additionally, through June 30, 2015, we sold in self-placed private placement transactions with Platinum and other accredited investors, Series B Preferred Units consisting of an aggregate of 86,790 unregistered shares of Series B Preferred and five year warrants exercisable at $7.00 per share to purchase 86,790 shares of our common stock and we received cash proceeds of $607,500 therefrom. See Note 10, </w:t>
      </w:r>
      <w:r>
        <w:rPr>
          <w:rFonts w:ascii="Arial" w:cs="Arial" w:eastAsia="Arial" w:hAnsi="Arial"/>
          <w:sz w:val="10"/>
          <w:szCs w:val="10"/>
          <w:i w:val="1"/>
          <w:iCs w:val="1"/>
          <w:color w:val="auto"/>
        </w:rPr>
        <w:t>Subsequent Events</w:t>
      </w:r>
      <w:r>
        <w:rPr>
          <w:rFonts w:ascii="Arial" w:cs="Arial" w:eastAsia="Arial" w:hAnsi="Arial"/>
          <w:sz w:val="10"/>
          <w:szCs w:val="10"/>
          <w:color w:val="auto"/>
        </w:rPr>
        <w:t>, regarding disclosure of the conversion of the outstanding balance of additional promissory notes into Series B Preferred and self-placed private placement sales of additional Series B Preferred Units after June 30, 2015.</w:t>
      </w:r>
    </w:p>
    <w:p>
      <w:pPr>
        <w:spacing w:after="0" w:line="11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At June 30, 2015, we did not have sufficient cash and cash equivalents to enable us to fund our planned operations over the next twelve months, including expected cash expenditures of approximately $6.0 million. We believe that our participation in potential strategic collaborations, including potential transactions involving AV-101 such as our February 2015 CRADA with the NIH for an NIH-funded and sponsored Phase 2 study of AV-101 in MDD, may provide resources to support a portion of our future cash needs and working capital requirements, however, no assurances can be provided. When and as necessary, we have and will continue to seek to raise sufficient financing through issuance and sale of our securities, which may include both debt and equity securities, research and development collaborations, technology and drug candidate license fees, and government grant awards and collaboration revenues. Our future working capital requirements will depend on many factors, including, without limitation, the scope and nature of strategic opportunities related to our success and the success of certain other companies in clinical trials, including our future development ofAV-101 as a treatment for MDD and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and regenerative medicine applications of our stem cell technology, as well as support our operating activities, we plan to continue to carefully manage our routine operating costs, including salaries and benefits, regulatory consulting, contract research and development, legal, accounting, public company compliance and other professional services and working capital costs.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79" w:name="page180"/>
    <w:bookmarkEnd w:id="179"/>
    <w:p>
      <w:pPr>
        <w:jc w:val="both"/>
        <w:ind w:firstLine="432"/>
        <w:spacing w:after="0" w:line="298" w:lineRule="auto"/>
        <w:rPr>
          <w:sz w:val="20"/>
          <w:szCs w:val="20"/>
          <w:color w:val="auto"/>
        </w:rPr>
      </w:pPr>
      <w:r>
        <w:rPr>
          <w:rFonts w:ascii="Arial" w:cs="Arial" w:eastAsia="Arial" w:hAnsi="Arial"/>
          <w:sz w:val="11"/>
          <w:szCs w:val="11"/>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 accompanying Condensed Consolidated Financial Statements do not include any adjustments that might result from the outcome of this uncertainty.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Although we do not currently have any such arrangements, we have historically generated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620" w:hanging="286"/>
        <w:spacing w:after="0" w:line="281" w:lineRule="auto"/>
        <w:tabs>
          <w:tab w:leader="none" w:pos="620" w:val="left"/>
        </w:tabs>
        <w:numPr>
          <w:ilvl w:val="0"/>
          <w:numId w:val="85"/>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620" w:hanging="286"/>
        <w:spacing w:after="0" w:line="263" w:lineRule="auto"/>
        <w:tabs>
          <w:tab w:leader="none" w:pos="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80" w:name="page181"/>
    <w:bookmarkEnd w:id="180"/>
    <w:p>
      <w:pPr>
        <w:ind w:left="620" w:hanging="286"/>
        <w:spacing w:after="0" w:line="276" w:lineRule="auto"/>
        <w:tabs>
          <w:tab w:leader="none" w:pos="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Government grants, which have supported our research efforts on specific projects, generally provide for reimbursement of approved costs as defined in the terms of grant awards. Grant revenue is recognized when associated project costs are incurred.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Expenses</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recognize compensation cost for all stock-based awards to employees based on the grant date fair value of the award. Non-cash, stock-based compensation expense is recognized over the period during which the employee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table below summarizes stock-based compensation expense included in the accompanying Condensed Consolidated Statements of Operations and Comprehensive Loss for the three months ended June 30, 2015 and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2"/>
                <w:szCs w:val="12"/>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r>
      <w:tr>
        <w:trPr>
          <w:trHeight w:val="286"/>
        </w:trPr>
        <w:tc>
          <w:tcPr>
            <w:tcW w:w="884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15,500</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61,500</w:t>
            </w: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Warrants granted to officer in March 2014</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36,300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18,300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97,800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General and administrative expense: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60"/>
              <w:spacing w:after="0"/>
              <w:rPr>
                <w:sz w:val="20"/>
                <w:szCs w:val="20"/>
                <w:color w:val="auto"/>
              </w:rPr>
            </w:pPr>
            <w:r>
              <w:rPr>
                <w:rFonts w:ascii="Arial" w:cs="Arial" w:eastAsia="Arial" w:hAnsi="Arial"/>
                <w:sz w:val="12"/>
                <w:szCs w:val="12"/>
                <w:color w:val="auto"/>
              </w:rPr>
              <w:t>Stock option grants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7,000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34,800</w:t>
            </w: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officers and directors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400"/>
              <w:spacing w:after="0"/>
              <w:rPr>
                <w:sz w:val="20"/>
                <w:szCs w:val="20"/>
                <w:color w:val="auto"/>
              </w:rPr>
            </w:pPr>
            <w:r>
              <w:rPr>
                <w:rFonts w:ascii="Arial" w:cs="Arial" w:eastAsia="Arial" w:hAnsi="Arial"/>
                <w:sz w:val="12"/>
                <w:szCs w:val="12"/>
                <w:color w:val="auto"/>
              </w:rPr>
              <w:t>in March 2014</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70,800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10,900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105,600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Total stock-based compensation expense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29,200</w:t>
            </w:r>
          </w:p>
        </w:tc>
        <w:tc>
          <w:tcPr>
            <w:tcW w:w="240" w:type="dxa"/>
            <w:vAlign w:val="bottom"/>
          </w:tcPr>
          <w:p>
            <w:pPr>
              <w:spacing w:after="0"/>
              <w:rPr>
                <w:sz w:val="12"/>
                <w:szCs w:val="12"/>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203,400</w:t>
            </w:r>
          </w:p>
        </w:tc>
      </w:tr>
      <w:tr>
        <w:trPr>
          <w:trHeight w:val="20"/>
        </w:trPr>
        <w:tc>
          <w:tcPr>
            <w:tcW w:w="8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did not grant stock options to any of our employees or consultants during the three months ended June 30, 2015 or 2014. At June 30, 2015, there were stock options outstanding to purchase 206,788 shares of our common stock at a weighted average exercise price of $10.08 per share.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1" w:name="page182"/>
    <w:bookmarkEnd w:id="181"/>
    <w:p>
      <w:pPr>
        <w:spacing w:after="0"/>
        <w:rPr>
          <w:sz w:val="20"/>
          <w:szCs w:val="20"/>
          <w:color w:val="auto"/>
        </w:rPr>
      </w:pPr>
      <w:r>
        <w:rPr>
          <w:rFonts w:ascii="Arial" w:cs="Arial" w:eastAsia="Arial" w:hAnsi="Arial"/>
          <w:sz w:val="12"/>
          <w:szCs w:val="12"/>
          <w:b w:val="1"/>
          <w:bCs w:val="1"/>
          <w:color w:val="auto"/>
        </w:rPr>
        <w:t>Warrant Liability</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Between October 2012 and July 2013, we issued to Platinum warrants to purchase a 176,129 unregistered shares of our common stock and, subject to Platinum’s exercise of its rights to exchange shares of our Series A Preferred Stock that it holds, we are obligated to issue to Platinum an additional warrant to purchase 375,000 unregistered shares of common stock (collectively, the “</w:t>
      </w:r>
      <w:r>
        <w:rPr>
          <w:rFonts w:ascii="Arial" w:cs="Arial" w:eastAsia="Arial" w:hAnsi="Arial"/>
          <w:sz w:val="12"/>
          <w:szCs w:val="12"/>
          <w:i w:val="1"/>
          <w:iCs w:val="1"/>
          <w:color w:val="auto"/>
        </w:rPr>
        <w:t>Platinum Warrants”</w:t>
      </w:r>
      <w:r>
        <w:rPr>
          <w:rFonts w:ascii="Arial" w:cs="Arial" w:eastAsia="Arial" w:hAnsi="Arial"/>
          <w:sz w:val="12"/>
          <w:szCs w:val="12"/>
          <w:color w:val="auto"/>
        </w:rPr>
        <w:t>). As originally issued, the Platinum Warrants contained an exercise price adjustment feature that would reduce the exercise price of the warrants and increase the number of shares of our common stock eligible for Platinum’s purchase thereunder in the event we subsequently issued equity instruments at a price lower than the exercise price of the Platinum Warrants. Prior to their amendment in May 2015, as described below, we accounted for the Platinum Warrants as non-cash liabilities and estimated their fair value at the end of each financial reporting period and recorded the change in the fair value as non-cash expense or non-cash income. The key component in determining the fair value of the Platinum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Assuming all other fair value inputs remained generally constant, we generally recorded an increase in the warrant liability and non-cash losses when our stock price increased and a decrease in the warrant liability and non-cash gains when our stock price decreased.</w:t>
      </w:r>
    </w:p>
    <w:p>
      <w:pPr>
        <w:spacing w:after="0" w:line="29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As described more completely in Note 8, </w:t>
      </w:r>
      <w:r>
        <w:rPr>
          <w:rFonts w:ascii="Arial" w:cs="Arial" w:eastAsia="Arial" w:hAnsi="Arial"/>
          <w:sz w:val="12"/>
          <w:szCs w:val="12"/>
          <w:i w:val="1"/>
          <w:iCs w:val="1"/>
          <w:color w:val="auto"/>
        </w:rPr>
        <w:t>Capital Stock</w:t>
      </w:r>
      <w:r>
        <w:rPr>
          <w:rFonts w:ascii="Arial" w:cs="Arial" w:eastAsia="Arial" w:hAnsi="Arial"/>
          <w:sz w:val="12"/>
          <w:szCs w:val="12"/>
          <w:color w:val="auto"/>
        </w:rPr>
        <w:t>, on May 12, 2015, we entered into an agreement with Platinum pursuant to which Platinum agreed, among other things, to amend the Platinum Warrants to fix the exercise price thereof, eliminate the exercise price reset features and fix the number of shares of our common stock issuable thereunder. This agreement and the related modifications to the Platinum Warrants resulted in the complete elimination of the warrant liability with respect to the Platinum Warrants during our fiscal quarter ended June 30, 2015.</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Loss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no components of other comprehensive loss other than net loss, and accordingly our comprehensive loss is equivalent to our net loss for the periods presented.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(Loss) per Common Share</w:t>
      </w:r>
    </w:p>
    <w:p>
      <w:pPr>
        <w:spacing w:after="0" w:line="172" w:lineRule="exact"/>
        <w:rPr>
          <w:sz w:val="20"/>
          <w:szCs w:val="20"/>
          <w:color w:val="auto"/>
        </w:rPr>
      </w:pPr>
    </w:p>
    <w:p>
      <w:pPr>
        <w:jc w:val="both"/>
        <w:ind w:right="20" w:firstLine="432"/>
        <w:spacing w:after="0" w:line="310" w:lineRule="auto"/>
        <w:rPr>
          <w:sz w:val="20"/>
          <w:szCs w:val="20"/>
          <w:color w:val="auto"/>
        </w:rPr>
      </w:pPr>
      <w:r>
        <w:rPr>
          <w:rFonts w:ascii="Arial" w:cs="Arial" w:eastAsia="Arial" w:hAnsi="Arial"/>
          <w:sz w:val="10"/>
          <w:szCs w:val="10"/>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w:t>
      </w:r>
    </w:p>
    <w:p>
      <w:pPr>
        <w:jc w:val="both"/>
        <w:spacing w:after="0" w:line="284" w:lineRule="auto"/>
        <w:rPr>
          <w:sz w:val="20"/>
          <w:szCs w:val="20"/>
          <w:color w:val="auto"/>
        </w:rPr>
      </w:pPr>
      <w:r>
        <w:rPr>
          <w:rFonts w:ascii="Arial" w:cs="Arial" w:eastAsia="Arial" w:hAnsi="Arial"/>
          <w:sz w:val="11"/>
          <w:szCs w:val="11"/>
          <w:color w:val="auto"/>
        </w:rPr>
        <w:t>(loss)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did not have an impact on the numerator in the quarter ending June 30, 2015 or 2014. As a result of our net loss for the periods presented, potentially dilutive securities were excluded from the computation, as their effect would be antidilutive. For the quarter ended June 30, 2015, the accrual for dividends on our Series B Preferred and the deemed dividend attributable to the issuance of our Series B Preferred Units represent deductions from our net loss to arrive at net loss attributable to common stockholders.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82" w:name="page183"/>
    <w:bookmarkEnd w:id="182"/>
    <w:tbl>
      <w:tblPr>
        <w:tblLayout w:type="fixed"/>
        <w:tblInd w:w="8" w:type="dxa"/>
        <w:tblCellMar>
          <w:top w:w="0" w:type="dxa"/>
          <w:left w:w="0" w:type="dxa"/>
          <w:bottom w:w="0" w:type="dxa"/>
          <w:right w:w="0" w:type="dxa"/>
        </w:tblCellMar>
      </w:tblP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Potentially dilutive securities excluded in determining diluted net loss per common share are as follows: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rPr>
              <w:t>As of 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B Preferred stock issued and outstanding </w:t>
            </w:r>
            <w:r>
              <w:rPr>
                <w:rFonts w:ascii="Arial" w:cs="Arial" w:eastAsia="Arial" w:hAnsi="Arial"/>
                <w:sz w:val="16"/>
                <w:szCs w:val="16"/>
                <w:color w:val="auto"/>
                <w:vertAlign w:val="superscript"/>
              </w:rPr>
              <w:t>(2)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2,995,579</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Warrant shares issuable to Platinum upon exercise of common stock warrants by Platinum</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upon exchange of Series A Preferred under the terms of the October 11, 2012 Note</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Exchange and Purchase Agreement, as subsequently amended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535,715</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206,788</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211,368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3,735,023</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949,075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10% Senior Secured Convertible Notes issued to Platinum between October 2012 and</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July 2013, including accrued interest through June 30, 2014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411,810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 convertible notes issued as a component of Unit Private Placements, including</w:t>
            </w: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interest through June 30, 2014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258,473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8,223,105</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2,955,726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700" w:type="dxa"/>
            <w:vAlign w:val="bottom"/>
            <w:tcBorders>
              <w:top w:val="single" w:sz="8" w:color="CCEEFF"/>
            </w:tcBorders>
          </w:tcPr>
          <w:p>
            <w:pPr>
              <w:spacing w:after="0" w:line="118" w:lineRule="exact"/>
              <w:rPr>
                <w:sz w:val="20"/>
                <w:szCs w:val="20"/>
                <w:color w:val="auto"/>
              </w:rPr>
            </w:pPr>
            <w:r>
              <w:rPr>
                <w:rFonts w:ascii="Arial" w:cs="Arial" w:eastAsia="Arial" w:hAnsi="Arial"/>
                <w:sz w:val="12"/>
                <w:szCs w:val="12"/>
                <w:color w:val="auto"/>
              </w:rPr>
              <w:t>____________</w:t>
            </w: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bl>
    <w:p>
      <w:pPr>
        <w:ind w:left="128" w:hanging="128"/>
        <w:spacing w:after="0" w:line="204" w:lineRule="auto"/>
        <w:tabs>
          <w:tab w:leader="none" w:pos="128" w:val="left"/>
        </w:tabs>
        <w:numPr>
          <w:ilvl w:val="0"/>
          <w:numId w:val="87"/>
        </w:numPr>
        <w:rPr>
          <w:rFonts w:ascii="Arial" w:cs="Arial" w:eastAsia="Arial" w:hAnsi="Arial"/>
          <w:sz w:val="15"/>
          <w:szCs w:val="15"/>
          <w:color w:val="auto"/>
          <w:vertAlign w:val="superscript"/>
        </w:rPr>
      </w:pPr>
      <w:r>
        <w:rPr>
          <w:rFonts w:ascii="Arial" w:cs="Arial" w:eastAsia="Arial" w:hAnsi="Arial"/>
          <w:sz w:val="11"/>
          <w:szCs w:val="11"/>
          <w:color w:val="auto"/>
        </w:rPr>
        <w:t>Assumes exchange under the terms of the October 11, 2012 Note Exchange and Purchase Agreement with Platinum</w:t>
      </w:r>
    </w:p>
    <w:p>
      <w:pPr>
        <w:spacing w:after="0" w:line="1" w:lineRule="exact"/>
        <w:rPr>
          <w:rFonts w:ascii="Arial" w:cs="Arial" w:eastAsia="Arial" w:hAnsi="Arial"/>
          <w:sz w:val="15"/>
          <w:szCs w:val="15"/>
          <w:color w:val="auto"/>
          <w:vertAlign w:val="superscript"/>
        </w:rPr>
      </w:pPr>
    </w:p>
    <w:p>
      <w:pPr>
        <w:ind w:left="128" w:hanging="128"/>
        <w:spacing w:after="0" w:line="198" w:lineRule="auto"/>
        <w:tabs>
          <w:tab w:leader="none" w:pos="128" w:val="left"/>
        </w:tabs>
        <w:numPr>
          <w:ilvl w:val="0"/>
          <w:numId w:val="87"/>
        </w:numPr>
        <w:rPr>
          <w:rFonts w:ascii="Arial" w:cs="Arial" w:eastAsia="Arial" w:hAnsi="Arial"/>
          <w:sz w:val="15"/>
          <w:szCs w:val="15"/>
          <w:color w:val="auto"/>
          <w:vertAlign w:val="superscript"/>
        </w:rPr>
      </w:pPr>
      <w:r>
        <w:rPr>
          <w:rFonts w:ascii="Arial" w:cs="Arial" w:eastAsia="Arial" w:hAnsi="Arial"/>
          <w:sz w:val="11"/>
          <w:szCs w:val="11"/>
          <w:color w:val="auto"/>
        </w:rPr>
        <w:t>Assumes exchange under the terms of the Certificate of Designation of the Relative Rights and Preferences of the Series B 10% Convertible Preferred Stock, effective May 5, 2015</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Accounting Pronouncements</w:t>
      </w:r>
    </w:p>
    <w:p>
      <w:pPr>
        <w:spacing w:after="0" w:line="172"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In May 2014, the Financial Accounting Standards Board (</w:t>
      </w:r>
      <w:r>
        <w:rPr>
          <w:rFonts w:ascii="Arial" w:cs="Arial" w:eastAsia="Arial" w:hAnsi="Arial"/>
          <w:sz w:val="12"/>
          <w:szCs w:val="12"/>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i w:val="1"/>
          <w:iCs w:val="1"/>
          <w:color w:val="auto"/>
        </w:rPr>
        <w:t>ASU</w:t>
      </w:r>
      <w:r>
        <w:rPr>
          <w:rFonts w:ascii="Arial" w:cs="Arial" w:eastAsia="Arial" w:hAnsi="Arial"/>
          <w:sz w:val="12"/>
          <w:szCs w:val="12"/>
          <w:color w:val="auto"/>
        </w:rPr>
        <w:t xml:space="preserve">)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supersedes the revenue recognition requirements in ASC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The amendment in this ASU provides 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131" w:lineRule="exact"/>
        <w:rPr>
          <w:sz w:val="20"/>
          <w:szCs w:val="20"/>
          <w:color w:val="auto"/>
        </w:rPr>
      </w:pPr>
    </w:p>
    <w:p>
      <w:pPr>
        <w:jc w:val="both"/>
        <w:ind w:left="8" w:firstLine="432"/>
        <w:spacing w:after="0" w:line="278" w:lineRule="auto"/>
        <w:rPr>
          <w:sz w:val="20"/>
          <w:szCs w:val="20"/>
          <w:color w:val="auto"/>
        </w:rPr>
      </w:pPr>
      <w:r>
        <w:rPr>
          <w:rFonts w:ascii="Arial" w:cs="Arial" w:eastAsia="Arial" w:hAnsi="Arial"/>
          <w:sz w:val="11"/>
          <w:szCs w:val="11"/>
          <w:color w:val="auto"/>
        </w:rPr>
        <w:t xml:space="preserve">In August 2014, the FASB issued ASU No. 2014-15, </w:t>
      </w:r>
      <w:r>
        <w:rPr>
          <w:rFonts w:ascii="Arial" w:cs="Arial" w:eastAsia="Arial" w:hAnsi="Arial"/>
          <w:sz w:val="11"/>
          <w:szCs w:val="11"/>
          <w:i w:val="1"/>
          <w:iCs w:val="1"/>
          <w:color w:val="auto"/>
        </w:rPr>
        <w:t>Presentation of Financial Statements—Going Concern (Subtopic 205-40): Disclosure of Uncertainties about an Entity’s Ability to Continue as a Going Concern.</w:t>
      </w:r>
      <w:r>
        <w:rPr>
          <w:rFonts w:ascii="Arial" w:cs="Arial" w:eastAsia="Arial" w:hAnsi="Arial"/>
          <w:sz w:val="11"/>
          <w:szCs w:val="11"/>
          <w:color w:val="auto"/>
        </w:rPr>
        <w:t xml:space="preserve"> The amendments in this ASU define when and how an entity is required to disclose going concern uncertainties, which must be evaluated each interim and annual period. Specifically, 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1"/>
          <w:szCs w:val="11"/>
          <w:i w:val="1"/>
          <w:iCs w:val="1"/>
          <w:color w:val="auto"/>
        </w:rPr>
        <w:t>Contingencies</w:t>
      </w:r>
      <w:r>
        <w:rPr>
          <w:rFonts w:ascii="Arial" w:cs="Arial" w:eastAsia="Arial" w:hAnsi="Arial"/>
          <w:sz w:val="11"/>
          <w:szCs w:val="11"/>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as we have indicated in Note 2, </w:t>
      </w:r>
      <w:r>
        <w:rPr>
          <w:rFonts w:ascii="Arial" w:cs="Arial" w:eastAsia="Arial" w:hAnsi="Arial"/>
          <w:sz w:val="11"/>
          <w:szCs w:val="11"/>
          <w:i w:val="1"/>
          <w:iCs w:val="1"/>
          <w:color w:val="auto"/>
        </w:rPr>
        <w:t>Basis of Presentation and Going Concern</w:t>
      </w:r>
      <w:r>
        <w:rPr>
          <w:rFonts w:ascii="Arial" w:cs="Arial" w:eastAsia="Arial" w:hAnsi="Arial"/>
          <w:sz w:val="11"/>
          <w:szCs w:val="11"/>
          <w:color w:val="auto"/>
        </w:rPr>
        <w:t>, we have taken numerous steps that have resulted in the elimination and extinguishment of a substantial portion of our indebtedness and to raise sufficient financing to permit us to continue our operations.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200" w:lineRule="exact"/>
        <w:rPr>
          <w:sz w:val="20"/>
          <w:szCs w:val="20"/>
          <w:color w:val="auto"/>
        </w:rPr>
      </w:pPr>
    </w:p>
    <w:p>
      <w:pPr>
        <w:spacing w:after="0" w:line="3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83" w:name="page184"/>
    <w:bookmarkEnd w:id="183"/>
    <w:p>
      <w:pPr>
        <w:ind w:left="420"/>
        <w:spacing w:after="0"/>
        <w:rPr>
          <w:sz w:val="20"/>
          <w:szCs w:val="20"/>
          <w:color w:val="auto"/>
        </w:rPr>
      </w:pPr>
      <w:r>
        <w:rPr>
          <w:rFonts w:ascii="Arial" w:cs="Arial" w:eastAsia="Arial" w:hAnsi="Arial"/>
          <w:sz w:val="12"/>
          <w:szCs w:val="12"/>
          <w:b w:val="1"/>
          <w:bCs w:val="1"/>
          <w:color w:val="auto"/>
        </w:rPr>
        <w:t>Note 4. Fair Value Measurements</w:t>
      </w:r>
    </w:p>
    <w:p>
      <w:pPr>
        <w:spacing w:after="0" w:line="17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and classify fair value into three broad levels is described as follows:</w:t>
      </w:r>
    </w:p>
    <w:p>
      <w:pPr>
        <w:spacing w:after="0" w:line="112" w:lineRule="exact"/>
        <w:rPr>
          <w:sz w:val="20"/>
          <w:szCs w:val="20"/>
          <w:color w:val="auto"/>
        </w:rPr>
      </w:pPr>
    </w:p>
    <w:p>
      <w:pPr>
        <w:ind w:left="620" w:hanging="286"/>
        <w:spacing w:after="0"/>
        <w:tabs>
          <w:tab w:leader="none" w:pos="620" w:val="left"/>
        </w:tabs>
        <w:numPr>
          <w:ilvl w:val="0"/>
          <w:numId w:val="88"/>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identical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620" w:right="20" w:hanging="286"/>
        <w:spacing w:after="0" w:line="276" w:lineRule="auto"/>
        <w:tabs>
          <w:tab w:leader="none" w:pos="620" w:val="left"/>
        </w:tabs>
        <w:numPr>
          <w:ilvl w:val="0"/>
          <w:numId w:val="88"/>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 can be</w:t>
      </w:r>
      <w:r>
        <w:rPr>
          <w:rFonts w:ascii="Arial" w:cs="Arial" w:eastAsia="Arial" w:hAnsi="Arial"/>
          <w:sz w:val="12"/>
          <w:szCs w:val="12"/>
          <w:i w:val="1"/>
          <w:iCs w:val="1"/>
          <w:color w:val="auto"/>
        </w:rPr>
        <w:t xml:space="preserve"> </w:t>
      </w:r>
      <w:r>
        <w:rPr>
          <w:rFonts w:ascii="Arial" w:cs="Arial" w:eastAsia="Arial" w:hAnsi="Arial"/>
          <w:sz w:val="12"/>
          <w:szCs w:val="12"/>
          <w:color w:val="auto"/>
        </w:rPr>
        <w:t>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620" w:hanging="286"/>
        <w:spacing w:after="0" w:line="276" w:lineRule="auto"/>
        <w:tabs>
          <w:tab w:leader="none" w:pos="620" w:val="left"/>
        </w:tabs>
        <w:numPr>
          <w:ilvl w:val="0"/>
          <w:numId w:val="88"/>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 little or</w:t>
      </w:r>
      <w:r>
        <w:rPr>
          <w:rFonts w:ascii="Arial" w:cs="Arial" w:eastAsia="Arial" w:hAnsi="Arial"/>
          <w:sz w:val="12"/>
          <w:szCs w:val="12"/>
          <w:i w:val="1"/>
          <w:iCs w:val="1"/>
          <w:color w:val="auto"/>
        </w:rPr>
        <w:t xml:space="preserve"> </w:t>
      </w:r>
      <w:r>
        <w:rPr>
          <w:rFonts w:ascii="Arial" w:cs="Arial" w:eastAsia="Arial" w:hAnsi="Arial"/>
          <w:sz w:val="12"/>
          <w:szCs w:val="12"/>
          <w:color w:val="auto"/>
        </w:rPr>
        <w:t>no market data is available. The fair value hierarchy gives the lowest priority to Level 3 inputs.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We do not use derivative instruments for hedging of market risks or for trading or speculative purposes. In conjunction with the issuance of the Senior Secured Convertible Promissory Notes and Platinum Warrants to Platinum between October 2012 and July 2013, and the potential issuance of the Series A Exchange Warrant pursuant to Platinum’s exchange of the Series A Preferred stock that it holds into shares of our common stock, we determined that the Platinum Warrants included certain exercise price adjustment features that required the warrants to be treated as non-cash liabilities and recorded at their estimated fair value. Prior to their amendment in May 2015, as described below, we determined the initial fair value and subsequent fair value measurements of the warrant liability using a Monte Carlo simulation model with Level 3 inputs or the Black-Scholes Option Pricing model. Inputs used to determine fair value included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Exchange Warrant, the probability of Platinum’s exchange of the shares of Series A preferred stock it holds into shares of common stock. As described more completely in Note 8, </w:t>
      </w:r>
      <w:r>
        <w:rPr>
          <w:rFonts w:ascii="Arial" w:cs="Arial" w:eastAsia="Arial" w:hAnsi="Arial"/>
          <w:sz w:val="11"/>
          <w:szCs w:val="11"/>
          <w:i w:val="1"/>
          <w:iCs w:val="1"/>
          <w:color w:val="auto"/>
        </w:rPr>
        <w:t>Capital Stock</w:t>
      </w:r>
      <w:r>
        <w:rPr>
          <w:rFonts w:ascii="Arial" w:cs="Arial" w:eastAsia="Arial" w:hAnsi="Arial"/>
          <w:sz w:val="11"/>
          <w:szCs w:val="11"/>
          <w:color w:val="auto"/>
        </w:rPr>
        <w:t>, on May 12, 2015, we entered into an agreement with Platinum pursuant to which we amended the Platinum Warrants to fix the exercise price thereof and eliminate the anti-dilution reset features that had previously required the Platinum Warrants to be treated as liabilities and carried at fair value. As a result of the agreement with Platinum, at May 12, 2015, we adjusted the Platinum Warrants to their fair value, estimated to be $4,903,200, reflecting an increase of $1,894,700 since March 31, 2015, which was recorded as a non-cash charge to other expense, net in the accompanying Condensed Consolidated Statements of Operations and Comprehensive Loss, and subsequently eliminated the warrant liability with respect to the Platinum Warrants, with a corresponding credit to Additional Paid-in Capital.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84" w:name="page185"/>
    <w:bookmarkEnd w:id="184"/>
    <w:p>
      <w:pPr>
        <w:ind w:left="420"/>
        <w:spacing w:after="0"/>
        <w:rPr>
          <w:sz w:val="20"/>
          <w:szCs w:val="20"/>
          <w:color w:val="auto"/>
        </w:rPr>
      </w:pPr>
      <w:r>
        <w:rPr>
          <w:rFonts w:ascii="Arial" w:cs="Arial" w:eastAsia="Arial" w:hAnsi="Arial"/>
          <w:sz w:val="12"/>
          <w:szCs w:val="12"/>
          <w:color w:val="auto"/>
        </w:rPr>
        <w:t>The fair value hierarchy for the warrant liability which had been measured at fair value on a recurring basis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0" w:type="dxa"/>
            <w:vAlign w:val="bottom"/>
            <w:gridSpan w:val="8"/>
          </w:tcPr>
          <w:p>
            <w:pPr>
              <w:jc w:val="right"/>
              <w:ind w:right="760"/>
              <w:spacing w:after="0"/>
              <w:rPr>
                <w:sz w:val="20"/>
                <w:szCs w:val="20"/>
                <w:color w:val="auto"/>
              </w:rPr>
            </w:pPr>
            <w:r>
              <w:rPr>
                <w:rFonts w:ascii="Arial" w:cs="Arial" w:eastAsia="Arial" w:hAnsi="Arial"/>
                <w:sz w:val="12"/>
                <w:szCs w:val="12"/>
                <w:b w:val="1"/>
                <w:bCs w:val="1"/>
                <w:color w:val="auto"/>
              </w:rPr>
              <w:t>Fair Value Measurements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Quoted Prices in</w:t>
            </w: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2"/>
                <w:szCs w:val="12"/>
                <w:b w:val="1"/>
                <w:bCs w:val="1"/>
                <w:color w:val="auto"/>
                <w:w w:val="91"/>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2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Active Markets for</w:t>
            </w:r>
          </w:p>
        </w:tc>
        <w:tc>
          <w:tcPr>
            <w:tcW w:w="300" w:type="dxa"/>
            <w:vAlign w:val="bottom"/>
          </w:tcPr>
          <w:p>
            <w:pPr>
              <w:spacing w:after="0"/>
              <w:rPr>
                <w:sz w:val="12"/>
                <w:szCs w:val="12"/>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0"/>
              </w:rPr>
              <w:t>Significant Other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Unobservable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40"/>
              <w:spacing w:after="0"/>
              <w:rPr>
                <w:sz w:val="20"/>
                <w:szCs w:val="20"/>
                <w:color w:val="auto"/>
              </w:rPr>
            </w:pPr>
            <w:r>
              <w:rPr>
                <w:rFonts w:ascii="Arial" w:cs="Arial" w:eastAsia="Arial" w:hAnsi="Arial"/>
                <w:sz w:val="12"/>
                <w:szCs w:val="12"/>
                <w:b w:val="1"/>
                <w:bCs w:val="1"/>
                <w:color w:val="auto"/>
                <w:w w:val="97"/>
              </w:rPr>
              <w:t>Carrying</w:t>
            </w:r>
          </w:p>
        </w:tc>
        <w:tc>
          <w:tcPr>
            <w:tcW w:w="240" w:type="dxa"/>
            <w:vAlign w:val="bottom"/>
          </w:tcPr>
          <w:p>
            <w:pPr>
              <w:spacing w:after="0"/>
              <w:rPr>
                <w:sz w:val="12"/>
                <w:szCs w:val="12"/>
                <w:color w:val="auto"/>
              </w:rPr>
            </w:pPr>
          </w:p>
        </w:tc>
        <w:tc>
          <w:tcPr>
            <w:tcW w:w="1080" w:type="dxa"/>
            <w:vAlign w:val="bottom"/>
          </w:tcPr>
          <w:p>
            <w:pPr>
              <w:jc w:val="center"/>
              <w:ind w:left="20"/>
              <w:spacing w:after="0"/>
              <w:rPr>
                <w:sz w:val="20"/>
                <w:szCs w:val="20"/>
                <w:color w:val="auto"/>
              </w:rPr>
            </w:pPr>
            <w:r>
              <w:rPr>
                <w:rFonts w:ascii="Arial" w:cs="Arial" w:eastAsia="Arial" w:hAnsi="Arial"/>
                <w:sz w:val="12"/>
                <w:szCs w:val="12"/>
                <w:b w:val="1"/>
                <w:bCs w:val="1"/>
                <w:color w:val="auto"/>
                <w:w w:val="87"/>
              </w:rPr>
              <w:t>Identical Assets</w:t>
            </w:r>
          </w:p>
        </w:tc>
        <w:tc>
          <w:tcPr>
            <w:tcW w:w="300" w:type="dxa"/>
            <w:vAlign w:val="bottom"/>
          </w:tcPr>
          <w:p>
            <w:pPr>
              <w:spacing w:after="0"/>
              <w:rPr>
                <w:sz w:val="12"/>
                <w:szCs w:val="12"/>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1"/>
              </w:rPr>
              <w:t>Observable Inputs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20"/>
              <w:spacing w:after="0"/>
              <w:rPr>
                <w:sz w:val="20"/>
                <w:szCs w:val="20"/>
                <w:color w:val="auto"/>
              </w:rPr>
            </w:pPr>
            <w:r>
              <w:rPr>
                <w:rFonts w:ascii="Arial" w:cs="Arial" w:eastAsia="Arial" w:hAnsi="Arial"/>
                <w:sz w:val="12"/>
                <w:szCs w:val="12"/>
                <w:b w:val="1"/>
                <w:bCs w:val="1"/>
                <w:color w:val="auto"/>
                <w:w w:val="93"/>
              </w:rPr>
              <w:t>Value</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(Level 1)</w:t>
            </w:r>
          </w:p>
        </w:tc>
        <w:tc>
          <w:tcPr>
            <w:tcW w:w="300" w:type="dxa"/>
            <w:vAlign w:val="bottom"/>
          </w:tcPr>
          <w:p>
            <w:pPr>
              <w:spacing w:after="0"/>
              <w:rPr>
                <w:sz w:val="13"/>
                <w:szCs w:val="13"/>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0"/>
              </w:rPr>
              <w:t>(Level 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142"/>
        </w:trPr>
        <w:tc>
          <w:tcPr>
            <w:tcW w:w="5220" w:type="dxa"/>
            <w:vAlign w:val="bottom"/>
            <w:gridSpan w:val="2"/>
          </w:tcPr>
          <w:p>
            <w:pPr>
              <w:spacing w:after="0"/>
              <w:rPr>
                <w:sz w:val="20"/>
                <w:szCs w:val="20"/>
                <w:color w:val="auto"/>
              </w:rPr>
            </w:pPr>
            <w:r>
              <w:rPr>
                <w:rFonts w:ascii="Arial" w:cs="Arial" w:eastAsia="Arial" w:hAnsi="Arial"/>
                <w:sz w:val="12"/>
                <w:szCs w:val="12"/>
                <w:color w:val="auto"/>
              </w:rPr>
              <w:t>June 30, 2015:</w:t>
            </w:r>
          </w:p>
        </w:tc>
        <w:tc>
          <w:tcPr>
            <w:tcW w:w="8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30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12"/>
                <w:szCs w:val="12"/>
                <w:color w:val="auto"/>
                <w:w w:val="98"/>
              </w:rPr>
              <w:t>-</w:t>
            </w:r>
          </w:p>
        </w:tc>
        <w:tc>
          <w:tcPr>
            <w:tcW w:w="1080" w:type="dxa"/>
            <w:vAlign w:val="bottom"/>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March 31, 2015:</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32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30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12"/>
                <w:szCs w:val="12"/>
                <w:color w:val="auto"/>
                <w:w w:val="98"/>
              </w:rPr>
              <w:t>-</w:t>
            </w:r>
          </w:p>
        </w:tc>
        <w:tc>
          <w:tcPr>
            <w:tcW w:w="1080" w:type="dxa"/>
            <w:vAlign w:val="bottom"/>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920" w:type="dxa"/>
            <w:vAlign w:val="bottom"/>
            <w:gridSpan w:val="8"/>
          </w:tcPr>
          <w:p>
            <w:pPr>
              <w:ind w:left="400"/>
              <w:spacing w:after="0"/>
              <w:rPr>
                <w:sz w:val="20"/>
                <w:szCs w:val="20"/>
                <w:color w:val="auto"/>
              </w:rPr>
            </w:pPr>
            <w:r>
              <w:rPr>
                <w:rFonts w:ascii="Arial" w:cs="Arial" w:eastAsia="Arial" w:hAnsi="Arial"/>
                <w:sz w:val="12"/>
                <w:szCs w:val="12"/>
                <w:color w:val="auto"/>
                <w:w w:val="96"/>
              </w:rPr>
              <w:t>During the three month period ended June 30, 2015, there was no significant change to the valuation models used for purposes of determining the fair value of the Level 3 warrant liability.</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Measurements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Using 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0"/>
              </w:rPr>
              <w:t>Unobservable Inputs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0"/>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Warrant Liability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2015</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ind w:left="60"/>
              <w:spacing w:after="0"/>
              <w:rPr>
                <w:sz w:val="20"/>
                <w:szCs w:val="20"/>
                <w:color w:val="auto"/>
              </w:rPr>
            </w:pPr>
            <w:r>
              <w:rPr>
                <w:rFonts w:ascii="Arial" w:cs="Arial" w:eastAsia="Arial" w:hAnsi="Arial"/>
                <w:sz w:val="12"/>
                <w:szCs w:val="12"/>
                <w:color w:val="auto"/>
              </w:rPr>
              <w:t>Mark to market loss included in net loss</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1,894,700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shd w:val="clear" w:color="auto" w:fill="CCEEFF"/>
          </w:tcPr>
          <w:p>
            <w:pPr>
              <w:ind w:left="60"/>
              <w:spacing w:after="0"/>
              <w:rPr>
                <w:sz w:val="20"/>
                <w:szCs w:val="20"/>
                <w:color w:val="auto"/>
              </w:rPr>
            </w:pPr>
            <w:r>
              <w:rPr>
                <w:rFonts w:ascii="Arial" w:cs="Arial" w:eastAsia="Arial" w:hAnsi="Arial"/>
                <w:sz w:val="12"/>
                <w:szCs w:val="12"/>
                <w:color w:val="auto"/>
              </w:rPr>
              <w:t>Elimination of liability upon modification of warrants</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(4,903,200)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Balance at June 30, 2015</w:t>
            </w: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tcBorders>
              <w:left w:val="single" w:sz="8" w:color="CCEEFF"/>
            </w:tcBorders>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tcBorders>
              <w:top w:val="single" w:sz="8" w:color="CCEEFF"/>
            </w:tcBorders>
          </w:tcPr>
          <w:p>
            <w:pPr>
              <w:ind w:left="400"/>
              <w:spacing w:after="0"/>
              <w:rPr>
                <w:sz w:val="20"/>
                <w:szCs w:val="20"/>
                <w:color w:val="auto"/>
              </w:rPr>
            </w:pPr>
            <w:r>
              <w:rPr>
                <w:rFonts w:ascii="Arial" w:cs="Arial" w:eastAsia="Arial" w:hAnsi="Arial"/>
                <w:sz w:val="12"/>
                <w:szCs w:val="12"/>
                <w:color w:val="auto"/>
                <w:w w:val="98"/>
              </w:rPr>
              <w:t>The changes in Level 3 liabilities measured at fair value on a recurring basis are as follows:</w:t>
            </w:r>
          </w:p>
        </w:tc>
        <w:tc>
          <w:tcPr>
            <w:tcW w:w="86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0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0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200" w:type="dxa"/>
            <w:vAlign w:val="bottom"/>
          </w:tcPr>
          <w:p>
            <w:pPr>
              <w:ind w:left="400"/>
              <w:spacing w:after="0"/>
              <w:rPr>
                <w:sz w:val="20"/>
                <w:szCs w:val="20"/>
                <w:color w:val="auto"/>
              </w:rPr>
            </w:pPr>
            <w:r>
              <w:rPr>
                <w:rFonts w:ascii="Arial" w:cs="Arial" w:eastAsia="Arial" w:hAnsi="Arial"/>
                <w:sz w:val="12"/>
                <w:szCs w:val="12"/>
                <w:color w:val="auto"/>
              </w:rPr>
              <w:t>We carried no assets or other liabilities at fair value at June 30, 2015 or March 31, 2015.</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60" w:type="dxa"/>
            <w:vAlign w:val="bottom"/>
            <w:gridSpan w:val="2"/>
          </w:tcPr>
          <w:p>
            <w:pPr>
              <w:jc w:val="right"/>
              <w:ind w:right="390"/>
              <w:spacing w:after="0"/>
              <w:rPr>
                <w:sz w:val="20"/>
                <w:szCs w:val="20"/>
                <w:color w:val="auto"/>
              </w:rPr>
            </w:pPr>
            <w:r>
              <w:rPr>
                <w:rFonts w:ascii="Arial" w:cs="Arial" w:eastAsia="Arial" w:hAnsi="Arial"/>
                <w:sz w:val="12"/>
                <w:szCs w:val="12"/>
                <w:color w:val="auto"/>
              </w:rPr>
              <w:t>F-61</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20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20"/>
                <w:szCs w:val="20"/>
                <w:color w:val="auto"/>
              </w:rPr>
            </w:pPr>
            <w:r>
              <w:rPr>
                <w:rFonts w:ascii="Arial" w:cs="Arial" w:eastAsia="Arial" w:hAnsi="Arial"/>
                <w:sz w:val="12"/>
                <w:szCs w:val="12"/>
                <w:b w:val="1"/>
                <w:bCs w:val="1"/>
                <w:color w:val="auto"/>
              </w:rPr>
              <w:t>Note 5. Prepaid Expenses and Other Current Assets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8840" w:type="dxa"/>
            <w:vAlign w:val="bottom"/>
          </w:tcPr>
          <w:p>
            <w:pPr>
              <w:ind w:left="420"/>
              <w:spacing w:after="0"/>
              <w:rPr>
                <w:sz w:val="20"/>
                <w:szCs w:val="20"/>
                <w:color w:val="auto"/>
              </w:rPr>
            </w:pPr>
            <w:r>
              <w:rPr>
                <w:rFonts w:ascii="Arial" w:cs="Arial" w:eastAsia="Arial" w:hAnsi="Arial"/>
                <w:sz w:val="12"/>
                <w:szCs w:val="12"/>
                <w:color w:val="auto"/>
              </w:rPr>
              <w:t>Prepaid expenses and other current assets are composed of the following at June 30, 2015 and March 31, 2015:</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8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60"/>
              <w:spacing w:after="0"/>
              <w:rPr>
                <w:sz w:val="20"/>
                <w:szCs w:val="20"/>
                <w:color w:val="auto"/>
              </w:rPr>
            </w:pPr>
            <w:r>
              <w:rPr>
                <w:rFonts w:ascii="Arial" w:cs="Arial" w:eastAsia="Arial" w:hAnsi="Arial"/>
                <w:sz w:val="12"/>
                <w:szCs w:val="12"/>
                <w:color w:val="auto"/>
                <w:w w:val="86"/>
              </w:rPr>
              <w:t>June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March 31,</w:t>
            </w:r>
          </w:p>
        </w:tc>
      </w:tr>
      <w:tr>
        <w:trPr>
          <w:trHeight w:val="153"/>
        </w:trPr>
        <w:tc>
          <w:tcPr>
            <w:tcW w:w="8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color w:val="auto"/>
                <w:w w:val="89"/>
              </w:rPr>
              <w:t>2015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89"/>
              </w:rPr>
              <w:t>2015</w:t>
            </w:r>
          </w:p>
        </w:tc>
        <w:tc>
          <w:tcPr>
            <w:tcW w:w="12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Insurance</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116,700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27,300</w:t>
            </w: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Prepaid compensation under financial advisory</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and other consulting agreements</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1,350,000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Legal fees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3,400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Technology license fees and all other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5,000</w:t>
            </w:r>
          </w:p>
        </w:tc>
      </w:tr>
      <w:tr>
        <w:trPr>
          <w:trHeight w:val="142"/>
        </w:trPr>
        <w:tc>
          <w:tcPr>
            <w:tcW w:w="88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88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1,473,300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35,700</w:t>
            </w:r>
          </w:p>
        </w:tc>
      </w:tr>
      <w:tr>
        <w:trPr>
          <w:trHeight w:val="282"/>
        </w:trPr>
        <w:tc>
          <w:tcPr>
            <w:tcW w:w="884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Note 6. Accrued Expenses</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06"/>
        </w:trPr>
        <w:tc>
          <w:tcPr>
            <w:tcW w:w="8840" w:type="dxa"/>
            <w:vAlign w:val="bottom"/>
          </w:tcPr>
          <w:p>
            <w:pPr>
              <w:ind w:left="420"/>
              <w:spacing w:after="0"/>
              <w:rPr>
                <w:sz w:val="20"/>
                <w:szCs w:val="20"/>
                <w:color w:val="auto"/>
              </w:rPr>
            </w:pPr>
            <w:r>
              <w:rPr>
                <w:rFonts w:ascii="Arial" w:cs="Arial" w:eastAsia="Arial" w:hAnsi="Arial"/>
                <w:sz w:val="12"/>
                <w:szCs w:val="12"/>
                <w:color w:val="auto"/>
              </w:rPr>
              <w:t>Accrued expenses are composed of the following at June 30, 2015 and March 31, 2015:</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8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60"/>
              <w:spacing w:after="0"/>
              <w:rPr>
                <w:sz w:val="20"/>
                <w:szCs w:val="20"/>
                <w:color w:val="auto"/>
              </w:rPr>
            </w:pPr>
            <w:r>
              <w:rPr>
                <w:rFonts w:ascii="Arial" w:cs="Arial" w:eastAsia="Arial" w:hAnsi="Arial"/>
                <w:sz w:val="12"/>
                <w:szCs w:val="12"/>
                <w:color w:val="auto"/>
                <w:w w:val="86"/>
              </w:rPr>
              <w:t>June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March 31,</w:t>
            </w:r>
          </w:p>
        </w:tc>
      </w:tr>
      <w:tr>
        <w:trPr>
          <w:trHeight w:val="153"/>
        </w:trPr>
        <w:tc>
          <w:tcPr>
            <w:tcW w:w="8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color w:val="auto"/>
                <w:w w:val="89"/>
              </w:rPr>
              <w:t>2015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89"/>
              </w:rPr>
              <w:t>2015</w:t>
            </w:r>
          </w:p>
        </w:tc>
        <w:tc>
          <w:tcPr>
            <w:tcW w:w="12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professional services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389,000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213,800</w:t>
            </w: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Accrued compensation</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990,700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990,700</w:t>
            </w: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 other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2,000</w:t>
            </w:r>
          </w:p>
        </w:tc>
      </w:tr>
      <w:tr>
        <w:trPr>
          <w:trHeight w:val="142"/>
        </w:trPr>
        <w:tc>
          <w:tcPr>
            <w:tcW w:w="88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88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1,382,200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1,206,500</w:t>
            </w:r>
          </w:p>
        </w:tc>
        <w:tc>
          <w:tcPr>
            <w:tcW w:w="120" w:type="dxa"/>
            <w:vAlign w:val="bottom"/>
            <w:shd w:val="clear" w:color="auto" w:fill="CCEEFF"/>
          </w:tcPr>
          <w:p>
            <w:pPr>
              <w:spacing w:after="0"/>
              <w:rPr>
                <w:sz w:val="16"/>
                <w:szCs w:val="16"/>
                <w:color w:val="auto"/>
              </w:rPr>
            </w:pPr>
          </w:p>
        </w:tc>
      </w:tr>
      <w:tr>
        <w:trPr>
          <w:trHeight w:val="832"/>
        </w:trPr>
        <w:tc>
          <w:tcPr>
            <w:tcW w:w="8840" w:type="dxa"/>
            <w:vAlign w:val="bottom"/>
            <w:tcBorders>
              <w:top w:val="single" w:sz="8" w:color="CCEEFF"/>
            </w:tcBorders>
          </w:tcPr>
          <w:p>
            <w:pPr>
              <w:ind w:left="5620"/>
              <w:spacing w:after="0"/>
              <w:rPr>
                <w:sz w:val="20"/>
                <w:szCs w:val="20"/>
                <w:color w:val="auto"/>
              </w:rPr>
            </w:pPr>
            <w:r>
              <w:rPr>
                <w:rFonts w:ascii="Arial" w:cs="Arial" w:eastAsia="Arial" w:hAnsi="Arial"/>
                <w:sz w:val="12"/>
                <w:szCs w:val="12"/>
                <w:color w:val="auto"/>
              </w:rPr>
              <w:t>F-62</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88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57"/>
        </w:trPr>
        <w:tc>
          <w:tcPr>
            <w:tcW w:w="3340" w:type="dxa"/>
            <w:vAlign w:val="bottom"/>
            <w:gridSpan w:val="2"/>
          </w:tcPr>
          <w:p>
            <w:pPr>
              <w:spacing w:after="0"/>
              <w:rPr>
                <w:sz w:val="20"/>
                <w:szCs w:val="20"/>
                <w:color w:val="auto"/>
              </w:rPr>
            </w:pPr>
            <w:r>
              <w:rPr>
                <w:rFonts w:ascii="Arial" w:cs="Arial" w:eastAsia="Arial" w:hAnsi="Arial"/>
                <w:sz w:val="12"/>
                <w:szCs w:val="12"/>
                <w:b w:val="1"/>
                <w:bCs w:val="1"/>
                <w:color w:val="auto"/>
                <w:w w:val="91"/>
              </w:rPr>
              <w:t>Note 7. Convertible Promissory Notes and Other Notes Payable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760" w:type="dxa"/>
            <w:vAlign w:val="bottom"/>
            <w:gridSpan w:val="12"/>
          </w:tcPr>
          <w:p>
            <w:pPr>
              <w:ind w:left="400"/>
              <w:spacing w:after="0"/>
              <w:rPr>
                <w:sz w:val="20"/>
                <w:szCs w:val="20"/>
                <w:color w:val="auto"/>
              </w:rPr>
            </w:pPr>
            <w:r>
              <w:rPr>
                <w:rFonts w:ascii="Arial" w:cs="Arial" w:eastAsia="Arial" w:hAnsi="Arial"/>
                <w:sz w:val="12"/>
                <w:szCs w:val="12"/>
                <w:color w:val="auto"/>
                <w:w w:val="90"/>
              </w:rPr>
              <w:t>The following table summarizes our secured and unsecured convertible promissory notes and other notes payable at June 30, 2015 and March 31, 2015.</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89"/>
              </w:rPr>
              <w:t>June 30, 2015</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5"/>
              </w:rPr>
              <w:t>March 31, 2015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4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Arial" w:cs="Arial" w:eastAsia="Arial" w:hAnsi="Arial"/>
                <w:sz w:val="12"/>
                <w:szCs w:val="12"/>
                <w:color w:val="auto"/>
                <w:w w:val="90"/>
              </w:rPr>
              <w:t>Accrued</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2"/>
                <w:szCs w:val="12"/>
                <w:color w:val="auto"/>
              </w:rPr>
              <w:t>Accrued</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Interest</w:t>
            </w:r>
          </w:p>
        </w:tc>
        <w:tc>
          <w:tcPr>
            <w:tcW w:w="26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0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2"/>
                <w:szCs w:val="12"/>
                <w:color w:val="auto"/>
              </w:rPr>
              <w:t>Interest</w:t>
            </w:r>
          </w:p>
        </w:tc>
        <w:tc>
          <w:tcPr>
            <w:tcW w:w="240" w:type="dxa"/>
            <w:vAlign w:val="bottom"/>
          </w:tcPr>
          <w:p>
            <w:pPr>
              <w:spacing w:after="0"/>
              <w:rPr>
                <w:sz w:val="13"/>
                <w:szCs w:val="13"/>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340" w:type="dxa"/>
            <w:vAlign w:val="bottom"/>
            <w:gridSpan w:val="2"/>
          </w:tcPr>
          <w:p>
            <w:pPr>
              <w:spacing w:after="0" w:line="133" w:lineRule="exact"/>
              <w:rPr>
                <w:sz w:val="20"/>
                <w:szCs w:val="20"/>
                <w:color w:val="auto"/>
              </w:rPr>
            </w:pPr>
            <w:r>
              <w:rPr>
                <w:rFonts w:ascii="Arial" w:cs="Arial" w:eastAsia="Arial" w:hAnsi="Arial"/>
                <w:sz w:val="12"/>
                <w:szCs w:val="12"/>
                <w:b w:val="1"/>
                <w:bCs w:val="1"/>
                <w:i w:val="1"/>
                <w:iCs w:val="1"/>
                <w:color w:val="auto"/>
              </w:rPr>
              <w:t>Senior Secured 10% Convertible Promissory Notes</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issued to Platinum:</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Borders>
              <w:right w:val="single" w:sz="8" w:color="CCEEFF"/>
            </w:tcBorders>
            <w:shd w:val="clear" w:color="auto" w:fill="CCEEFF"/>
          </w:tcPr>
          <w:p>
            <w:pPr>
              <w:ind w:left="240"/>
              <w:spacing w:after="0" w:line="136" w:lineRule="exact"/>
              <w:rPr>
                <w:sz w:val="20"/>
                <w:szCs w:val="20"/>
                <w:color w:val="auto"/>
              </w:rPr>
            </w:pPr>
            <w:r>
              <w:rPr>
                <w:rFonts w:ascii="Arial" w:cs="Arial" w:eastAsia="Arial" w:hAnsi="Arial"/>
                <w:sz w:val="12"/>
                <w:szCs w:val="12"/>
                <w:color w:val="auto"/>
                <w:w w:val="92"/>
              </w:rPr>
              <w:t>Total Senior notes issued between October 11, 2012 and July</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23, 2013</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919,700</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4,442,300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(3,272,600)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(873,500)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(4,146,100)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Senior notes - non-current portion</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46,200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296,200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2014 Unit Notes, including amended notes, due 3/31/15</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4,066,900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270,700</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4,337,600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Note discounts</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(180,000)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ind w:left="100"/>
              <w:spacing w:after="0"/>
              <w:rPr>
                <w:sz w:val="20"/>
                <w:szCs w:val="20"/>
                <w:color w:val="auto"/>
              </w:rPr>
            </w:pPr>
            <w:r>
              <w:rPr>
                <w:rFonts w:ascii="Arial" w:cs="Arial" w:eastAsia="Arial" w:hAnsi="Arial"/>
                <w:sz w:val="12"/>
                <w:szCs w:val="12"/>
                <w:color w:val="auto"/>
              </w:rPr>
              <w:t>Net convertible notes (all current)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3,886,900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270,700</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4,157,600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unrelated parties: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40"/>
              <w:spacing w:after="0" w:line="136" w:lineRule="exact"/>
              <w:rPr>
                <w:sz w:val="20"/>
                <w:szCs w:val="20"/>
                <w:color w:val="auto"/>
              </w:rPr>
            </w:pPr>
            <w:r>
              <w:rPr>
                <w:rFonts w:ascii="Arial" w:cs="Arial" w:eastAsia="Arial" w:hAnsi="Arial"/>
                <w:sz w:val="12"/>
                <w:szCs w:val="12"/>
                <w:color w:val="auto"/>
              </w:rPr>
              <w:t>7.5% Notes payable to service providers for</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2"/>
          </w:tcPr>
          <w:p>
            <w:pPr>
              <w:spacing w:after="0"/>
              <w:rPr>
                <w:sz w:val="20"/>
                <w:szCs w:val="20"/>
                <w:color w:val="auto"/>
              </w:rPr>
            </w:pPr>
            <w:r>
              <w:rPr>
                <w:rFonts w:ascii="Arial" w:cs="Arial" w:eastAsia="Arial" w:hAnsi="Arial"/>
                <w:sz w:val="12"/>
                <w:szCs w:val="12"/>
                <w:color w:val="auto"/>
              </w:rPr>
              <w:t>accounts payable converted to notes payable: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Burr, Pilger, Mayer</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90,400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13,100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120"/>
              <w:spacing w:after="0"/>
              <w:rPr>
                <w:sz w:val="20"/>
                <w:szCs w:val="20"/>
                <w:color w:val="auto"/>
              </w:rPr>
            </w:pPr>
            <w:r>
              <w:rPr>
                <w:rFonts w:ascii="Arial" w:cs="Arial" w:eastAsia="Arial" w:hAnsi="Arial"/>
                <w:sz w:val="12"/>
                <w:szCs w:val="12"/>
                <w:color w:val="auto"/>
              </w:rPr>
              <w:t>Desjardins</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159,800</w:t>
            </w:r>
          </w:p>
        </w:tc>
        <w:tc>
          <w:tcPr>
            <w:tcW w:w="1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27,600</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187,400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156,300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24,100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180,400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McCarthy Tetrault</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319,700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46,000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365,700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120"/>
              <w:spacing w:after="0"/>
              <w:rPr>
                <w:sz w:val="20"/>
                <w:szCs w:val="20"/>
                <w:color w:val="auto"/>
              </w:rPr>
            </w:pPr>
            <w:r>
              <w:rPr>
                <w:rFonts w:ascii="Arial" w:cs="Arial" w:eastAsia="Arial" w:hAnsi="Arial"/>
                <w:sz w:val="12"/>
                <w:szCs w:val="12"/>
                <w:color w:val="auto"/>
              </w:rPr>
              <w:t>August 2012 Morrison &amp; Foerster Note A</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918,200</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221,100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1,139,300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918,200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193,200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1,111,400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August 2012 Morrison &amp; Foerster Note B</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1,379,400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333,100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1,712,500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120"/>
              <w:spacing w:after="0"/>
              <w:rPr>
                <w:sz w:val="20"/>
                <w:szCs w:val="20"/>
                <w:color w:val="auto"/>
              </w:rPr>
            </w:pPr>
            <w:r>
              <w:rPr>
                <w:rFonts w:ascii="Arial" w:cs="Arial" w:eastAsia="Arial" w:hAnsi="Arial"/>
                <w:sz w:val="12"/>
                <w:szCs w:val="12"/>
                <w:color w:val="auto"/>
              </w:rPr>
              <w:t>University Health Network</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549,500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101,800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651,300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1,078,000</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1,326,700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3,413,500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711,300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4,124,800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220"/>
              <w:spacing w:after="0"/>
              <w:rPr>
                <w:sz w:val="20"/>
                <w:szCs w:val="20"/>
                <w:color w:val="auto"/>
              </w:rPr>
            </w:pPr>
            <w:r>
              <w:rPr>
                <w:rFonts w:ascii="Arial" w:cs="Arial" w:eastAsia="Arial" w:hAnsi="Arial"/>
                <w:sz w:val="12"/>
                <w:szCs w:val="12"/>
                <w:color w:val="auto"/>
              </w:rPr>
              <w:t>Note discount</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(136,400)</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(136,400)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(474,500)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(474,500)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941,600</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1,190,300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2,939,000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711,300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3,650,300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 (and discount at March 31, 2015)</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(159,800)</w:t>
            </w:r>
          </w:p>
        </w:tc>
        <w:tc>
          <w:tcPr>
            <w:tcW w:w="14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(27,600)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(187,400)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(2,939,000)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(711,300)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(3,650,300)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non-current portion and discount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781,800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221,100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1,002,900</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5.67% and 10.25% Notes payable to insurance</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premium financing company (current)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72,200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72,200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10% Notes payable to vendors for accounts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payable converted to notes payable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44,400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54,000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378,300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51,500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429,800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(44,400)</w:t>
            </w:r>
          </w:p>
        </w:tc>
        <w:tc>
          <w:tcPr>
            <w:tcW w:w="14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(9,600)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(54,000)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(378,300)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(51,500)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(429,800)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non-current portion</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7.0% Note payable (August 2012)</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58,800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67,700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(23,200)</w:t>
            </w:r>
          </w:p>
        </w:tc>
        <w:tc>
          <w:tcPr>
            <w:tcW w:w="14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(8,900)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(32,100)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(23,200)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(7,900)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7.0% Notes payable - non-current portion</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35,600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notes payable to unrelated parties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1,253,400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267,200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1,520,600</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3,381,900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770,700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4,152,600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 (and discount at March 31, 2015)</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(299,600)</w:t>
            </w:r>
          </w:p>
        </w:tc>
        <w:tc>
          <w:tcPr>
            <w:tcW w:w="14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(46,100)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(345,700)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(3,346,300)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(770,700)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(4,117,000)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non-current portion</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953,800</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221,100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1,174,900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discount (non-current at June 30, 2015)</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(136,400)</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(136,400)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non-current portion</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817,400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221,100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1,038,500</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b w:val="1"/>
                <w:bCs w:val="1"/>
                <w:i w:val="1"/>
                <w:iCs w:val="1"/>
                <w:color w:val="auto"/>
              </w:rPr>
              <w:t>Notes payable to related parties: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October 2012 7.5% Note to Cato Holding Co.</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293,600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55,900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349,500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40"/>
              <w:spacing w:after="0"/>
              <w:rPr>
                <w:sz w:val="20"/>
                <w:szCs w:val="20"/>
                <w:color w:val="auto"/>
              </w:rPr>
            </w:pPr>
            <w:r>
              <w:rPr>
                <w:rFonts w:ascii="Arial" w:cs="Arial" w:eastAsia="Arial" w:hAnsi="Arial"/>
                <w:sz w:val="12"/>
                <w:szCs w:val="12"/>
                <w:color w:val="auto"/>
              </w:rPr>
              <w:t>October 2012 7.5% Note to Cato Research Ltd.</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1,009,000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204,800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1,213,800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1,302,600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260,700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340"/>
              <w:spacing w:after="0"/>
              <w:rPr>
                <w:sz w:val="20"/>
                <w:szCs w:val="20"/>
                <w:color w:val="auto"/>
              </w:rPr>
            </w:pPr>
            <w:r>
              <w:rPr>
                <w:rFonts w:ascii="Arial" w:cs="Arial" w:eastAsia="Arial" w:hAnsi="Arial"/>
                <w:sz w:val="12"/>
                <w:szCs w:val="12"/>
                <w:color w:val="auto"/>
              </w:rPr>
              <w:t>Note discount</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(54,500)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notes payable to related parties</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1,248,100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260,700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1,508,800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(1,248,100)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(260,700)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(1,508,800)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non-current portion and discount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F-63</w:t>
            </w: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3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87" w:name="page188"/>
    <w:bookmarkEnd w:id="187"/>
    <w:p>
      <w:pPr>
        <w:jc w:val="both"/>
        <w:ind w:firstLine="432"/>
        <w:spacing w:after="0" w:line="263" w:lineRule="auto"/>
        <w:rPr>
          <w:sz w:val="20"/>
          <w:szCs w:val="20"/>
          <w:color w:val="auto"/>
        </w:rPr>
      </w:pPr>
      <w:r>
        <w:rPr>
          <w:rFonts w:ascii="Arial" w:cs="Arial" w:eastAsia="Arial" w:hAnsi="Arial"/>
          <w:sz w:val="12"/>
          <w:szCs w:val="12"/>
          <w:color w:val="auto"/>
        </w:rPr>
        <w:t>Between March 31, 2015 and June 30, 2015, we have eliminated the outstanding balances of approximately $15.4 million of promissory notes, other debt, and certain adjustments thereto, that were either already due and payable or would have otherwise matured prior to March 31, 2016, by converting such balances into shares of our Series B Preferred stock. Significant changes in and conversions of our convertible promissory notes and other promissory notes since March 31, 2015 are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10% Convertible Notes Issued in Connection with 2014 Unit Private Placement</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As described more completely in the section entitled </w:t>
      </w:r>
      <w:r>
        <w:rPr>
          <w:rFonts w:ascii="Arial" w:cs="Arial" w:eastAsia="Arial" w:hAnsi="Arial"/>
          <w:sz w:val="11"/>
          <w:szCs w:val="11"/>
          <w:i w:val="1"/>
          <w:iCs w:val="1"/>
          <w:color w:val="auto"/>
        </w:rPr>
        <w:t>2014 Unit Private Placement</w:t>
      </w:r>
      <w:r>
        <w:rPr>
          <w:rFonts w:ascii="Arial" w:cs="Arial" w:eastAsia="Arial" w:hAnsi="Arial"/>
          <w:sz w:val="11"/>
          <w:szCs w:val="11"/>
          <w:color w:val="auto"/>
        </w:rPr>
        <w:t xml:space="preserve"> in Note 8,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between April 1, 2015 and May 14, 2015, we issued to accredited investors in self-placed private placement transactions 10% convertible notes (the </w:t>
      </w:r>
      <w:r>
        <w:rPr>
          <w:rFonts w:ascii="Arial" w:cs="Arial" w:eastAsia="Arial" w:hAnsi="Arial"/>
          <w:sz w:val="11"/>
          <w:szCs w:val="11"/>
          <w:i w:val="1"/>
          <w:iCs w:val="1"/>
          <w:color w:val="auto"/>
        </w:rPr>
        <w:t>2014Unit Notes</w:t>
      </w:r>
      <w:r>
        <w:rPr>
          <w:rFonts w:ascii="Arial" w:cs="Arial" w:eastAsia="Arial" w:hAnsi="Arial"/>
          <w:sz w:val="11"/>
          <w:szCs w:val="11"/>
          <w:color w:val="auto"/>
        </w:rPr>
        <w:t>) in the aggregate face amount of $280,000. The 2014 Unit Notes issued in April and May 2015 represented a continuation of the 2014 Unit Private Placement pursuant to which we had issued an aggregate of $3,113,500 principal amount of substantially similar notes between late-March 2014 and March 31, 2015. The 2014 Unit Notes matured between April 30, 2015 and May 15, 2015 (</w:t>
      </w:r>
      <w:r>
        <w:rPr>
          <w:rFonts w:ascii="Arial" w:cs="Arial" w:eastAsia="Arial" w:hAnsi="Arial"/>
          <w:sz w:val="11"/>
          <w:szCs w:val="11"/>
          <w:i w:val="1"/>
          <w:iCs w:val="1"/>
          <w:color w:val="auto"/>
        </w:rPr>
        <w:t>Maturity</w:t>
      </w:r>
      <w:r>
        <w:rPr>
          <w:rFonts w:ascii="Arial" w:cs="Arial" w:eastAsia="Arial" w:hAnsi="Arial"/>
          <w:sz w:val="11"/>
          <w:szCs w:val="11"/>
          <w:color w:val="auto"/>
        </w:rPr>
        <w:t xml:space="preserve">) and the outstanding principal of the 2014 Unit Notes and their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xml:space="preserve">) was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Notes would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w:t>
      </w:r>
    </w:p>
    <w:p>
      <w:pPr>
        <w:spacing w:after="0" w:line="13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 high. Based on the amounts of their respective discounts and the term between issuance and maturity, the effective interest rates attributable to the 2014 Unit Notes issued in April and May 2015 are in excess of 10,000%.</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Senior Secured 10% Convertible Promissory Notes issued to Platinum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As described more completely in Note 8, </w:t>
      </w:r>
      <w:r>
        <w:rPr>
          <w:rFonts w:ascii="Arial" w:cs="Arial" w:eastAsia="Arial" w:hAnsi="Arial"/>
          <w:sz w:val="11"/>
          <w:szCs w:val="11"/>
          <w:i w:val="1"/>
          <w:iCs w:val="1"/>
          <w:color w:val="auto"/>
        </w:rPr>
        <w:t>Capital Stock</w:t>
      </w:r>
      <w:r>
        <w:rPr>
          <w:rFonts w:ascii="Arial" w:cs="Arial" w:eastAsia="Arial" w:hAnsi="Arial"/>
          <w:sz w:val="11"/>
          <w:szCs w:val="11"/>
          <w:color w:val="auto"/>
        </w:rPr>
        <w:t>, effective on May 12, 2015, we entered in to an agreement with Platinum (</w:t>
      </w:r>
      <w:r>
        <w:rPr>
          <w:rFonts w:ascii="Arial" w:cs="Arial" w:eastAsia="Arial" w:hAnsi="Arial"/>
          <w:sz w:val="11"/>
          <w:szCs w:val="11"/>
          <w:i w:val="1"/>
          <w:iCs w:val="1"/>
          <w:color w:val="auto"/>
        </w:rPr>
        <w:t>Platinum Agreement</w:t>
      </w:r>
      <w:r>
        <w:rPr>
          <w:rFonts w:ascii="Arial" w:cs="Arial" w:eastAsia="Arial" w:hAnsi="Arial"/>
          <w:sz w:val="11"/>
          <w:szCs w:val="11"/>
          <w:color w:val="auto"/>
        </w:rPr>
        <w:t>) pursuant to which Platinum agreed, among other things, to convert the $4,489,300 outstanding balance (principal and accrued interest) of the Senior Notes having maturity dates between October 2015 and July 2016 into 641,335 shares of our Series B Preferred. We determined that the conversion of the Senior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Senior Note conversion was equal to the market value of a share of our common stock on the Senior Note conversion date. Based on the $10.00 per share fair value of the Series B Preferred at the date the Senior Notes were converted, we issued Series B Preferred having an aggregate fair value of $6,413,300 and recognized a non-cash loss on extinguishment of debt of $1,924,000 in the quarter ended June 30, 2015 in the accompanying Condensed Consolidated Statement of Operations and Comprehensive Loss.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8" w:name="page189"/>
    <w:bookmarkEnd w:id="188"/>
    <w:p>
      <w:pPr>
        <w:spacing w:after="0"/>
        <w:rPr>
          <w:sz w:val="20"/>
          <w:szCs w:val="20"/>
          <w:color w:val="auto"/>
        </w:rPr>
      </w:pPr>
      <w:r>
        <w:rPr>
          <w:rFonts w:ascii="Arial" w:cs="Arial" w:eastAsia="Arial" w:hAnsi="Arial"/>
          <w:sz w:val="12"/>
          <w:szCs w:val="12"/>
          <w:b w:val="1"/>
          <w:bCs w:val="1"/>
          <w:i w:val="1"/>
          <w:iCs w:val="1"/>
          <w:color w:val="auto"/>
        </w:rPr>
        <w:t>Conversion of 2014 Unit Notes into Series B Preferred</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Pursuant to the Platinum Agreement, Platinum also agreed to convert the $1,345,700 outstanding balance of the 2014 Unit Notes originally issued by us to Platinum that had matured on March 31, 2015 (</w:t>
      </w:r>
      <w:r>
        <w:rPr>
          <w:rFonts w:ascii="Arial" w:cs="Arial" w:eastAsia="Arial" w:hAnsi="Arial"/>
          <w:sz w:val="12"/>
          <w:szCs w:val="12"/>
          <w:i w:val="1"/>
          <w:iCs w:val="1"/>
          <w:color w:val="auto"/>
        </w:rPr>
        <w:t>Platinum Unit Notes</w:t>
      </w:r>
      <w:r>
        <w:rPr>
          <w:rFonts w:ascii="Arial" w:cs="Arial" w:eastAsia="Arial" w:hAnsi="Arial"/>
          <w:sz w:val="12"/>
          <w:szCs w:val="12"/>
          <w:color w:val="auto"/>
        </w:rPr>
        <w:t>) into shares of our Series B Preferred. Platinum additionally agreed to acquire and convert into our Series B Preferred other 2014 Unit Notes that had matured on March 31, 2015 originally issued to other investors having an aggregate outstanding balance of $1,487,900 (</w:t>
      </w:r>
      <w:r>
        <w:rPr>
          <w:rFonts w:ascii="Arial" w:cs="Arial" w:eastAsia="Arial" w:hAnsi="Arial"/>
          <w:sz w:val="12"/>
          <w:szCs w:val="12"/>
          <w:i w:val="1"/>
          <w:iCs w:val="1"/>
          <w:color w:val="auto"/>
        </w:rPr>
        <w:t>Acquired Unit Notes</w:t>
      </w:r>
      <w:r>
        <w:rPr>
          <w:rFonts w:ascii="Arial" w:cs="Arial" w:eastAsia="Arial" w:hAnsi="Arial"/>
          <w:sz w:val="12"/>
          <w:szCs w:val="12"/>
          <w:color w:val="auto"/>
        </w:rPr>
        <w:t>). Further, effective May 20, 2015, the holders of other 2014 Unit Notes that had matured on March 31, 2015 or shortly thereafter having an aggregate outstanding balance of $1,831,200 (</w:t>
      </w:r>
      <w:r>
        <w:rPr>
          <w:rFonts w:ascii="Arial" w:cs="Arial" w:eastAsia="Arial" w:hAnsi="Arial"/>
          <w:sz w:val="12"/>
          <w:szCs w:val="12"/>
          <w:i w:val="1"/>
          <w:iCs w:val="1"/>
          <w:color w:val="auto"/>
        </w:rPr>
        <w:t>Investor Unit Notes</w:t>
      </w:r>
      <w:r>
        <w:rPr>
          <w:rFonts w:ascii="Arial" w:cs="Arial" w:eastAsia="Arial" w:hAnsi="Arial"/>
          <w:sz w:val="12"/>
          <w:szCs w:val="12"/>
          <w:color w:val="auto"/>
        </w:rPr>
        <w:t xml:space="preserve">) individually agreed to convert such notes into our Series B Preferred. Consequently, the outstanding balance of all 2014 Unit Notes, including those issued in April and May 2015, totaling $4,664,800, was converted into shares of our Series B Preferred. We determined that the Series B Preferred Unit Offering, as described in Note 8, </w:t>
      </w:r>
      <w:r>
        <w:rPr>
          <w:rFonts w:ascii="Arial" w:cs="Arial" w:eastAsia="Arial" w:hAnsi="Arial"/>
          <w:sz w:val="12"/>
          <w:szCs w:val="12"/>
          <w:i w:val="1"/>
          <w:iCs w:val="1"/>
          <w:color w:val="auto"/>
        </w:rPr>
        <w:t>Capital Stock</w:t>
      </w:r>
      <w:r>
        <w:rPr>
          <w:rFonts w:ascii="Arial" w:cs="Arial" w:eastAsia="Arial" w:hAnsi="Arial"/>
          <w:sz w:val="12"/>
          <w:szCs w:val="12"/>
          <w:color w:val="auto"/>
        </w:rPr>
        <w:t>, would be treated as a Qualified Financing applicable to the 2014 Unit Notes, entitling the 2014 Unit Note holders at the time of conversion to the 25% Qualified Financing conversion premium under the terms of the 2014 Unit Notes. Accordingly, we issued in a self-placed private placement transaction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14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determined that the conversion of the 2014 Unit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2014 Unit Note conversions was equal to the market value of a share of our common stock on the 2014 Unit Note conversion dates. Based on the $10.00 per share fair value of the Series B Preferred at the date the Platinum Unit Notes and Acquired Unit Notes were converted and the $8.00 per share fair value of the Series B Preferred at the date the Investor Unit Notes were converted, we issued in a self-placed private placement transaction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1"/>
              </w:rPr>
              <w:t>Platinum Unit Notes</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and Acquired Unit</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3"/>
              </w:rPr>
              <w:t>Notes</w:t>
            </w:r>
          </w:p>
        </w:tc>
        <w:tc>
          <w:tcPr>
            <w:tcW w:w="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9"/>
              </w:rPr>
              <w:t>Investor Unit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conversion date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7.00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1.58</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5.00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Warrant shares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506,004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327,016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Fair Value per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6.89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5.15</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Condensed Consolidated Statements of Operations and Comprehensive Loss, with a corresponding reduction to additional paid-in capital. In aggregate, we recognized a non-cash loss on extinguishment attributable to the conversion of the 2014 Unit Notes in the amount of $5,942,700 in the quarter ended June 30, 2015 in the accompanying Condensed Consolidated Statement of Operations and Comprehensive Loss.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9" w:name="page190"/>
    <w:bookmarkEnd w:id="189"/>
    <w:p>
      <w:pPr>
        <w:spacing w:after="0"/>
        <w:rPr>
          <w:sz w:val="20"/>
          <w:szCs w:val="20"/>
          <w:color w:val="auto"/>
        </w:rPr>
      </w:pPr>
      <w:r>
        <w:rPr>
          <w:rFonts w:ascii="Arial" w:cs="Arial" w:eastAsia="Arial" w:hAnsi="Arial"/>
          <w:sz w:val="12"/>
          <w:szCs w:val="12"/>
          <w:b w:val="1"/>
          <w:bCs w:val="1"/>
          <w:i w:val="1"/>
          <w:iCs w:val="1"/>
          <w:color w:val="auto"/>
        </w:rPr>
        <w:t>Conversion of Promissory Note issued to University Health Network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May 29, 2015,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agreed to convert the entire $656,400 outstanding balance (principal and accrued interest) of our promissory note maturing on March 31, 2016 into 93,775 shares of our Series B Preferred. We determined that the conversion of the UHN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UHN note conversion was equal to the market value of a share of our common stock on the UHN note conversion date. Based on the $10.00 per share fair value of the Series B Preferred at the date the UHN note was converted, we issued Series B Preferred having an aggregate fair value of $937,800 and, after eliminating the remaining $27,500 of unamortized discount on the UHN note, we recognized a non-cash loss on extinguishment of debt attributable to the conversion of the UHN Note of $308,900 in the quarter ended June 30, 2015 in the accompanying Condensed Consolidated Statement of Operations and Comprehensive Loss.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Notes and Accounts Payable issued to Cato Holding Company (CHC) and Cato Research Ltd. (CRL) into Series B Preferred</w:t>
      </w:r>
    </w:p>
    <w:p>
      <w:pPr>
        <w:spacing w:after="0" w:line="16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 xml:space="preserve">On June 10, 2015, CHC, the parent company of CRL and a related party, agreed to convert the entire aggregate outstanding balance (principal and accrued interest) of $1,583,000 of our outstanding promissory notes issued to CHC and CRL and maturing on March 31, 2016 (together, the </w:t>
      </w:r>
      <w:r>
        <w:rPr>
          <w:rFonts w:ascii="Arial" w:cs="Arial" w:eastAsia="Arial" w:hAnsi="Arial"/>
          <w:sz w:val="12"/>
          <w:szCs w:val="12"/>
          <w:i w:val="1"/>
          <w:iCs w:val="1"/>
          <w:color w:val="auto"/>
        </w:rPr>
        <w:t>Cato Notes</w:t>
      </w:r>
      <w:r>
        <w:rPr>
          <w:rFonts w:ascii="Arial" w:cs="Arial" w:eastAsia="Arial" w:hAnsi="Arial"/>
          <w:sz w:val="12"/>
          <w:szCs w:val="12"/>
          <w:color w:val="auto"/>
        </w:rPr>
        <w:t>), plus an additional $171,300 of past due accounts payable to CRL and a strategic adjustment thereto (</w:t>
      </w:r>
      <w:r>
        <w:rPr>
          <w:rFonts w:ascii="Arial" w:cs="Arial" w:eastAsia="Arial" w:hAnsi="Arial"/>
          <w:sz w:val="12"/>
          <w:szCs w:val="12"/>
          <w:i w:val="1"/>
          <w:iCs w:val="1"/>
          <w:color w:val="auto"/>
        </w:rPr>
        <w:t>CRL Payables</w:t>
      </w:r>
      <w:r>
        <w:rPr>
          <w:rFonts w:ascii="Arial" w:cs="Arial" w:eastAsia="Arial" w:hAnsi="Arial"/>
          <w:sz w:val="12"/>
          <w:szCs w:val="12"/>
          <w:color w:val="auto"/>
        </w:rPr>
        <w:t>) into a total of 328,571 shares of our Series B Preferred. We determined that the conversion of the Cato Notes and the CRL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Cato Notes and CRL Payables conversions was equal to the market value of a share of our common stock on the conversion date. Based on the $10.00 per share fair value of the Series B Preferred at the date the Cato Notes and CRL Payables were converted, we issued Series B Preferred having an aggregate fair value of $3,285,700. 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20.00 and $30.00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2.44 and $1.57</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5.33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After eliminating the remaining unamortized discount of $46,000 attributable to the Cato Notes, we recognized a non-cash loss on extinguishment of debt attributable to the conversion of the Cato Notes and CRL Payables of $1,800,100 in the quarter ended June 30, 2015 in the accompanying Condensed Consolidated Statement of Operations and Comprehensive Loss.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0" w:name="page191"/>
    <w:bookmarkEnd w:id="190"/>
    <w:p>
      <w:pPr>
        <w:spacing w:after="0"/>
        <w:rPr>
          <w:sz w:val="20"/>
          <w:szCs w:val="20"/>
          <w:color w:val="auto"/>
        </w:rPr>
      </w:pPr>
      <w:r>
        <w:rPr>
          <w:rFonts w:ascii="Arial" w:cs="Arial" w:eastAsia="Arial" w:hAnsi="Arial"/>
          <w:sz w:val="12"/>
          <w:szCs w:val="12"/>
          <w:b w:val="1"/>
          <w:bCs w:val="1"/>
          <w:i w:val="1"/>
          <w:iCs w:val="1"/>
          <w:color w:val="auto"/>
        </w:rPr>
        <w:t>Conversion of Promissory Note B issued to Morrison &amp; Foerster into Series B Preferred</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On June 12, 2015, Morrison &amp; Foerster (</w:t>
      </w:r>
      <w:r>
        <w:rPr>
          <w:rFonts w:ascii="Arial" w:cs="Arial" w:eastAsia="Arial" w:hAnsi="Arial"/>
          <w:sz w:val="11"/>
          <w:szCs w:val="11"/>
          <w:i w:val="1"/>
          <w:iCs w:val="1"/>
          <w:color w:val="auto"/>
        </w:rPr>
        <w:t>M&amp;F</w:t>
      </w:r>
      <w:r>
        <w:rPr>
          <w:rFonts w:ascii="Arial" w:cs="Arial" w:eastAsia="Arial" w:hAnsi="Arial"/>
          <w:sz w:val="11"/>
          <w:szCs w:val="11"/>
          <w:color w:val="auto"/>
        </w:rPr>
        <w:t>) agreed to convert the entire aggregate outstanding balance (principal and accrued interest) of $1,735,500 of our August 2012 promissory Note B maturing on March 31, 2016 (</w:t>
      </w:r>
      <w:r>
        <w:rPr>
          <w:rFonts w:ascii="Arial" w:cs="Arial" w:eastAsia="Arial" w:hAnsi="Arial"/>
          <w:sz w:val="11"/>
          <w:szCs w:val="11"/>
          <w:i w:val="1"/>
          <w:iCs w:val="1"/>
          <w:color w:val="auto"/>
        </w:rPr>
        <w:t>M&amp;F</w:t>
      </w:r>
      <w:r>
        <w:rPr>
          <w:rFonts w:ascii="Arial" w:cs="Arial" w:eastAsia="Arial" w:hAnsi="Arial"/>
          <w:sz w:val="11"/>
          <w:szCs w:val="11"/>
          <w:color w:val="auto"/>
        </w:rPr>
        <w:t xml:space="preserve"> </w:t>
      </w:r>
      <w:r>
        <w:rPr>
          <w:rFonts w:ascii="Arial" w:cs="Arial" w:eastAsia="Arial" w:hAnsi="Arial"/>
          <w:sz w:val="11"/>
          <w:szCs w:val="11"/>
          <w:i w:val="1"/>
          <w:iCs w:val="1"/>
          <w:color w:val="auto"/>
        </w:rPr>
        <w:t>Note B</w:t>
      </w:r>
      <w:r>
        <w:rPr>
          <w:rFonts w:ascii="Arial" w:cs="Arial" w:eastAsia="Arial" w:hAnsi="Arial"/>
          <w:sz w:val="11"/>
          <w:szCs w:val="11"/>
          <w:color w:val="auto"/>
        </w:rPr>
        <w:t>) plus an agreed strategic adjustment thereto into a total of 257,143 shares of our Series B Preferred. We determined that the conversion of M&amp;F Note B into Series B Preferred should be accounted for as an extinguishment of debt.</w:t>
      </w:r>
      <w:r>
        <w:rPr>
          <w:rFonts w:ascii="Arial" w:cs="Arial" w:eastAsia="Arial" w:hAnsi="Arial"/>
          <w:sz w:val="11"/>
          <w:szCs w:val="11"/>
          <w:i w:val="1"/>
          <w:iCs w:val="1"/>
          <w:color w:val="auto"/>
        </w:rPr>
        <w:t xml:space="preserve"> </w:t>
      </w:r>
      <w:r>
        <w:rPr>
          <w:rFonts w:ascii="Arial" w:cs="Arial" w:eastAsia="Arial" w:hAnsi="Arial"/>
          <w:sz w:val="11"/>
          <w:szCs w:val="11"/>
          <w:color w:val="auto"/>
        </w:rPr>
        <w:t>Considering the exchangeability of the Series B Preferred into our common stock, the dividend applicable to the Series B Preferred prior to such exchange and other factors, we also determined that the fair value of a share of Series B Preferred issued pursuant to the M&amp;F Note B conversion was equal to the market value of a share of our common stock on the conversion date. Based on the $10.00 per share fair value of the Series B Preferred at the date M&amp;F Note B was converted, we issued Series B Preferred having an aggregate fair value of $2,571,400. 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20.00 and $40.00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2.27</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2.39 and $1.04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4.35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After eliminating the remaining unamortized discount of $225,500 attributable to M&amp;F Note B, we recognized a non-cash loss on extinguishment of debt attributable to the conversion of M&amp;F Note B of $1,305,600 in the quarter ended June 30, 2015 in the accompanying Condensed Consolidated Statement of Operations and Comprehensive Loss.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In addition to its agreement to convert M&amp;F Note B into Series B Preferred, M&amp;F also agreed to withhold, through the later of (i) December 31, 2016 or (ii) our consummation of a registered public offering or a strategic transaction involving AV-101 in which, in either case, we receive gross proceeds of at least $20.0 million, any and all action to collect amounts due under our past due August 2012 promissory Note A and certain past due amounts owed by us to M&amp;F in connection with professional services previously rendered by M&amp;F. See Note 10, </w:t>
      </w:r>
      <w:r>
        <w:rPr>
          <w:rFonts w:ascii="Arial" w:cs="Arial" w:eastAsia="Arial" w:hAnsi="Arial"/>
          <w:sz w:val="11"/>
          <w:szCs w:val="11"/>
          <w:i w:val="1"/>
          <w:iCs w:val="1"/>
          <w:color w:val="auto"/>
        </w:rPr>
        <w:t>Subsequent Events</w:t>
      </w:r>
      <w:r>
        <w:rPr>
          <w:rFonts w:ascii="Arial" w:cs="Arial" w:eastAsia="Arial" w:hAnsi="Arial"/>
          <w:sz w:val="11"/>
          <w:szCs w:val="11"/>
          <w:color w:val="auto"/>
        </w:rPr>
        <w:t>, regarding extinguishment of the August 2012 promissory Note A after June 30, 2015.</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 issued to McCarthy Tetrault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June 18, 2015, McCarthy Tetrault (</w:t>
      </w:r>
      <w:r>
        <w:rPr>
          <w:rFonts w:ascii="Arial" w:cs="Arial" w:eastAsia="Arial" w:hAnsi="Arial"/>
          <w:sz w:val="11"/>
          <w:szCs w:val="11"/>
          <w:i w:val="1"/>
          <w:iCs w:val="1"/>
          <w:color w:val="auto"/>
        </w:rPr>
        <w:t>McCarthy</w:t>
      </w:r>
      <w:r>
        <w:rPr>
          <w:rFonts w:ascii="Arial" w:cs="Arial" w:eastAsia="Arial" w:hAnsi="Arial"/>
          <w:sz w:val="11"/>
          <w:szCs w:val="11"/>
          <w:color w:val="auto"/>
        </w:rPr>
        <w:t xml:space="preserve">) agreed to convert the entire $379,600 outstanding balance (principal and accrued interest) of our past due promissory note issued in May 2011 plus an additional $2,100 of past due accounts payable (together, the </w:t>
      </w:r>
      <w:r>
        <w:rPr>
          <w:rFonts w:ascii="Arial" w:cs="Arial" w:eastAsia="Arial" w:hAnsi="Arial"/>
          <w:sz w:val="11"/>
          <w:szCs w:val="11"/>
          <w:i w:val="1"/>
          <w:iCs w:val="1"/>
          <w:color w:val="auto"/>
        </w:rPr>
        <w:t>McCarthy Note</w:t>
      </w:r>
      <w:r>
        <w:rPr>
          <w:rFonts w:ascii="Arial" w:cs="Arial" w:eastAsia="Arial" w:hAnsi="Arial"/>
          <w:sz w:val="11"/>
          <w:szCs w:val="11"/>
          <w:color w:val="auto"/>
        </w:rPr>
        <w:t>) into 59,230 shares of our Series B Preferred. We determined that the conversion of the McCarthy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McCarthy Note conversion was equal to the market value of a share of our common stock on the McCarthy Note conversion date. Based on the $14.00 per share fair value of the Series B Preferred at the date the McCarthy Note was converted, we issued Series B Preferred having an aggregate fair value of $829,200 and we recognized a non-cash loss on extinguishment of debt attributable to the conversion of the McCarthy Note of $447,500 in the quarter ended June 30, 2015 in the accompanying Condensed Consolidated Statement of Operations and Comprehensive Loss.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1" w:name="page192"/>
    <w:bookmarkEnd w:id="191"/>
    <w:p>
      <w:pPr>
        <w:spacing w:after="0"/>
        <w:rPr>
          <w:sz w:val="20"/>
          <w:szCs w:val="20"/>
          <w:color w:val="auto"/>
        </w:rPr>
      </w:pPr>
      <w:r>
        <w:rPr>
          <w:rFonts w:ascii="Arial" w:cs="Arial" w:eastAsia="Arial" w:hAnsi="Arial"/>
          <w:sz w:val="12"/>
          <w:szCs w:val="12"/>
          <w:b w:val="1"/>
          <w:bCs w:val="1"/>
          <w:i w:val="1"/>
          <w:iCs w:val="1"/>
          <w:color w:val="auto"/>
        </w:rPr>
        <w:t>Conversion of Promissory Note issued to Burr Pilger &amp; Mayer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On June 24, 2015, Burr Pilger &amp; Mayer agreed to convert the entire $105,200 outstanding balance (principal and accrued interest) of our past due promissory note issued in May 2011 plus an additional $17,900 of past due accounts payable (together, the </w:t>
      </w:r>
      <w:r>
        <w:rPr>
          <w:rFonts w:ascii="Arial" w:cs="Arial" w:eastAsia="Arial" w:hAnsi="Arial"/>
          <w:sz w:val="11"/>
          <w:szCs w:val="11"/>
          <w:i w:val="1"/>
          <w:iCs w:val="1"/>
          <w:color w:val="auto"/>
        </w:rPr>
        <w:t>Burr Note</w:t>
      </w:r>
      <w:r>
        <w:rPr>
          <w:rFonts w:ascii="Arial" w:cs="Arial" w:eastAsia="Arial" w:hAnsi="Arial"/>
          <w:sz w:val="11"/>
          <w:szCs w:val="11"/>
          <w:color w:val="auto"/>
        </w:rPr>
        <w:t>) into 21,429 shares of our Series B Preferred. We determined that the conversion of the Burr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Burr Note conversion was equal to the market value of a share of our common stock on the Burr Note conversion date. Based on the $16.50 per share fair value of the Series B Preferred at the date the Burr Note was converted, we issued Series B Preferred having an aggregate fair value of $353,600 and we recognized a non-cash loss on extinguishment of debt attributable to the conversion of the Burr Note of $230,500 in the quarter ended June 30, 2015 in the accompanying Condensed Consolidated Statement of Operations and Comprehensive Loss.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 Issued to Icahn School of Medicine at Mount Sinai into Series B Preferred</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June 26, 2015, Icahn School of Medicine at Mount Sinai (</w:t>
      </w:r>
      <w:r>
        <w:rPr>
          <w:rFonts w:ascii="Arial" w:cs="Arial" w:eastAsia="Arial" w:hAnsi="Arial"/>
          <w:sz w:val="11"/>
          <w:szCs w:val="11"/>
          <w:i w:val="1"/>
          <w:iCs w:val="1"/>
          <w:color w:val="auto"/>
        </w:rPr>
        <w:t>ISMMS</w:t>
      </w:r>
      <w:r>
        <w:rPr>
          <w:rFonts w:ascii="Arial" w:cs="Arial" w:eastAsia="Arial" w:hAnsi="Arial"/>
          <w:sz w:val="11"/>
          <w:szCs w:val="11"/>
          <w:color w:val="auto"/>
        </w:rPr>
        <w:t>) agreed to convert the entire $270,400 outstanding balance (principal and accrued interest) of our past due April 2014 promissory note into a total of 40,000 shares of our Series B Preferred. We determined that the conversion of the ISMMS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ISMMS note conversion was equal to the market value of a share of our common stock on the conversion date. Based on the $16.00 per share fair value of the Series B Preferred at the date the ISMMS note was converted, we issued Series B Preferred having an aggregate fair value of $640,000. As additional consideration for the conversion of the ISMMS note, we amended an outstanding warrant held by ISMMS to purchase 15,000 restricted shares of our common stock to reduce the exercise price from $10.00 per share to $7.00 per share. We calculated the fair value of the warrant immediately before and after the modification and determined that the fair value of the warrant increased by $16,600. The warrant subject to the exercise price modification was valued using the Black-Scholes Option Pricing Model and the following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3.76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10.48</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11.60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recognized a non-cash loss on extinguishment of debt attributable to the conversion of ISMMS note of $386,200 in the quarter ended June 30, 2015 in the accompanying Condensed Consolidated Statement of Operations and Comprehensive Loss.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2" w:name="page193"/>
    <w:bookmarkEnd w:id="192"/>
    <w:p>
      <w:pPr>
        <w:spacing w:after="0"/>
        <w:rPr>
          <w:sz w:val="20"/>
          <w:szCs w:val="20"/>
          <w:color w:val="auto"/>
        </w:rPr>
      </w:pPr>
      <w:r>
        <w:rPr>
          <w:rFonts w:ascii="Arial" w:cs="Arial" w:eastAsia="Arial" w:hAnsi="Arial"/>
          <w:sz w:val="12"/>
          <w:szCs w:val="12"/>
          <w:b w:val="1"/>
          <w:bCs w:val="1"/>
          <w:i w:val="1"/>
          <w:iCs w:val="1"/>
          <w:color w:val="auto"/>
        </w:rPr>
        <w:t>Conversion of Promissory Note issued to National Jewish Health into Series B Preferred</w:t>
      </w:r>
    </w:p>
    <w:p>
      <w:pPr>
        <w:spacing w:after="0" w:line="168" w:lineRule="exact"/>
        <w:rPr>
          <w:sz w:val="20"/>
          <w:szCs w:val="20"/>
          <w:color w:val="auto"/>
        </w:rPr>
      </w:pPr>
    </w:p>
    <w:p>
      <w:pPr>
        <w:jc w:val="both"/>
        <w:ind w:right="60" w:firstLine="432"/>
        <w:spacing w:after="0" w:line="320" w:lineRule="auto"/>
        <w:rPr>
          <w:sz w:val="20"/>
          <w:szCs w:val="20"/>
          <w:color w:val="auto"/>
        </w:rPr>
      </w:pPr>
      <w:r>
        <w:rPr>
          <w:rFonts w:ascii="Arial" w:cs="Arial" w:eastAsia="Arial" w:hAnsi="Arial"/>
          <w:sz w:val="10"/>
          <w:szCs w:val="10"/>
          <w:color w:val="auto"/>
        </w:rPr>
        <w:t>On June 29, 2015, National Jewish Health (</w:t>
      </w:r>
      <w:r>
        <w:rPr>
          <w:rFonts w:ascii="Arial" w:cs="Arial" w:eastAsia="Arial" w:hAnsi="Arial"/>
          <w:sz w:val="10"/>
          <w:szCs w:val="10"/>
          <w:i w:val="1"/>
          <w:iCs w:val="1"/>
          <w:color w:val="auto"/>
        </w:rPr>
        <w:t>NJH</w:t>
      </w:r>
      <w:r>
        <w:rPr>
          <w:rFonts w:ascii="Arial" w:cs="Arial" w:eastAsia="Arial" w:hAnsi="Arial"/>
          <w:sz w:val="10"/>
          <w:szCs w:val="10"/>
          <w:color w:val="auto"/>
        </w:rPr>
        <w:t>) agreed to convert the entire $115,000 outstanding balance (principal and accrued interest) of our past due promissory note into 17,857 shares of our Series B Preferred. We determined that the conversion of the NJH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NJH note conversion was equal to the market value of a share of our common stock on the NJH note conversion date. Based on the $15.00 per share fair value of the Series B Preferred at the date the NJH note was converted, we issued Series B Preferred having an aggregate fair value of $267,900 and we recognized a non-cash loss on extinguishment of debt attributable to the conversion of the NJH note of $152,900 in the quarter ended June 30, 2015 in the accompanying Condensed Consolidated Statement of Operations and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Accounts Payable to Professional Services Provider into Series B Preferred</w:t>
      </w:r>
    </w:p>
    <w:p>
      <w:pPr>
        <w:spacing w:after="0" w:line="168" w:lineRule="exact"/>
        <w:rPr>
          <w:sz w:val="20"/>
          <w:szCs w:val="20"/>
          <w:color w:val="auto"/>
        </w:rPr>
      </w:pPr>
    </w:p>
    <w:p>
      <w:pPr>
        <w:jc w:val="both"/>
        <w:ind w:right="60" w:firstLine="432"/>
        <w:spacing w:after="0" w:line="255" w:lineRule="auto"/>
        <w:rPr>
          <w:sz w:val="20"/>
          <w:szCs w:val="20"/>
          <w:color w:val="auto"/>
        </w:rPr>
      </w:pPr>
      <w:r>
        <w:rPr>
          <w:rFonts w:ascii="Arial" w:cs="Arial" w:eastAsia="Arial" w:hAnsi="Arial"/>
          <w:sz w:val="12"/>
          <w:szCs w:val="12"/>
          <w:color w:val="auto"/>
        </w:rPr>
        <w:t>On June 8, 2015, one of our professional service providers agreed to convert the entire $432,500 past due balance for prior services (</w:t>
      </w:r>
      <w:r>
        <w:rPr>
          <w:rFonts w:ascii="Arial" w:cs="Arial" w:eastAsia="Arial" w:hAnsi="Arial"/>
          <w:sz w:val="12"/>
          <w:szCs w:val="12"/>
          <w:i w:val="1"/>
          <w:iCs w:val="1"/>
          <w:color w:val="auto"/>
        </w:rPr>
        <w:t>Service Provider Payables</w:t>
      </w:r>
      <w:r>
        <w:rPr>
          <w:rFonts w:ascii="Arial" w:cs="Arial" w:eastAsia="Arial" w:hAnsi="Arial"/>
          <w:sz w:val="12"/>
          <w:szCs w:val="12"/>
          <w:color w:val="auto"/>
        </w:rPr>
        <w:t>) into 71,429 shares of our Series B Preferred. We determined that the conversion of the Service Provider Payables balance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Service Provider Payables conversion was equal to the market value of a share of our common stock on the Service Provider Payables conversion date. Based on the $10.00 per share fair value of the Series B Preferred at the date the Service Provider Payables were converted, we issued Series B Preferred having an aggregate fair value of $714,300 and we recognized a non-cash loss on extinguishment of debt attributable to the conversion of the Service Provider Payables $281,800 in the quarter ended June 30, 2015 in the accompanying Condensed Consolidated Statement of Operations and Comprehensive Loss.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See Note 10, </w:t>
      </w:r>
      <w:r>
        <w:rPr>
          <w:rFonts w:ascii="Arial" w:cs="Arial" w:eastAsia="Arial" w:hAnsi="Arial"/>
          <w:sz w:val="12"/>
          <w:szCs w:val="12"/>
          <w:i w:val="1"/>
          <w:iCs w:val="1"/>
          <w:color w:val="auto"/>
        </w:rPr>
        <w:t>Subsequent Events</w:t>
      </w:r>
      <w:r>
        <w:rPr>
          <w:rFonts w:ascii="Arial" w:cs="Arial" w:eastAsia="Arial" w:hAnsi="Arial"/>
          <w:sz w:val="12"/>
          <w:szCs w:val="12"/>
          <w:color w:val="auto"/>
        </w:rPr>
        <w:t>, for disclosure of additional notes and payables converted into Series B Preferred after June 30, 2015.</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Capital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2014 Unit Private Placement</w:t>
      </w:r>
    </w:p>
    <w:p>
      <w:pPr>
        <w:spacing w:after="0" w:line="168"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Between April 1, 2015 and May 14, 2015, we entered into securities purchase agreements with accredited investors pursuant to which we sold to such accredited investors, in self-placed private placement transactions, Units, for aggregate cash proceeds of $280,000, consisting of (i) 10% convertible notes in the aggregate face amount of $280,000 due between April 30, 2015 and May 15, 2015 or automatically convertible into securities issuable upon our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43" w:lineRule="exact"/>
        <w:rPr>
          <w:sz w:val="20"/>
          <w:szCs w:val="20"/>
          <w:color w:val="auto"/>
        </w:rPr>
      </w:pPr>
    </w:p>
    <w:p>
      <w:pPr>
        <w:jc w:val="both"/>
        <w:ind w:right="60" w:firstLine="432"/>
        <w:spacing w:after="0" w:line="290" w:lineRule="auto"/>
        <w:rPr>
          <w:sz w:val="20"/>
          <w:szCs w:val="20"/>
          <w:color w:val="auto"/>
        </w:rPr>
      </w:pPr>
      <w:r>
        <w:rPr>
          <w:rFonts w:ascii="Arial" w:cs="Arial" w:eastAsia="Arial" w:hAnsi="Arial"/>
          <w:sz w:val="11"/>
          <w:szCs w:val="11"/>
          <w:color w:val="auto"/>
        </w:rPr>
        <w:t xml:space="preserve">We allocated the proceeds from the private sales of the 2014 Units to the various securities based on their relative fair values on the dates of the sales. As described in Note 8, </w:t>
      </w:r>
      <w:r>
        <w:rPr>
          <w:rFonts w:ascii="Arial" w:cs="Arial" w:eastAsia="Arial" w:hAnsi="Arial"/>
          <w:sz w:val="11"/>
          <w:szCs w:val="11"/>
          <w:i w:val="1"/>
          <w:iCs w:val="1"/>
          <w:color w:val="auto"/>
        </w:rPr>
        <w:t>Convertible Promissory Notes and Other Notes</w:t>
      </w:r>
      <w:r>
        <w:rPr>
          <w:rFonts w:ascii="Arial" w:cs="Arial" w:eastAsia="Arial" w:hAnsi="Arial"/>
          <w:sz w:val="11"/>
          <w:szCs w:val="11"/>
          <w:color w:val="auto"/>
        </w:rPr>
        <w:t xml:space="preserve"> </w:t>
      </w:r>
      <w:r>
        <w:rPr>
          <w:rFonts w:ascii="Arial" w:cs="Arial" w:eastAsia="Arial" w:hAnsi="Arial"/>
          <w:sz w:val="11"/>
          <w:szCs w:val="11"/>
          <w:i w:val="1"/>
          <w:iCs w:val="1"/>
          <w:color w:val="auto"/>
        </w:rPr>
        <w:t>Payable</w:t>
      </w:r>
      <w:r>
        <w:rPr>
          <w:rFonts w:ascii="Arial" w:cs="Arial" w:eastAsia="Arial" w:hAnsi="Arial"/>
          <w:sz w:val="11"/>
          <w:szCs w:val="11"/>
          <w:color w:val="auto"/>
        </w:rPr>
        <w:t>, based on the short-term nature of the Unit Notes, we determined that fair value of the 2014 Unit Notes was equal to their face value. We determined the fair value of the 2014 Unit Stock based on the quoted market price of our</w:t>
      </w:r>
      <w:r>
        <w:rPr>
          <w:rFonts w:ascii="Arial" w:cs="Arial" w:eastAsia="Arial" w:hAnsi="Arial"/>
          <w:sz w:val="11"/>
          <w:szCs w:val="11"/>
          <w:i w:val="1"/>
          <w:iCs w:val="1"/>
          <w:color w:val="auto"/>
        </w:rPr>
        <w:t xml:space="preserve"> </w:t>
      </w:r>
      <w:r>
        <w:rPr>
          <w:rFonts w:ascii="Arial" w:cs="Arial" w:eastAsia="Arial" w:hAnsi="Arial"/>
          <w:sz w:val="11"/>
          <w:szCs w:val="11"/>
          <w:color w:val="auto"/>
        </w:rPr>
        <w:t>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3380" w:type="dxa"/>
            <w:vAlign w:val="bottom"/>
            <w:tcBorders>
              <w:top w:val="single" w:sz="8" w:color="auto"/>
              <w:bottom w:val="single" w:sz="8" w:color="auto"/>
            </w:tcBorders>
            <w:gridSpan w:val="4"/>
          </w:tcPr>
          <w:p>
            <w:pPr>
              <w:jc w:val="right"/>
              <w:ind w:right="420"/>
              <w:spacing w:after="0"/>
              <w:rPr>
                <w:sz w:val="20"/>
                <w:szCs w:val="20"/>
                <w:color w:val="auto"/>
              </w:rPr>
            </w:pPr>
            <w:r>
              <w:rPr>
                <w:rFonts w:ascii="Arial" w:cs="Arial" w:eastAsia="Arial" w:hAnsi="Arial"/>
                <w:sz w:val="12"/>
                <w:szCs w:val="12"/>
                <w:color w:val="auto"/>
                <w:w w:val="96"/>
              </w:rPr>
              <w:t>Weighted Average Issuance Date Valuation Assumptions</w:t>
            </w:r>
          </w:p>
        </w:tc>
        <w:tc>
          <w:tcPr>
            <w:tcW w:w="8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r>
      <w:tr>
        <w:trPr>
          <w:trHeight w:val="133"/>
        </w:trPr>
        <w:tc>
          <w:tcPr>
            <w:tcW w:w="2160" w:type="dxa"/>
            <w:vAlign w:val="bottom"/>
            <w:gridSpan w:val="2"/>
          </w:tcPr>
          <w:p>
            <w:pPr>
              <w:jc w:val="center"/>
              <w:ind w:right="940"/>
              <w:spacing w:after="0" w:line="133" w:lineRule="exact"/>
              <w:rPr>
                <w:sz w:val="20"/>
                <w:szCs w:val="20"/>
                <w:color w:val="auto"/>
              </w:rPr>
            </w:pPr>
            <w:r>
              <w:rPr>
                <w:rFonts w:ascii="Arial" w:cs="Arial" w:eastAsia="Arial" w:hAnsi="Arial"/>
                <w:sz w:val="12"/>
                <w:szCs w:val="12"/>
                <w:color w:val="auto"/>
                <w:w w:val="88"/>
              </w:rPr>
              <w:t>Warrant</w:t>
            </w: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gridSpan w:val="2"/>
          </w:tcPr>
          <w:p>
            <w:pPr>
              <w:jc w:val="center"/>
              <w:ind w:right="220"/>
              <w:spacing w:after="0" w:line="133" w:lineRule="exact"/>
              <w:rPr>
                <w:sz w:val="20"/>
                <w:szCs w:val="20"/>
                <w:color w:val="auto"/>
              </w:rPr>
            </w:pPr>
            <w:r>
              <w:rPr>
                <w:rFonts w:ascii="Arial" w:cs="Arial" w:eastAsia="Arial" w:hAnsi="Arial"/>
                <w:sz w:val="12"/>
                <w:szCs w:val="12"/>
                <w:color w:val="auto"/>
                <w:w w:val="92"/>
              </w:rPr>
              <w:t>Risk free</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4"/>
        </w:trPr>
        <w:tc>
          <w:tcPr>
            <w:tcW w:w="2160" w:type="dxa"/>
            <w:vAlign w:val="bottom"/>
            <w:gridSpan w:val="2"/>
          </w:tcPr>
          <w:p>
            <w:pPr>
              <w:jc w:val="center"/>
              <w:ind w:right="960"/>
              <w:spacing w:after="0"/>
              <w:rPr>
                <w:sz w:val="20"/>
                <w:szCs w:val="20"/>
                <w:color w:val="auto"/>
              </w:rPr>
            </w:pPr>
            <w:r>
              <w:rPr>
                <w:rFonts w:ascii="Arial" w:cs="Arial" w:eastAsia="Arial" w:hAnsi="Arial"/>
                <w:sz w:val="12"/>
                <w:szCs w:val="12"/>
                <w:color w:val="auto"/>
                <w:w w:val="84"/>
              </w:rPr>
              <w:t>Shares</w:t>
            </w:r>
          </w:p>
        </w:tc>
        <w:tc>
          <w:tcPr>
            <w:tcW w:w="860" w:type="dxa"/>
            <w:vAlign w:val="bottom"/>
          </w:tcPr>
          <w:p>
            <w:pPr>
              <w:ind w:left="420"/>
              <w:spacing w:after="0"/>
              <w:rPr>
                <w:sz w:val="20"/>
                <w:szCs w:val="20"/>
                <w:color w:val="auto"/>
              </w:rPr>
            </w:pPr>
            <w:r>
              <w:rPr>
                <w:rFonts w:ascii="Arial" w:cs="Arial" w:eastAsia="Arial" w:hAnsi="Arial"/>
                <w:sz w:val="12"/>
                <w:szCs w:val="12"/>
                <w:color w:val="auto"/>
              </w:rPr>
              <w:t>Market</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jc w:val="center"/>
              <w:ind w:left="260"/>
              <w:spacing w:after="0"/>
              <w:rPr>
                <w:sz w:val="20"/>
                <w:szCs w:val="20"/>
                <w:color w:val="auto"/>
              </w:rPr>
            </w:pPr>
            <w:r>
              <w:rPr>
                <w:rFonts w:ascii="Arial" w:cs="Arial" w:eastAsia="Arial" w:hAnsi="Arial"/>
                <w:sz w:val="12"/>
                <w:szCs w:val="12"/>
                <w:color w:val="auto"/>
                <w:w w:val="91"/>
              </w:rPr>
              <w:t>Exercise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40" w:type="dxa"/>
            <w:vAlign w:val="bottom"/>
            <w:gridSpan w:val="2"/>
          </w:tcPr>
          <w:p>
            <w:pPr>
              <w:jc w:val="center"/>
              <w:ind w:right="940"/>
              <w:spacing w:after="0"/>
              <w:rPr>
                <w:sz w:val="20"/>
                <w:szCs w:val="20"/>
                <w:color w:val="auto"/>
              </w:rPr>
            </w:pPr>
            <w:r>
              <w:rPr>
                <w:rFonts w:ascii="Arial" w:cs="Arial" w:eastAsia="Arial" w:hAnsi="Arial"/>
                <w:sz w:val="12"/>
                <w:szCs w:val="12"/>
                <w:color w:val="auto"/>
                <w:w w:val="92"/>
              </w:rPr>
              <w:t>Term</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Interest</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3"/>
        </w:trPr>
        <w:tc>
          <w:tcPr>
            <w:tcW w:w="2160" w:type="dxa"/>
            <w:vAlign w:val="bottom"/>
            <w:gridSpan w:val="2"/>
          </w:tcPr>
          <w:p>
            <w:pPr>
              <w:jc w:val="center"/>
              <w:ind w:right="940"/>
              <w:spacing w:after="0"/>
              <w:rPr>
                <w:sz w:val="20"/>
                <w:szCs w:val="20"/>
                <w:color w:val="auto"/>
              </w:rPr>
            </w:pPr>
            <w:r>
              <w:rPr>
                <w:rFonts w:ascii="Arial" w:cs="Arial" w:eastAsia="Arial" w:hAnsi="Arial"/>
                <w:sz w:val="12"/>
                <w:szCs w:val="12"/>
                <w:color w:val="auto"/>
                <w:w w:val="84"/>
              </w:rPr>
              <w:t>Issued</w:t>
            </w:r>
          </w:p>
        </w:tc>
        <w:tc>
          <w:tcPr>
            <w:tcW w:w="860" w:type="dxa"/>
            <w:vAlign w:val="bottom"/>
          </w:tcPr>
          <w:p>
            <w:pPr>
              <w:ind w:left="480"/>
              <w:spacing w:after="0"/>
              <w:rPr>
                <w:sz w:val="20"/>
                <w:szCs w:val="20"/>
                <w:color w:val="auto"/>
              </w:rPr>
            </w:pPr>
            <w:r>
              <w:rPr>
                <w:rFonts w:ascii="Arial" w:cs="Arial" w:eastAsia="Arial" w:hAnsi="Arial"/>
                <w:sz w:val="12"/>
                <w:szCs w:val="12"/>
                <w:color w:val="auto"/>
              </w:rPr>
              <w:t>Price</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jc w:val="center"/>
              <w:ind w:left="280"/>
              <w:spacing w:after="0"/>
              <w:rPr>
                <w:sz w:val="20"/>
                <w:szCs w:val="20"/>
                <w:color w:val="auto"/>
              </w:rPr>
            </w:pPr>
            <w:r>
              <w:rPr>
                <w:rFonts w:ascii="Arial" w:cs="Arial" w:eastAsia="Arial" w:hAnsi="Arial"/>
                <w:sz w:val="12"/>
                <w:szCs w:val="12"/>
                <w:color w:val="auto"/>
                <w:w w:val="87"/>
              </w:rPr>
              <w:t>Price</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40" w:type="dxa"/>
            <w:vAlign w:val="bottom"/>
            <w:gridSpan w:val="2"/>
          </w:tcPr>
          <w:p>
            <w:pPr>
              <w:jc w:val="center"/>
              <w:ind w:right="940"/>
              <w:spacing w:after="0"/>
              <w:rPr>
                <w:sz w:val="20"/>
                <w:szCs w:val="20"/>
                <w:color w:val="auto"/>
              </w:rPr>
            </w:pPr>
            <w:r>
              <w:rPr>
                <w:rFonts w:ascii="Arial" w:cs="Arial" w:eastAsia="Arial" w:hAnsi="Arial"/>
                <w:sz w:val="12"/>
                <w:szCs w:val="12"/>
                <w:color w:val="auto"/>
                <w:w w:val="86"/>
              </w:rPr>
              <w:t>(Years)</w:t>
            </w: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Rate</w:t>
            </w:r>
          </w:p>
        </w:tc>
        <w:tc>
          <w:tcPr>
            <w:tcW w:w="800" w:type="dxa"/>
            <w:vAlign w:val="bottom"/>
          </w:tcPr>
          <w:p>
            <w:pPr>
              <w:spacing w:after="0"/>
              <w:rPr>
                <w:sz w:val="13"/>
                <w:szCs w:val="13"/>
                <w:color w:val="auto"/>
              </w:rPr>
            </w:pPr>
          </w:p>
        </w:tc>
        <w:tc>
          <w:tcPr>
            <w:tcW w:w="920" w:type="dxa"/>
            <w:vAlign w:val="bottom"/>
            <w:gridSpan w:val="2"/>
          </w:tcPr>
          <w:p>
            <w:pPr>
              <w:ind w:left="360"/>
              <w:spacing w:after="0"/>
              <w:rPr>
                <w:sz w:val="20"/>
                <w:szCs w:val="20"/>
                <w:color w:val="auto"/>
              </w:rPr>
            </w:pPr>
            <w:r>
              <w:rPr>
                <w:rFonts w:ascii="Arial" w:cs="Arial" w:eastAsia="Arial" w:hAnsi="Arial"/>
                <w:sz w:val="12"/>
                <w:szCs w:val="12"/>
                <w:color w:val="auto"/>
              </w:rPr>
              <w:t>Volatility</w:t>
            </w:r>
          </w:p>
        </w:tc>
      </w:tr>
      <w:tr>
        <w:trPr>
          <w:trHeight w:val="142"/>
        </w:trPr>
        <w:tc>
          <w:tcPr>
            <w:tcW w:w="122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r>
      <w:tr>
        <w:trPr>
          <w:trHeight w:val="144"/>
        </w:trPr>
        <w:tc>
          <w:tcPr>
            <w:tcW w:w="2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24,250</w:t>
            </w:r>
          </w:p>
        </w:tc>
        <w:tc>
          <w:tcPr>
            <w:tcW w:w="8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10.00</w:t>
            </w:r>
          </w:p>
        </w:tc>
        <w:tc>
          <w:tcPr>
            <w:tcW w:w="8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10.00</w:t>
            </w:r>
          </w:p>
        </w:tc>
        <w:tc>
          <w:tcPr>
            <w:tcW w:w="292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1.70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0.45</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856"/>
        </w:trPr>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gridSpan w:val="3"/>
          </w:tcPr>
          <w:p>
            <w:pPr>
              <w:jc w:val="right"/>
              <w:ind w:right="2640"/>
              <w:spacing w:after="0"/>
              <w:rPr>
                <w:sz w:val="20"/>
                <w:szCs w:val="20"/>
                <w:color w:val="auto"/>
              </w:rPr>
            </w:pPr>
            <w:r>
              <w:rPr>
                <w:rFonts w:ascii="Arial" w:cs="Arial" w:eastAsia="Arial" w:hAnsi="Arial"/>
                <w:sz w:val="12"/>
                <w:szCs w:val="12"/>
                <w:color w:val="auto"/>
              </w:rPr>
              <w:t>F-69</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
        </w:trPr>
        <w:tc>
          <w:tcPr>
            <w:tcW w:w="12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392" w:right="139" w:bottom="1440" w:gutter="0" w:footer="0" w:header="0"/>
        </w:sectPr>
      </w:pPr>
    </w:p>
    <w:bookmarkStart w:id="193" w:name="page194"/>
    <w:bookmarkEnd w:id="193"/>
    <w:p>
      <w:pPr>
        <w:jc w:val="both"/>
        <w:ind w:firstLine="432"/>
        <w:spacing w:after="0" w:line="259" w:lineRule="auto"/>
        <w:rPr>
          <w:sz w:val="20"/>
          <w:szCs w:val="20"/>
          <w:color w:val="auto"/>
        </w:rPr>
      </w:pPr>
      <w:r>
        <w:rPr>
          <w:rFonts w:ascii="Arial" w:cs="Arial" w:eastAsia="Arial" w:hAnsi="Arial"/>
          <w:sz w:val="12"/>
          <w:szCs w:val="12"/>
          <w:color w:val="auto"/>
        </w:rPr>
        <w:t>Between late March 2014 and May 14, 2015, in self-placed private placement transactions, we entered into securities purchase agreements with accredited investors for the 2014 Unit Private Placement pursuant to which we sold Units to such accredited investors for aggregate cash proceeds of $3,393,500, consisting of (i) 10% convertible notes in the aggregate face amount of $3,393,500 due between March 31, 2015 and May 15, 2015 or automatically convertible into securities issuable upon our consummation of a Qualified Financing, as defined in the note (ii) an aggregate of 315,850 restricted shares of our common stock; and (iii) warrants exercisable through December 31, 2016 to purchase an aggregate of 307,100 restricted shares of our common stock at an exercise price of $10.00 per share.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Creation of Series B Preferred Stock</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On May 7, 2015, we filed a Certificate of Designation of the Relative Rights and Preferences of the Series B 10% Preferred Stock of VistaGen Therapeutics, Inc. (</w:t>
      </w:r>
      <w:r>
        <w:rPr>
          <w:rFonts w:ascii="Arial" w:cs="Arial" w:eastAsia="Arial" w:hAnsi="Arial"/>
          <w:sz w:val="12"/>
          <w:szCs w:val="12"/>
          <w:i w:val="1"/>
          <w:iCs w:val="1"/>
          <w:color w:val="auto"/>
        </w:rPr>
        <w:t>Certificate of Designation</w:t>
      </w:r>
      <w:r>
        <w:rPr>
          <w:rFonts w:ascii="Arial" w:cs="Arial" w:eastAsia="Arial" w:hAnsi="Arial"/>
          <w:sz w:val="12"/>
          <w:szCs w:val="12"/>
          <w:color w:val="auto"/>
        </w:rPr>
        <w:t>) with the Nevada Secretary of State to designate 4.0 million shares of our authorized preferred stock as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Each share of Series B Preferred is convertible, at the option of the holder (</w:t>
      </w:r>
      <w:r>
        <w:rPr>
          <w:rFonts w:ascii="Arial" w:cs="Arial" w:eastAsia="Arial" w:hAnsi="Arial"/>
          <w:sz w:val="12"/>
          <w:szCs w:val="12"/>
          <w:i w:val="1"/>
          <w:iCs w:val="1"/>
          <w:color w:val="auto"/>
        </w:rPr>
        <w:t>Voluntary Conversion</w:t>
      </w:r>
      <w:r>
        <w:rPr>
          <w:rFonts w:ascii="Arial" w:cs="Arial" w:eastAsia="Arial" w:hAnsi="Arial"/>
          <w:sz w:val="12"/>
          <w:szCs w:val="12"/>
          <w:color w:val="auto"/>
        </w:rPr>
        <w:t>), into one (1) share of our common stock at a fixed conversion price of $7.00 per share (</w:t>
      </w:r>
      <w:r>
        <w:rPr>
          <w:rFonts w:ascii="Arial" w:cs="Arial" w:eastAsia="Arial" w:hAnsi="Arial"/>
          <w:sz w:val="12"/>
          <w:szCs w:val="12"/>
          <w:i w:val="1"/>
          <w:iCs w:val="1"/>
          <w:color w:val="auto"/>
        </w:rPr>
        <w:t>Conversion Price</w:t>
      </w:r>
      <w:r>
        <w:rPr>
          <w:rFonts w:ascii="Arial" w:cs="Arial" w:eastAsia="Arial" w:hAnsi="Arial"/>
          <w:sz w:val="12"/>
          <w:szCs w:val="12"/>
          <w:color w:val="auto"/>
        </w:rPr>
        <w:t>). The Conversion Price is subject to adjustment, but only for customary stock dividends, reclassifications, splits and similar transactions set forth in the Certificate of Designation. All outstanding shares of Series B Preferred are also convertible automatically into shares of our common stock (</w:t>
      </w:r>
      <w:r>
        <w:rPr>
          <w:rFonts w:ascii="Arial" w:cs="Arial" w:eastAsia="Arial" w:hAnsi="Arial"/>
          <w:sz w:val="12"/>
          <w:szCs w:val="12"/>
          <w:i w:val="1"/>
          <w:iCs w:val="1"/>
          <w:color w:val="auto"/>
        </w:rPr>
        <w:t>Automatic Conversion</w:t>
      </w:r>
      <w:r>
        <w:rPr>
          <w:rFonts w:ascii="Arial" w:cs="Arial" w:eastAsia="Arial" w:hAnsi="Arial"/>
          <w:sz w:val="12"/>
          <w:szCs w:val="12"/>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2"/>
          <w:szCs w:val="12"/>
          <w:i w:val="1"/>
          <w:iCs w:val="1"/>
          <w:color w:val="auto"/>
        </w:rPr>
        <w:t>Conversion</w:t>
      </w:r>
      <w:r>
        <w:rPr>
          <w:rFonts w:ascii="Arial" w:cs="Arial" w:eastAsia="Arial" w:hAnsi="Arial"/>
          <w:sz w:val="12"/>
          <w:szCs w:val="12"/>
          <w:color w:val="auto"/>
        </w:rPr>
        <w:t>) are subject to certain beneficial ownership blockers as set forth in the Certificate of Designation and/or securities purchase agreements.</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Prior to Conversion, shares of Series B Preferred will accrue dividends, payable only in unregistered shares of our common stock, at a rate of 10% per annum (</w:t>
      </w:r>
      <w:r>
        <w:rPr>
          <w:rFonts w:ascii="Arial" w:cs="Arial" w:eastAsia="Arial" w:hAnsi="Arial"/>
          <w:sz w:val="12"/>
          <w:szCs w:val="12"/>
          <w:i w:val="1"/>
          <w:iCs w:val="1"/>
          <w:color w:val="auto"/>
        </w:rPr>
        <w:t>Accrued Dividends</w:t>
      </w:r>
      <w:r>
        <w:rPr>
          <w:rFonts w:ascii="Arial" w:cs="Arial" w:eastAsia="Arial" w:hAnsi="Arial"/>
          <w:sz w:val="12"/>
          <w:szCs w:val="12"/>
          <w:color w:val="auto"/>
        </w:rPr>
        <w:t>). The Accrued Dividends will be payable on the date of either a Voluntary Conversion or Automatic Conversion solely in that number of shares of common stock equal to the Accrued Dividends, divided by the Conversion Price. At June 30, 2015, we have recognized a liability in the amount of $213,300 for Accrued Dividends in the accompanying Condensed Consolidated Balance Sheet at June 30, 2015, based on the Series B Preferred issued and outstanding through the quarter ended June 30, 2015. This amount is also recognized in arriving at net loss attributable to common stockholders in the accompanying Condensed Consolidated Statement of Operations and Comprehensive Loss for the quarter ended June 30, 2015. The liquidation value of the Series B Preferred at June 30, 2015 is approximately $21,182,300.</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Agreement with Platinum</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May 5, 2015, we entered into an Agreement with Platinum, which, as modified by an Acknowledgement and Agreement, became effective on May 12, 2015 (</w:t>
      </w:r>
      <w:r>
        <w:rPr>
          <w:rFonts w:ascii="Arial" w:cs="Arial" w:eastAsia="Arial" w:hAnsi="Arial"/>
          <w:sz w:val="11"/>
          <w:szCs w:val="11"/>
          <w:i w:val="1"/>
          <w:iCs w:val="1"/>
          <w:color w:val="auto"/>
        </w:rPr>
        <w:t>Platinum Agreement</w:t>
      </w:r>
      <w:r>
        <w:rPr>
          <w:rFonts w:ascii="Arial" w:cs="Arial" w:eastAsia="Arial" w:hAnsi="Arial"/>
          <w:sz w:val="11"/>
          <w:szCs w:val="11"/>
          <w:color w:val="auto"/>
        </w:rPr>
        <w:t>) and pursuant to which Platinum:</w:t>
      </w:r>
    </w:p>
    <w:p>
      <w:pPr>
        <w:spacing w:after="0" w:line="342" w:lineRule="exact"/>
        <w:rPr>
          <w:sz w:val="20"/>
          <w:szCs w:val="20"/>
          <w:color w:val="auto"/>
        </w:rPr>
      </w:pPr>
    </w:p>
    <w:p>
      <w:pPr>
        <w:ind w:left="680" w:hanging="377"/>
        <w:spacing w:after="0" w:line="276" w:lineRule="auto"/>
        <w:tabs>
          <w:tab w:leader="none" w:pos="6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 xml:space="preserve">Converted all of the approximately $4.5 million outstanding balance (principal and accrued but unpaid interest) of the Senior Notes we issued to Platinum into 641,335 shares of Series B Preferred, as described previously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and</w:t>
      </w:r>
    </w:p>
    <w:p>
      <w:pPr>
        <w:spacing w:after="0" w:line="114" w:lineRule="exact"/>
        <w:rPr>
          <w:rFonts w:ascii="Arial" w:cs="Arial" w:eastAsia="Arial" w:hAnsi="Arial"/>
          <w:sz w:val="12"/>
          <w:szCs w:val="12"/>
          <w:color w:val="auto"/>
        </w:rPr>
      </w:pPr>
    </w:p>
    <w:p>
      <w:pPr>
        <w:ind w:left="680" w:hanging="377"/>
        <w:spacing w:after="0" w:line="276" w:lineRule="auto"/>
        <w:tabs>
          <w:tab w:leader="none" w:pos="6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14" w:lineRule="exact"/>
        <w:rPr>
          <w:rFonts w:ascii="Arial" w:cs="Arial" w:eastAsia="Arial" w:hAnsi="Arial"/>
          <w:sz w:val="12"/>
          <w:szCs w:val="12"/>
          <w:color w:val="auto"/>
        </w:rPr>
      </w:pPr>
    </w:p>
    <w:p>
      <w:pPr>
        <w:ind w:left="680" w:hanging="377"/>
        <w:spacing w:after="0" w:line="323" w:lineRule="auto"/>
        <w:tabs>
          <w:tab w:leader="none" w:pos="680" w:val="left"/>
        </w:tabs>
        <w:numPr>
          <w:ilvl w:val="0"/>
          <w:numId w:val="89"/>
        </w:numPr>
        <w:rPr>
          <w:rFonts w:ascii="Arial" w:cs="Arial" w:eastAsia="Arial" w:hAnsi="Arial"/>
          <w:sz w:val="11"/>
          <w:szCs w:val="11"/>
          <w:color w:val="auto"/>
        </w:rPr>
      </w:pPr>
      <w:r>
        <w:rPr>
          <w:rFonts w:ascii="Arial" w:cs="Arial" w:eastAsia="Arial" w:hAnsi="Arial"/>
          <w:sz w:val="11"/>
          <w:szCs w:val="11"/>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1"/>
          <w:szCs w:val="11"/>
          <w:i w:val="1"/>
          <w:iCs w:val="1"/>
          <w:color w:val="auto"/>
        </w:rPr>
        <w:t>Series B Warrants</w:t>
      </w:r>
      <w:r>
        <w:rPr>
          <w:rFonts w:ascii="Arial" w:cs="Arial" w:eastAsia="Arial" w:hAnsi="Arial"/>
          <w:sz w:val="11"/>
          <w:szCs w:val="11"/>
          <w:color w:val="auto"/>
        </w:rPr>
        <w:t xml:space="preserve">), as described previously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4" w:name="page195"/>
    <w:bookmarkEnd w:id="194"/>
    <w:p>
      <w:pPr>
        <w:jc w:val="both"/>
        <w:ind w:left="680" w:hanging="377"/>
        <w:spacing w:after="0" w:line="263" w:lineRule="auto"/>
        <w:tabs>
          <w:tab w:leader="none" w:pos="6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2"/>
          <w:szCs w:val="12"/>
          <w:i w:val="1"/>
          <w:iCs w:val="1"/>
          <w:color w:val="auto"/>
        </w:rPr>
        <w:t>Acquired Unit Notes</w:t>
      </w:r>
      <w:r>
        <w:rPr>
          <w:rFonts w:ascii="Arial" w:cs="Arial" w:eastAsia="Arial" w:hAnsi="Arial"/>
          <w:sz w:val="12"/>
          <w:szCs w:val="12"/>
          <w:color w:val="auto"/>
        </w:rPr>
        <w:t xml:space="preserve">) and converted the entire outstanding balance of the Acquired Unit Notes into 265,699 shares of Series B Preferred and Series B Warrants to purchase 265,699 shares of our common stock, as described previously in Note 7, </w:t>
      </w:r>
      <w:r>
        <w:rPr>
          <w:rFonts w:ascii="Arial" w:cs="Arial" w:eastAsia="Arial" w:hAnsi="Arial"/>
          <w:sz w:val="12"/>
          <w:szCs w:val="12"/>
          <w:i w:val="1"/>
          <w:iCs w:val="1"/>
          <w:color w:val="auto"/>
        </w:rPr>
        <w:t>Convertible</w:t>
      </w:r>
      <w:r>
        <w:rPr>
          <w:rFonts w:ascii="Arial" w:cs="Arial" w:eastAsia="Arial" w:hAnsi="Arial"/>
          <w:sz w:val="12"/>
          <w:szCs w:val="12"/>
          <w:color w:val="auto"/>
        </w:rPr>
        <w:t xml:space="preserve"> </w:t>
      </w:r>
      <w:r>
        <w:rPr>
          <w:rFonts w:ascii="Arial" w:cs="Arial" w:eastAsia="Arial" w:hAnsi="Arial"/>
          <w:sz w:val="12"/>
          <w:szCs w:val="12"/>
          <w:i w:val="1"/>
          <w:iCs w:val="1"/>
          <w:color w:val="auto"/>
        </w:rPr>
        <w:t>Promissory Notes and Other Notes Payable</w:t>
      </w:r>
      <w:r>
        <w:rPr>
          <w:rFonts w:ascii="Arial" w:cs="Arial" w:eastAsia="Arial" w:hAnsi="Arial"/>
          <w:sz w:val="12"/>
          <w:szCs w:val="12"/>
          <w:color w:val="auto"/>
        </w:rPr>
        <w:t>; and;</w:t>
      </w:r>
    </w:p>
    <w:p>
      <w:pPr>
        <w:spacing w:after="0" w:line="122" w:lineRule="exact"/>
        <w:rPr>
          <w:rFonts w:ascii="Arial" w:cs="Arial" w:eastAsia="Arial" w:hAnsi="Arial"/>
          <w:sz w:val="12"/>
          <w:szCs w:val="12"/>
          <w:color w:val="auto"/>
        </w:rPr>
      </w:pPr>
    </w:p>
    <w:p>
      <w:pPr>
        <w:jc w:val="both"/>
        <w:ind w:left="680" w:hanging="377"/>
        <w:spacing w:after="0" w:line="259" w:lineRule="auto"/>
        <w:tabs>
          <w:tab w:leader="none" w:pos="6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Entered into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xml:space="preserve">) to purchase, for $1.0 million, a total of 142,857 shares of Series B Preferred and a Series B Warrant to purchase 142,857 shares of our common stock, on or before June 11, 2015 ($100,000 of which purchase was completed on June 19, 2015 and pursuant to which we issued 14,286 shares of Series B Preferred and a Series B Warrant to purchase 14,286 shares of our common stock.) See Note 10, </w:t>
      </w:r>
      <w:r>
        <w:rPr>
          <w:rFonts w:ascii="Arial" w:cs="Arial" w:eastAsia="Arial" w:hAnsi="Arial"/>
          <w:sz w:val="12"/>
          <w:szCs w:val="12"/>
          <w:i w:val="1"/>
          <w:iCs w:val="1"/>
          <w:color w:val="auto"/>
        </w:rPr>
        <w:t>Subsequent Events</w:t>
      </w:r>
      <w:r>
        <w:rPr>
          <w:rFonts w:ascii="Arial" w:cs="Arial" w:eastAsia="Arial" w:hAnsi="Arial"/>
          <w:sz w:val="12"/>
          <w:szCs w:val="12"/>
          <w:color w:val="auto"/>
        </w:rPr>
        <w:t>, for disclosure regarding Platinum’s consummation of the remainder of this $1.0 million commitment and an agreement for $3.0 million of additional purchases of Series B Preferred and Series B Warrants</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SPA; and</w:t>
      </w:r>
    </w:p>
    <w:p>
      <w:pPr>
        <w:spacing w:after="0" w:line="124" w:lineRule="exact"/>
        <w:rPr>
          <w:rFonts w:ascii="Arial" w:cs="Arial" w:eastAsia="Arial" w:hAnsi="Arial"/>
          <w:sz w:val="12"/>
          <w:szCs w:val="12"/>
          <w:color w:val="auto"/>
        </w:rPr>
      </w:pPr>
    </w:p>
    <w:p>
      <w:pPr>
        <w:ind w:left="680" w:hanging="377"/>
        <w:spacing w:after="0" w:line="276" w:lineRule="auto"/>
        <w:tabs>
          <w:tab w:leader="none" w:pos="6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Amended the Platinum Warrants previously issued by us to Platinum in connection with the Senior Notes and the Series A Exchange Warrant to fix the exercise price thereof, eliminate the exercise price reset features and fix the number of shares of our common stock issuable thereunder, and eliminate the cashless exercise provisions from the Platinum Warrants and the Series A Exchange Warrant; and</w:t>
      </w:r>
    </w:p>
    <w:p>
      <w:pPr>
        <w:spacing w:after="0" w:line="114" w:lineRule="exact"/>
        <w:rPr>
          <w:rFonts w:ascii="Arial" w:cs="Arial" w:eastAsia="Arial" w:hAnsi="Arial"/>
          <w:sz w:val="12"/>
          <w:szCs w:val="12"/>
          <w:color w:val="auto"/>
        </w:rPr>
      </w:pPr>
    </w:p>
    <w:p>
      <w:pPr>
        <w:ind w:left="680" w:hanging="377"/>
        <w:spacing w:after="0" w:line="276" w:lineRule="auto"/>
        <w:tabs>
          <w:tab w:leader="none" w:pos="6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33"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As additional consideration for the several agreements of Platinum under the Platinum Agreement, we issued to Platinum 400,000 shares of Series B Preferred (</w:t>
      </w:r>
      <w:r>
        <w:rPr>
          <w:rFonts w:ascii="Arial" w:cs="Arial" w:eastAsia="Arial" w:hAnsi="Arial"/>
          <w:sz w:val="11"/>
          <w:szCs w:val="11"/>
          <w:i w:val="1"/>
          <w:iCs w:val="1"/>
          <w:color w:val="auto"/>
        </w:rPr>
        <w:t>Additional Consideration Shares</w:t>
      </w:r>
      <w:r>
        <w:rPr>
          <w:rFonts w:ascii="Arial" w:cs="Arial" w:eastAsia="Arial" w:hAnsi="Arial"/>
          <w:sz w:val="11"/>
          <w:szCs w:val="11"/>
          <w:color w:val="auto"/>
        </w:rPr>
        <w:t>) and Series B Warrants (</w:t>
      </w:r>
      <w:r>
        <w:rPr>
          <w:rFonts w:ascii="Arial" w:cs="Arial" w:eastAsia="Arial" w:hAnsi="Arial"/>
          <w:sz w:val="11"/>
          <w:szCs w:val="11"/>
          <w:i w:val="1"/>
          <w:iCs w:val="1"/>
          <w:color w:val="auto"/>
        </w:rPr>
        <w:t>Additional</w:t>
      </w:r>
      <w:r>
        <w:rPr>
          <w:rFonts w:ascii="Arial" w:cs="Arial" w:eastAsia="Arial" w:hAnsi="Arial"/>
          <w:sz w:val="11"/>
          <w:szCs w:val="11"/>
          <w:color w:val="auto"/>
        </w:rPr>
        <w:t xml:space="preserve"> </w:t>
      </w:r>
      <w:r>
        <w:rPr>
          <w:rFonts w:ascii="Arial" w:cs="Arial" w:eastAsia="Arial" w:hAnsi="Arial"/>
          <w:sz w:val="11"/>
          <w:szCs w:val="11"/>
          <w:i w:val="1"/>
          <w:iCs w:val="1"/>
          <w:color w:val="auto"/>
        </w:rPr>
        <w:t>Consideration Warrants</w:t>
      </w:r>
      <w:r>
        <w:rPr>
          <w:rFonts w:ascii="Arial" w:cs="Arial" w:eastAsia="Arial" w:hAnsi="Arial"/>
          <w:sz w:val="11"/>
          <w:szCs w:val="11"/>
          <w:color w:val="auto"/>
        </w:rPr>
        <w:t>) to purchase 1.2 million shares of our common stock, and exchanged 30,000 shares of our common stock then beneficially owned or controlled by Platinum for 30,000 shares of Series B Preferred. Considering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exchangeability of the Series B Preferred into our common stock, the dividend applicable to the Series B Preferred prior to such exchange and other factors, we determined that the fair value of a share of Series B Preferred issued to Platinum pursuant to the Platinum Agreement was equal to the market value of a share of our common stock on the effective date of the Platinum Agreement. Based on the $10.00 per share fair value of the Series B Preferred at the May 12, 2015 effective date of the Platinum Agreement, we issued Additional Consideration Shares having an aggregate fair value of $4.0 million to Platinum. We valued the Additional Consideration Warrants at an aggregate of $8,270,900 using the Black Scholes option pricing model and the same assumptions used in valuing the Series B Warrants issued to Platinum in connection with the conversion of the Platinum Unit Notes and the Acquired Unit Notes, as described previously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We recognized the aggregate fair value of the Additional Consideration Shares and Additional Consideration Warrants as a non-cash component of loss on debt extinguishment in the quarter ended June 30, 2015 in the accompanying Condensed Consolidated Statement of Operations and Comprehensive Loss.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B Preferred Unit Offering</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Between May 26, 2015 and June 30, 2015, in self-placed private placement transactions, we sold to accredited investors an aggregate of $607,500 of units in our Series B Preferred Unit offering, which units consist of Series B Preferred and Series B Warrants (together Series B Preferred Units), including $100,000 to Platinum. We issued 86,790 shares of Series B Preferred and Series B Warrants to purchase 86,790 shares of our common stock. Through June 30, 2015, we received an aggregate of $607,500 in cash proceeds from our self-placed private placement and sale of the Series B Preferred Units.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5" w:name="page196"/>
    <w:bookmarkEnd w:id="195"/>
    <w:p>
      <w:pPr>
        <w:jc w:val="both"/>
        <w:ind w:firstLine="432"/>
        <w:spacing w:after="0" w:line="254" w:lineRule="auto"/>
        <w:rPr>
          <w:sz w:val="20"/>
          <w:szCs w:val="20"/>
          <w:color w:val="auto"/>
        </w:rPr>
      </w:pPr>
      <w:r>
        <w:rPr>
          <w:rFonts w:ascii="Arial" w:cs="Arial" w:eastAsia="Arial" w:hAnsi="Arial"/>
          <w:sz w:val="12"/>
          <w:szCs w:val="12"/>
          <w:color w:val="auto"/>
        </w:rPr>
        <w:t xml:space="preserve">We allocated the proceeds from the sale of the Series B Preferred Units to the Series B Preferred and the Series B Warrants based on their relative fair values on the dates of the sales. As described in Note 7, </w:t>
      </w:r>
      <w:r>
        <w:rPr>
          <w:rFonts w:ascii="Arial" w:cs="Arial" w:eastAsia="Arial" w:hAnsi="Arial"/>
          <w:sz w:val="12"/>
          <w:szCs w:val="12"/>
          <w:i w:val="1"/>
          <w:iCs w:val="1"/>
          <w:color w:val="auto"/>
        </w:rPr>
        <w:t>Convertible</w:t>
      </w:r>
      <w:r>
        <w:rPr>
          <w:rFonts w:ascii="Arial" w:cs="Arial" w:eastAsia="Arial" w:hAnsi="Arial"/>
          <w:sz w:val="12"/>
          <w:szCs w:val="12"/>
          <w:color w:val="auto"/>
        </w:rPr>
        <w:t xml:space="preserve"> </w:t>
      </w:r>
      <w:r>
        <w:rPr>
          <w:rFonts w:ascii="Arial" w:cs="Arial" w:eastAsia="Arial" w:hAnsi="Arial"/>
          <w:sz w:val="12"/>
          <w:szCs w:val="12"/>
          <w:i w:val="1"/>
          <w:iCs w:val="1"/>
          <w:color w:val="auto"/>
        </w:rPr>
        <w:t>Promissory Notes and Other Notes Payable</w:t>
      </w:r>
      <w:r>
        <w:rPr>
          <w:rFonts w:ascii="Arial" w:cs="Arial" w:eastAsia="Arial" w:hAnsi="Arial"/>
          <w:sz w:val="12"/>
          <w:szCs w:val="12"/>
          <w:color w:val="auto"/>
        </w:rPr>
        <w:t>, we determined that the fair value of a share of Series B Preferred was equal to the quoted market value of a share of our common stock on the date of a Series B Preferred Unit sale. We</w:t>
      </w:r>
      <w:r>
        <w:rPr>
          <w:rFonts w:ascii="Arial" w:cs="Arial" w:eastAsia="Arial" w:hAnsi="Arial"/>
          <w:sz w:val="12"/>
          <w:szCs w:val="12"/>
          <w:i w:val="1"/>
          <w:iCs w:val="1"/>
          <w:color w:val="auto"/>
        </w:rPr>
        <w:t xml:space="preserve"> </w:t>
      </w:r>
      <w:r>
        <w:rPr>
          <w:rFonts w:ascii="Arial" w:cs="Arial" w:eastAsia="Arial" w:hAnsi="Arial"/>
          <w:sz w:val="12"/>
          <w:szCs w:val="12"/>
          <w:color w:val="auto"/>
        </w:rPr>
        <w:t>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$4.05 per share, and its Conversion Price (or stated value) of $7.00 per share represents a deemed dividend to the purchasers of the Series B Preferred Units. Accordingly, we have recognized a deemed dividend in the aggregate amount of $256,200 in arriving at net loss attributable to common stockholders in the accompanying Condensed Consolidated Statement of Operations and Comprehensive Loss for the quarter ended June 30, 2015.</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See Note 10, </w:t>
      </w:r>
      <w:r>
        <w:rPr>
          <w:rFonts w:ascii="Arial" w:cs="Arial" w:eastAsia="Arial" w:hAnsi="Arial"/>
          <w:sz w:val="12"/>
          <w:szCs w:val="12"/>
          <w:i w:val="1"/>
          <w:iCs w:val="1"/>
          <w:color w:val="auto"/>
        </w:rPr>
        <w:t>Subsequent Events</w:t>
      </w:r>
      <w:r>
        <w:rPr>
          <w:rFonts w:ascii="Arial" w:cs="Arial" w:eastAsia="Arial" w:hAnsi="Arial"/>
          <w:sz w:val="12"/>
          <w:szCs w:val="12"/>
          <w:color w:val="auto"/>
        </w:rPr>
        <w:t>, for disclosure regarding additional sales of Series B Preferred Units after June 30,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Series B Warrants</w:t>
            </w: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2"/>
                <w:szCs w:val="12"/>
                <w:color w:val="auto"/>
                <w:w w:val="88"/>
              </w:rPr>
              <w:t>Series B</w:t>
            </w:r>
          </w:p>
        </w:tc>
        <w:tc>
          <w:tcPr>
            <w:tcW w:w="36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color w:val="auto"/>
                <w:w w:val="90"/>
              </w:rPr>
              <w:t>Weighted Average Issuance Date Valuation Assumptions</w:t>
            </w:r>
          </w:p>
        </w:tc>
        <w:tc>
          <w:tcPr>
            <w:tcW w:w="6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2"/>
                <w:szCs w:val="12"/>
                <w:color w:val="auto"/>
                <w:w w:val="85"/>
              </w:rPr>
              <w:t>Per Share</w:t>
            </w:r>
          </w:p>
        </w:tc>
        <w:tc>
          <w:tcPr>
            <w:tcW w:w="740" w:type="dxa"/>
            <w:vAlign w:val="bottom"/>
          </w:tcPr>
          <w:p>
            <w:pPr>
              <w:jc w:val="center"/>
              <w:ind w:right="20"/>
              <w:spacing w:after="0"/>
              <w:rPr>
                <w:sz w:val="20"/>
                <w:szCs w:val="20"/>
                <w:color w:val="auto"/>
              </w:rPr>
            </w:pPr>
            <w:r>
              <w:rPr>
                <w:rFonts w:ascii="Arial" w:cs="Arial" w:eastAsia="Arial" w:hAnsi="Arial"/>
                <w:sz w:val="12"/>
                <w:szCs w:val="12"/>
                <w:color w:val="auto"/>
                <w:w w:val="90"/>
              </w:rPr>
              <w:t>Aggregate</w:t>
            </w:r>
          </w:p>
        </w:tc>
        <w:tc>
          <w:tcPr>
            <w:tcW w:w="1360" w:type="dxa"/>
            <w:vAlign w:val="bottom"/>
            <w:gridSpan w:val="3"/>
          </w:tcPr>
          <w:p>
            <w:pPr>
              <w:jc w:val="center"/>
              <w:ind w:right="180"/>
              <w:spacing w:after="0"/>
              <w:rPr>
                <w:sz w:val="20"/>
                <w:szCs w:val="20"/>
                <w:color w:val="auto"/>
              </w:rPr>
            </w:pPr>
            <w:r>
              <w:rPr>
                <w:rFonts w:ascii="Arial" w:cs="Arial" w:eastAsia="Arial" w:hAnsi="Arial"/>
                <w:sz w:val="12"/>
                <w:szCs w:val="12"/>
                <w:color w:val="auto"/>
                <w:w w:val="90"/>
              </w:rPr>
              <w:t>Aggregate</w:t>
            </w:r>
          </w:p>
        </w:tc>
        <w:tc>
          <w:tcPr>
            <w:tcW w:w="240" w:type="dxa"/>
            <w:vAlign w:val="bottom"/>
          </w:tcPr>
          <w:p>
            <w:pPr>
              <w:spacing w:after="0"/>
              <w:rPr>
                <w:sz w:val="12"/>
                <w:szCs w:val="12"/>
                <w:color w:val="auto"/>
              </w:rPr>
            </w:pPr>
          </w:p>
        </w:tc>
        <w:tc>
          <w:tcPr>
            <w:tcW w:w="2220" w:type="dxa"/>
            <w:vAlign w:val="bottom"/>
            <w:gridSpan w:val="4"/>
          </w:tcPr>
          <w:p>
            <w:pPr>
              <w:jc w:val="center"/>
              <w:ind w:right="440"/>
              <w:spacing w:after="0"/>
              <w:rPr>
                <w:sz w:val="20"/>
                <w:szCs w:val="20"/>
                <w:color w:val="auto"/>
              </w:rPr>
            </w:pPr>
            <w:r>
              <w:rPr>
                <w:rFonts w:ascii="Arial" w:cs="Arial" w:eastAsia="Arial" w:hAnsi="Arial"/>
                <w:sz w:val="12"/>
                <w:szCs w:val="12"/>
                <w:color w:val="auto"/>
                <w:w w:val="90"/>
              </w:rPr>
              <w:t>Aggregate Allocation of Proceeds</w:t>
            </w: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2"/>
                <w:szCs w:val="12"/>
                <w:color w:val="auto"/>
                <w:w w:val="88"/>
              </w:rPr>
              <w:t>Warrant</w:t>
            </w: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jc w:val="center"/>
              <w:ind w:right="20"/>
              <w:spacing w:after="0"/>
              <w:rPr>
                <w:sz w:val="20"/>
                <w:szCs w:val="20"/>
                <w:color w:val="auto"/>
              </w:rPr>
            </w:pPr>
            <w:r>
              <w:rPr>
                <w:rFonts w:ascii="Arial" w:cs="Arial" w:eastAsia="Arial" w:hAnsi="Arial"/>
                <w:sz w:val="12"/>
                <w:szCs w:val="12"/>
                <w:color w:val="auto"/>
                <w:w w:val="92"/>
              </w:rPr>
              <w:t>Risk free</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jc w:val="center"/>
              <w:ind w:left="180"/>
              <w:spacing w:after="0"/>
              <w:rPr>
                <w:sz w:val="20"/>
                <w:szCs w:val="20"/>
                <w:color w:val="auto"/>
              </w:rPr>
            </w:pPr>
            <w:r>
              <w:rPr>
                <w:rFonts w:ascii="Arial" w:cs="Arial" w:eastAsia="Arial" w:hAnsi="Arial"/>
                <w:sz w:val="12"/>
                <w:szCs w:val="12"/>
                <w:color w:val="auto"/>
                <w:w w:val="96"/>
              </w:rPr>
              <w:t>Fair</w:t>
            </w:r>
          </w:p>
        </w:tc>
        <w:tc>
          <w:tcPr>
            <w:tcW w:w="340" w:type="dxa"/>
            <w:vAlign w:val="bottom"/>
          </w:tcPr>
          <w:p>
            <w:pPr>
              <w:spacing w:after="0"/>
              <w:rPr>
                <w:sz w:val="12"/>
                <w:szCs w:val="12"/>
                <w:color w:val="auto"/>
              </w:rPr>
            </w:pPr>
          </w:p>
        </w:tc>
        <w:tc>
          <w:tcPr>
            <w:tcW w:w="740" w:type="dxa"/>
            <w:vAlign w:val="bottom"/>
          </w:tcPr>
          <w:p>
            <w:pPr>
              <w:jc w:val="center"/>
              <w:ind w:right="20"/>
              <w:spacing w:after="0"/>
              <w:rPr>
                <w:sz w:val="20"/>
                <w:szCs w:val="20"/>
                <w:color w:val="auto"/>
              </w:rPr>
            </w:pPr>
            <w:r>
              <w:rPr>
                <w:rFonts w:ascii="Arial" w:cs="Arial" w:eastAsia="Arial" w:hAnsi="Arial"/>
                <w:sz w:val="12"/>
                <w:szCs w:val="12"/>
                <w:color w:val="auto"/>
                <w:w w:val="91"/>
              </w:rPr>
              <w:t>Fair Value</w:t>
            </w:r>
          </w:p>
        </w:tc>
        <w:tc>
          <w:tcPr>
            <w:tcW w:w="1360" w:type="dxa"/>
            <w:vAlign w:val="bottom"/>
            <w:gridSpan w:val="3"/>
          </w:tcPr>
          <w:p>
            <w:pPr>
              <w:jc w:val="center"/>
              <w:ind w:right="180"/>
              <w:spacing w:after="0"/>
              <w:rPr>
                <w:sz w:val="20"/>
                <w:szCs w:val="20"/>
                <w:color w:val="auto"/>
              </w:rPr>
            </w:pPr>
            <w:r>
              <w:rPr>
                <w:rFonts w:ascii="Arial" w:cs="Arial" w:eastAsia="Arial" w:hAnsi="Arial"/>
                <w:sz w:val="12"/>
                <w:szCs w:val="12"/>
                <w:color w:val="auto"/>
                <w:w w:val="82"/>
              </w:rPr>
              <w:t>Proceeds</w:t>
            </w:r>
          </w:p>
        </w:tc>
        <w:tc>
          <w:tcPr>
            <w:tcW w:w="240" w:type="dxa"/>
            <w:vAlign w:val="bottom"/>
          </w:tcPr>
          <w:p>
            <w:pPr>
              <w:spacing w:after="0"/>
              <w:rPr>
                <w:sz w:val="12"/>
                <w:szCs w:val="12"/>
                <w:color w:val="auto"/>
              </w:rPr>
            </w:pPr>
          </w:p>
        </w:tc>
        <w:tc>
          <w:tcPr>
            <w:tcW w:w="2220" w:type="dxa"/>
            <w:vAlign w:val="bottom"/>
            <w:gridSpan w:val="4"/>
          </w:tcPr>
          <w:p>
            <w:pPr>
              <w:jc w:val="center"/>
              <w:ind w:right="460"/>
              <w:spacing w:after="0"/>
              <w:rPr>
                <w:sz w:val="20"/>
                <w:szCs w:val="20"/>
                <w:color w:val="auto"/>
              </w:rPr>
            </w:pPr>
            <w:r>
              <w:rPr>
                <w:rFonts w:ascii="Arial" w:cs="Arial" w:eastAsia="Arial" w:hAnsi="Arial"/>
                <w:sz w:val="12"/>
                <w:szCs w:val="12"/>
                <w:color w:val="auto"/>
                <w:w w:val="90"/>
              </w:rPr>
              <w:t>Based on Relative Fair Value of:</w:t>
            </w:r>
          </w:p>
        </w:tc>
        <w:tc>
          <w:tcPr>
            <w:tcW w:w="0" w:type="dxa"/>
            <w:vAlign w:val="bottom"/>
          </w:tcPr>
          <w:p>
            <w:pPr>
              <w:spacing w:after="0"/>
              <w:rPr>
                <w:sz w:val="1"/>
                <w:szCs w:val="1"/>
                <w:color w:val="auto"/>
              </w:rPr>
            </w:pPr>
          </w:p>
        </w:tc>
      </w:tr>
      <w:tr>
        <w:trPr>
          <w:trHeight w:val="133"/>
        </w:trPr>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84"/>
              </w:rPr>
              <w:t>Shares</w:t>
            </w:r>
          </w:p>
        </w:tc>
        <w:tc>
          <w:tcPr>
            <w:tcW w:w="1320" w:type="dxa"/>
            <w:vAlign w:val="bottom"/>
          </w:tcPr>
          <w:p>
            <w:pPr>
              <w:jc w:val="center"/>
              <w:ind w:right="120"/>
              <w:spacing w:after="0" w:line="133" w:lineRule="exact"/>
              <w:rPr>
                <w:sz w:val="20"/>
                <w:szCs w:val="20"/>
                <w:color w:val="auto"/>
              </w:rPr>
            </w:pPr>
            <w:r>
              <w:rPr>
                <w:rFonts w:ascii="Arial" w:cs="Arial" w:eastAsia="Arial" w:hAnsi="Arial"/>
                <w:sz w:val="12"/>
                <w:szCs w:val="12"/>
                <w:color w:val="auto"/>
                <w:w w:val="92"/>
              </w:rPr>
              <w:t>Market</w:t>
            </w:r>
          </w:p>
        </w:tc>
        <w:tc>
          <w:tcPr>
            <w:tcW w:w="700" w:type="dxa"/>
            <w:vAlign w:val="bottom"/>
          </w:tcPr>
          <w:p>
            <w:pPr>
              <w:jc w:val="center"/>
              <w:ind w:left="60"/>
              <w:spacing w:after="0" w:line="133" w:lineRule="exact"/>
              <w:rPr>
                <w:sz w:val="20"/>
                <w:szCs w:val="20"/>
                <w:color w:val="auto"/>
              </w:rPr>
            </w:pPr>
            <w:r>
              <w:rPr>
                <w:rFonts w:ascii="Arial" w:cs="Arial" w:eastAsia="Arial" w:hAnsi="Arial"/>
                <w:sz w:val="12"/>
                <w:szCs w:val="12"/>
                <w:color w:val="auto"/>
                <w:w w:val="91"/>
              </w:rPr>
              <w:t>Exercise</w:t>
            </w:r>
          </w:p>
        </w:tc>
        <w:tc>
          <w:tcPr>
            <w:tcW w:w="500" w:type="dxa"/>
            <w:vAlign w:val="bottom"/>
          </w:tcPr>
          <w:p>
            <w:pPr>
              <w:spacing w:after="0"/>
              <w:rPr>
                <w:sz w:val="11"/>
                <w:szCs w:val="11"/>
                <w:color w:val="auto"/>
              </w:rPr>
            </w:pPr>
          </w:p>
        </w:tc>
        <w:tc>
          <w:tcPr>
            <w:tcW w:w="116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92"/>
              </w:rPr>
              <w:t>Term</w:t>
            </w:r>
          </w:p>
        </w:tc>
        <w:tc>
          <w:tcPr>
            <w:tcW w:w="60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89"/>
              </w:rPr>
              <w:t>Interest</w:t>
            </w:r>
          </w:p>
        </w:tc>
        <w:tc>
          <w:tcPr>
            <w:tcW w:w="58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color w:val="auto"/>
                <w:w w:val="98"/>
              </w:rPr>
              <w:t>Dividend</w:t>
            </w:r>
          </w:p>
        </w:tc>
        <w:tc>
          <w:tcPr>
            <w:tcW w:w="820" w:type="dxa"/>
            <w:vAlign w:val="bottom"/>
            <w:gridSpan w:val="2"/>
          </w:tcPr>
          <w:p>
            <w:pPr>
              <w:jc w:val="center"/>
              <w:ind w:right="40"/>
              <w:spacing w:after="0" w:line="133" w:lineRule="exact"/>
              <w:rPr>
                <w:sz w:val="20"/>
                <w:szCs w:val="20"/>
                <w:color w:val="auto"/>
              </w:rPr>
            </w:pPr>
            <w:r>
              <w:rPr>
                <w:rFonts w:ascii="Arial" w:cs="Arial" w:eastAsia="Arial" w:hAnsi="Arial"/>
                <w:sz w:val="12"/>
                <w:szCs w:val="12"/>
                <w:color w:val="auto"/>
                <w:w w:val="90"/>
              </w:rPr>
              <w:t>Value of</w:t>
            </w:r>
          </w:p>
        </w:tc>
        <w:tc>
          <w:tcPr>
            <w:tcW w:w="74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7"/>
              </w:rPr>
              <w:t>of Unit</w:t>
            </w:r>
          </w:p>
        </w:tc>
        <w:tc>
          <w:tcPr>
            <w:tcW w:w="400" w:type="dxa"/>
            <w:vAlign w:val="bottom"/>
          </w:tcPr>
          <w:p>
            <w:pPr>
              <w:spacing w:after="0"/>
              <w:rPr>
                <w:sz w:val="11"/>
                <w:szCs w:val="11"/>
                <w:color w:val="auto"/>
              </w:rPr>
            </w:pPr>
          </w:p>
        </w:tc>
        <w:tc>
          <w:tcPr>
            <w:tcW w:w="780" w:type="dxa"/>
            <w:vAlign w:val="bottom"/>
          </w:tcPr>
          <w:p>
            <w:pPr>
              <w:jc w:val="center"/>
              <w:ind w:right="340"/>
              <w:spacing w:after="0" w:line="133" w:lineRule="exact"/>
              <w:rPr>
                <w:sz w:val="20"/>
                <w:szCs w:val="20"/>
                <w:color w:val="auto"/>
              </w:rPr>
            </w:pPr>
            <w:r>
              <w:rPr>
                <w:rFonts w:ascii="Arial" w:cs="Arial" w:eastAsia="Arial" w:hAnsi="Arial"/>
                <w:sz w:val="12"/>
                <w:szCs w:val="12"/>
                <w:color w:val="auto"/>
                <w:w w:val="97"/>
              </w:rPr>
              <w:t>of Unit</w:t>
            </w: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540"/>
              <w:spacing w:after="0" w:line="133" w:lineRule="exact"/>
              <w:rPr>
                <w:sz w:val="20"/>
                <w:szCs w:val="20"/>
                <w:color w:val="auto"/>
              </w:rPr>
            </w:pPr>
            <w:r>
              <w:rPr>
                <w:rFonts w:ascii="Arial" w:cs="Arial" w:eastAsia="Arial" w:hAnsi="Arial"/>
                <w:sz w:val="12"/>
                <w:szCs w:val="12"/>
                <w:color w:val="auto"/>
                <w:w w:val="88"/>
              </w:rPr>
              <w:t>Series B</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2"/>
                <w:szCs w:val="12"/>
                <w:color w:val="auto"/>
              </w:rPr>
              <w:t>Series 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tcPr>
          <w:p>
            <w:pPr>
              <w:jc w:val="center"/>
              <w:spacing w:after="0"/>
              <w:rPr>
                <w:sz w:val="20"/>
                <w:szCs w:val="20"/>
                <w:color w:val="auto"/>
              </w:rPr>
            </w:pPr>
            <w:r>
              <w:rPr>
                <w:rFonts w:ascii="Arial" w:cs="Arial" w:eastAsia="Arial" w:hAnsi="Arial"/>
                <w:sz w:val="12"/>
                <w:szCs w:val="12"/>
                <w:color w:val="auto"/>
                <w:w w:val="84"/>
              </w:rPr>
              <w:t>Issued</w:t>
            </w:r>
          </w:p>
        </w:tc>
        <w:tc>
          <w:tcPr>
            <w:tcW w:w="1320" w:type="dxa"/>
            <w:vAlign w:val="bottom"/>
          </w:tcPr>
          <w:p>
            <w:pPr>
              <w:jc w:val="center"/>
              <w:ind w:right="120"/>
              <w:spacing w:after="0"/>
              <w:rPr>
                <w:sz w:val="20"/>
                <w:szCs w:val="20"/>
                <w:color w:val="auto"/>
              </w:rPr>
            </w:pPr>
            <w:r>
              <w:rPr>
                <w:rFonts w:ascii="Arial" w:cs="Arial" w:eastAsia="Arial" w:hAnsi="Arial"/>
                <w:sz w:val="12"/>
                <w:szCs w:val="12"/>
                <w:color w:val="auto"/>
                <w:w w:val="94"/>
              </w:rPr>
              <w:t>Price</w:t>
            </w:r>
          </w:p>
        </w:tc>
        <w:tc>
          <w:tcPr>
            <w:tcW w:w="700" w:type="dxa"/>
            <w:vAlign w:val="bottom"/>
          </w:tcPr>
          <w:p>
            <w:pPr>
              <w:jc w:val="center"/>
              <w:ind w:left="40"/>
              <w:spacing w:after="0"/>
              <w:rPr>
                <w:sz w:val="20"/>
                <w:szCs w:val="20"/>
                <w:color w:val="auto"/>
              </w:rPr>
            </w:pPr>
            <w:r>
              <w:rPr>
                <w:rFonts w:ascii="Arial" w:cs="Arial" w:eastAsia="Arial" w:hAnsi="Arial"/>
                <w:sz w:val="12"/>
                <w:szCs w:val="12"/>
                <w:color w:val="auto"/>
                <w:w w:val="87"/>
              </w:rPr>
              <w:t>Price</w:t>
            </w:r>
          </w:p>
        </w:tc>
        <w:tc>
          <w:tcPr>
            <w:tcW w:w="500" w:type="dxa"/>
            <w:vAlign w:val="bottom"/>
          </w:tcPr>
          <w:p>
            <w:pPr>
              <w:spacing w:after="0"/>
              <w:rPr>
                <w:sz w:val="13"/>
                <w:szCs w:val="13"/>
                <w:color w:val="auto"/>
              </w:rPr>
            </w:pPr>
          </w:p>
        </w:tc>
        <w:tc>
          <w:tcPr>
            <w:tcW w:w="1160" w:type="dxa"/>
            <w:vAlign w:val="bottom"/>
          </w:tcPr>
          <w:p>
            <w:pPr>
              <w:jc w:val="center"/>
              <w:ind w:right="160"/>
              <w:spacing w:after="0"/>
              <w:rPr>
                <w:sz w:val="20"/>
                <w:szCs w:val="20"/>
                <w:color w:val="auto"/>
              </w:rPr>
            </w:pPr>
            <w:r>
              <w:rPr>
                <w:rFonts w:ascii="Arial" w:cs="Arial" w:eastAsia="Arial" w:hAnsi="Arial"/>
                <w:sz w:val="12"/>
                <w:szCs w:val="12"/>
                <w:color w:val="auto"/>
                <w:w w:val="86"/>
              </w:rPr>
              <w:t>(Years)</w:t>
            </w:r>
          </w:p>
        </w:tc>
        <w:tc>
          <w:tcPr>
            <w:tcW w:w="600" w:type="dxa"/>
            <w:vAlign w:val="bottom"/>
          </w:tcPr>
          <w:p>
            <w:pPr>
              <w:jc w:val="center"/>
              <w:spacing w:after="0"/>
              <w:rPr>
                <w:sz w:val="20"/>
                <w:szCs w:val="20"/>
                <w:color w:val="auto"/>
              </w:rPr>
            </w:pPr>
            <w:r>
              <w:rPr>
                <w:rFonts w:ascii="Arial" w:cs="Arial" w:eastAsia="Arial" w:hAnsi="Arial"/>
                <w:sz w:val="12"/>
                <w:szCs w:val="12"/>
                <w:color w:val="auto"/>
                <w:w w:val="86"/>
              </w:rPr>
              <w:t>Rate</w:t>
            </w: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Volatility</w:t>
            </w:r>
          </w:p>
        </w:tc>
        <w:tc>
          <w:tcPr>
            <w:tcW w:w="560" w:type="dxa"/>
            <w:vAlign w:val="bottom"/>
          </w:tcPr>
          <w:p>
            <w:pPr>
              <w:jc w:val="center"/>
              <w:spacing w:after="0"/>
              <w:rPr>
                <w:sz w:val="20"/>
                <w:szCs w:val="20"/>
                <w:color w:val="auto"/>
              </w:rPr>
            </w:pPr>
            <w:r>
              <w:rPr>
                <w:rFonts w:ascii="Arial" w:cs="Arial" w:eastAsia="Arial" w:hAnsi="Arial"/>
                <w:sz w:val="12"/>
                <w:szCs w:val="12"/>
                <w:color w:val="auto"/>
                <w:w w:val="86"/>
              </w:rPr>
              <w:t>Rate</w:t>
            </w:r>
          </w:p>
        </w:tc>
        <w:tc>
          <w:tcPr>
            <w:tcW w:w="820" w:type="dxa"/>
            <w:vAlign w:val="bottom"/>
            <w:gridSpan w:val="2"/>
          </w:tcPr>
          <w:p>
            <w:pPr>
              <w:jc w:val="center"/>
              <w:ind w:right="20"/>
              <w:spacing w:after="0"/>
              <w:rPr>
                <w:sz w:val="20"/>
                <w:szCs w:val="20"/>
                <w:color w:val="auto"/>
              </w:rPr>
            </w:pPr>
            <w:r>
              <w:rPr>
                <w:rFonts w:ascii="Arial" w:cs="Arial" w:eastAsia="Arial" w:hAnsi="Arial"/>
                <w:sz w:val="12"/>
                <w:szCs w:val="12"/>
                <w:color w:val="auto"/>
                <w:w w:val="88"/>
              </w:rPr>
              <w:t>Warrant</w:t>
            </w:r>
          </w:p>
        </w:tc>
        <w:tc>
          <w:tcPr>
            <w:tcW w:w="740" w:type="dxa"/>
            <w:vAlign w:val="bottom"/>
          </w:tcPr>
          <w:p>
            <w:pPr>
              <w:jc w:val="center"/>
              <w:ind w:right="20"/>
              <w:spacing w:after="0"/>
              <w:rPr>
                <w:sz w:val="20"/>
                <w:szCs w:val="20"/>
                <w:color w:val="auto"/>
              </w:rPr>
            </w:pPr>
            <w:r>
              <w:rPr>
                <w:rFonts w:ascii="Arial" w:cs="Arial" w:eastAsia="Arial" w:hAnsi="Arial"/>
                <w:sz w:val="12"/>
                <w:szCs w:val="12"/>
                <w:color w:val="auto"/>
                <w:w w:val="86"/>
              </w:rPr>
              <w:t>Warrants</w:t>
            </w:r>
          </w:p>
        </w:tc>
        <w:tc>
          <w:tcPr>
            <w:tcW w:w="400" w:type="dxa"/>
            <w:vAlign w:val="bottom"/>
          </w:tcPr>
          <w:p>
            <w:pPr>
              <w:spacing w:after="0"/>
              <w:rPr>
                <w:sz w:val="13"/>
                <w:szCs w:val="13"/>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2"/>
                <w:szCs w:val="12"/>
                <w:color w:val="auto"/>
                <w:w w:val="86"/>
              </w:rPr>
              <w:t>Sales</w:t>
            </w:r>
          </w:p>
        </w:tc>
        <w:tc>
          <w:tcPr>
            <w:tcW w:w="240" w:type="dxa"/>
            <w:vAlign w:val="bottom"/>
          </w:tcPr>
          <w:p>
            <w:pPr>
              <w:spacing w:after="0"/>
              <w:rPr>
                <w:sz w:val="13"/>
                <w:szCs w:val="13"/>
                <w:color w:val="auto"/>
              </w:rPr>
            </w:pPr>
          </w:p>
        </w:tc>
        <w:tc>
          <w:tcPr>
            <w:tcW w:w="1040" w:type="dxa"/>
            <w:vAlign w:val="bottom"/>
          </w:tcPr>
          <w:p>
            <w:pPr>
              <w:jc w:val="center"/>
              <w:ind w:right="540"/>
              <w:spacing w:after="0"/>
              <w:rPr>
                <w:sz w:val="20"/>
                <w:szCs w:val="20"/>
                <w:color w:val="auto"/>
              </w:rPr>
            </w:pPr>
            <w:r>
              <w:rPr>
                <w:rFonts w:ascii="Arial" w:cs="Arial" w:eastAsia="Arial" w:hAnsi="Arial"/>
                <w:sz w:val="12"/>
                <w:szCs w:val="12"/>
                <w:color w:val="auto"/>
                <w:w w:val="87"/>
              </w:rPr>
              <w:t>Preferred</w:t>
            </w:r>
          </w:p>
        </w:tc>
        <w:tc>
          <w:tcPr>
            <w:tcW w:w="26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color w:val="auto"/>
              </w:rPr>
              <w:t>Warrants</w:t>
            </w:r>
          </w:p>
        </w:tc>
        <w:tc>
          <w:tcPr>
            <w:tcW w:w="0" w:type="dxa"/>
            <w:vAlign w:val="bottom"/>
          </w:tcPr>
          <w:p>
            <w:pPr>
              <w:spacing w:after="0"/>
              <w:rPr>
                <w:sz w:val="1"/>
                <w:szCs w:val="1"/>
                <w:color w:val="auto"/>
              </w:rPr>
            </w:pPr>
          </w:p>
        </w:tc>
      </w:tr>
      <w:tr>
        <w:trPr>
          <w:trHeight w:val="142"/>
        </w:trPr>
        <w:tc>
          <w:tcPr>
            <w:tcW w:w="7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86,790</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   13.22</w:t>
            </w: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7.00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76.22%</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w:t>
            </w:r>
          </w:p>
        </w:tc>
        <w:tc>
          <w:tcPr>
            <w:tcW w:w="4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3"/>
              </w:rPr>
              <w:t>9.77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848,000</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607,500</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351,100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256,400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of Securities to Professional Service Providers</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June 2015, we issued in a private placement 25,000 shares of our Series B Preferred having a fair value of $250,000 as compensation for legal services related to our debt restructuring and other corporate finance matters. Effective on June 30, 2015, we issued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is recorded as a prepaid expense in the accompanying Condensed Consolidated Balance Sheet as of June 30, 2015 and will be expensed ratably over the twelve months ending June 30, 2016. During the quarter ended June 30, 2015, we also issued an aggregate of 50,000 shares of our common stock having an aggregate value of $500,000 as compensation under two corporate development service contracts. The value of the common stock grants has been expensed as a component of general and administrative expense in the accompanying Condensed Consolidated Statement of Operations and Comprehensive Loss for the quarter ended June 30, 2015.</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Warrants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In addition to warrants modified in connection with conversions of certain of our outstanding promissory notes into Series B Preferred as described earlier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on June 10, 2015, we modified certain other outstanding warrants to purchase an aggregate of 54,576 shares of our common stock to reduce their exercise price. We calculated the fair value of the modified warrants immediately before and after the modifications and determined that the fair value of the warrants increased by an aggregate of $122,300, which we recognized as a component of general and administrative expense in the accompanying Condensed Consolidated Statements of Operations and Comprehensive Loss for the quarter ended June 30, 2015, with a corresponding credit to additional paid-in capital. The warrants subject to the exercise price modifications were valued using the Black-Scholes Option Pricing Model and the following assumptions: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30.23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11.92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Remaining contractual term in years (weighted 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2.26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Fair Value per share (weighted average)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1.55</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3.79</w:t>
            </w:r>
          </w:p>
        </w:tc>
        <w:tc>
          <w:tcPr>
            <w:tcW w:w="0" w:type="dxa"/>
            <w:vAlign w:val="bottom"/>
          </w:tcPr>
          <w:p>
            <w:pPr>
              <w:spacing w:after="0"/>
              <w:rPr>
                <w:sz w:val="1"/>
                <w:szCs w:val="1"/>
                <w:color w:val="auto"/>
              </w:rPr>
            </w:pPr>
          </w:p>
        </w:tc>
      </w:tr>
      <w:tr>
        <w:trPr>
          <w:trHeight w:val="293"/>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Warrants Outstanding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Following the Series B Warrant issuances and other modifications described above, at June 30, 2015, we had outstanding warrants to purchase shares of our unregistered common stock at a weighted average exercise price of $8.58 per share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7"/>
              </w:rPr>
              <w:t>Shares Subject</w:t>
            </w:r>
          </w:p>
        </w:tc>
        <w:tc>
          <w:tcPr>
            <w:tcW w:w="0" w:type="dxa"/>
            <w:vAlign w:val="bottom"/>
          </w:tcPr>
          <w:p>
            <w:pPr>
              <w:spacing w:after="0"/>
              <w:rPr>
                <w:sz w:val="1"/>
                <w:szCs w:val="1"/>
                <w:color w:val="auto"/>
              </w:rPr>
            </w:pPr>
          </w:p>
        </w:tc>
      </w:tr>
      <w:tr>
        <w:trPr>
          <w:trHeight w:val="144"/>
        </w:trPr>
        <w:tc>
          <w:tcPr>
            <w:tcW w:w="2640" w:type="dxa"/>
            <w:vAlign w:val="bottom"/>
          </w:tcPr>
          <w:p>
            <w:pPr>
              <w:jc w:val="center"/>
              <w:spacing w:after="0"/>
              <w:rPr>
                <w:sz w:val="20"/>
                <w:szCs w:val="20"/>
                <w:color w:val="auto"/>
              </w:rPr>
            </w:pPr>
            <w:r>
              <w:rPr>
                <w:rFonts w:ascii="Arial" w:cs="Arial" w:eastAsia="Arial" w:hAnsi="Arial"/>
                <w:sz w:val="12"/>
                <w:szCs w:val="12"/>
                <w:b w:val="1"/>
                <w:bCs w:val="1"/>
                <w:color w:val="auto"/>
                <w:w w:val="89"/>
              </w:rPr>
              <w:t>Exercise</w:t>
            </w:r>
          </w:p>
        </w:tc>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7"/>
              </w:rPr>
              <w:t>to Purchase at</w:t>
            </w:r>
          </w:p>
        </w:tc>
        <w:tc>
          <w:tcPr>
            <w:tcW w:w="0" w:type="dxa"/>
            <w:vAlign w:val="bottom"/>
          </w:tcPr>
          <w:p>
            <w:pPr>
              <w:spacing w:after="0"/>
              <w:rPr>
                <w:sz w:val="1"/>
                <w:szCs w:val="1"/>
                <w:color w:val="auto"/>
              </w:rPr>
            </w:pPr>
          </w:p>
        </w:tc>
      </w:tr>
      <w:tr>
        <w:trPr>
          <w:trHeight w:val="144"/>
        </w:trPr>
        <w:tc>
          <w:tcPr>
            <w:tcW w:w="2640" w:type="dxa"/>
            <w:vAlign w:val="bottom"/>
          </w:tcPr>
          <w:p>
            <w:pPr>
              <w:jc w:val="center"/>
              <w:spacing w:after="0"/>
              <w:rPr>
                <w:sz w:val="20"/>
                <w:szCs w:val="20"/>
                <w:color w:val="auto"/>
              </w:rPr>
            </w:pPr>
            <w:r>
              <w:rPr>
                <w:rFonts w:ascii="Arial" w:cs="Arial" w:eastAsia="Arial" w:hAnsi="Arial"/>
                <w:sz w:val="12"/>
                <w:szCs w:val="12"/>
                <w:b w:val="1"/>
                <w:bCs w:val="1"/>
                <w:color w:val="auto"/>
                <w:w w:val="88"/>
              </w:rPr>
              <w:t>Price</w:t>
            </w:r>
          </w:p>
        </w:tc>
        <w:tc>
          <w:tcPr>
            <w:tcW w:w="460" w:type="dxa"/>
            <w:vAlign w:val="bottom"/>
          </w:tcPr>
          <w:p>
            <w:pPr>
              <w:spacing w:after="0"/>
              <w:rPr>
                <w:sz w:val="12"/>
                <w:szCs w:val="12"/>
                <w:color w:val="auto"/>
              </w:rPr>
            </w:pPr>
          </w:p>
        </w:tc>
        <w:tc>
          <w:tcPr>
            <w:tcW w:w="506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460" w:type="dxa"/>
            <w:vAlign w:val="bottom"/>
          </w:tcPr>
          <w:p>
            <w:pPr>
              <w:spacing w:after="0"/>
              <w:rPr>
                <w:sz w:val="12"/>
                <w:szCs w:val="12"/>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157"/>
        </w:trPr>
        <w:tc>
          <w:tcPr>
            <w:tcW w:w="2640" w:type="dxa"/>
            <w:vAlign w:val="bottom"/>
          </w:tcPr>
          <w:p>
            <w:pPr>
              <w:jc w:val="center"/>
              <w:spacing w:after="0"/>
              <w:rPr>
                <w:sz w:val="20"/>
                <w:szCs w:val="20"/>
                <w:color w:val="auto"/>
              </w:rPr>
            </w:pPr>
            <w:r>
              <w:rPr>
                <w:rFonts w:ascii="Arial" w:cs="Arial" w:eastAsia="Arial" w:hAnsi="Arial"/>
                <w:sz w:val="12"/>
                <w:szCs w:val="12"/>
                <w:b w:val="1"/>
                <w:bCs w:val="1"/>
                <w:color w:val="auto"/>
                <w:w w:val="90"/>
              </w:rPr>
              <w:t>per Share</w:t>
            </w:r>
          </w:p>
        </w:tc>
        <w:tc>
          <w:tcPr>
            <w:tcW w:w="460" w:type="dxa"/>
            <w:vAlign w:val="bottom"/>
          </w:tcPr>
          <w:p>
            <w:pPr>
              <w:spacing w:after="0"/>
              <w:rPr>
                <w:sz w:val="13"/>
                <w:szCs w:val="13"/>
                <w:color w:val="auto"/>
              </w:rPr>
            </w:pPr>
          </w:p>
        </w:tc>
        <w:tc>
          <w:tcPr>
            <w:tcW w:w="506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3320" w:type="dxa"/>
            <w:vAlign w:val="bottom"/>
            <w:gridSpan w:val="2"/>
          </w:tcPr>
          <w:p>
            <w:pPr>
              <w:jc w:val="center"/>
              <w:ind w:left="380"/>
              <w:spacing w:after="0"/>
              <w:rPr>
                <w:sz w:val="20"/>
                <w:szCs w:val="20"/>
                <w:color w:val="auto"/>
              </w:rPr>
            </w:pPr>
            <w:r>
              <w:rPr>
                <w:rFonts w:ascii="Arial" w:cs="Arial" w:eastAsia="Arial" w:hAnsi="Arial"/>
                <w:sz w:val="12"/>
                <w:szCs w:val="12"/>
                <w:b w:val="1"/>
                <w:bCs w:val="1"/>
                <w:color w:val="auto"/>
                <w:w w:val="89"/>
              </w:rPr>
              <w:t>2015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0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$7.00</w:t>
            </w:r>
          </w:p>
        </w:tc>
        <w:tc>
          <w:tcPr>
            <w:tcW w:w="460" w:type="dxa"/>
            <w:vAlign w:val="bottom"/>
            <w:shd w:val="clear" w:color="auto" w:fill="CCEEFF"/>
          </w:tcPr>
          <w:p>
            <w:pPr>
              <w:spacing w:after="0"/>
              <w:rPr>
                <w:sz w:val="12"/>
                <w:szCs w:val="12"/>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9/30/2017 to 6/30/2020</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2,459,618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jc w:val="center"/>
              <w:spacing w:after="0"/>
              <w:rPr>
                <w:sz w:val="20"/>
                <w:szCs w:val="20"/>
                <w:color w:val="auto"/>
              </w:rPr>
            </w:pPr>
            <w:r>
              <w:rPr>
                <w:rFonts w:ascii="Arial" w:cs="Arial" w:eastAsia="Arial" w:hAnsi="Arial"/>
                <w:sz w:val="12"/>
                <w:szCs w:val="12"/>
                <w:color w:val="auto"/>
                <w:w w:val="87"/>
              </w:rPr>
              <w:t>$10.00</w:t>
            </w:r>
          </w:p>
        </w:tc>
        <w:tc>
          <w:tcPr>
            <w:tcW w:w="460" w:type="dxa"/>
            <w:vAlign w:val="bottom"/>
          </w:tcPr>
          <w:p>
            <w:pPr>
              <w:spacing w:after="0"/>
              <w:rPr>
                <w:sz w:val="12"/>
                <w:szCs w:val="12"/>
                <w:color w:val="auto"/>
              </w:rPr>
            </w:pPr>
          </w:p>
        </w:tc>
        <w:tc>
          <w:tcPr>
            <w:tcW w:w="5060" w:type="dxa"/>
            <w:vAlign w:val="bottom"/>
          </w:tcPr>
          <w:p>
            <w:pPr>
              <w:jc w:val="center"/>
              <w:spacing w:after="0"/>
              <w:rPr>
                <w:sz w:val="20"/>
                <w:szCs w:val="20"/>
                <w:color w:val="auto"/>
              </w:rPr>
            </w:pPr>
            <w:r>
              <w:rPr>
                <w:rFonts w:ascii="Arial" w:cs="Arial" w:eastAsia="Arial" w:hAnsi="Arial"/>
                <w:sz w:val="12"/>
                <w:szCs w:val="12"/>
                <w:color w:val="auto"/>
                <w:w w:val="90"/>
              </w:rPr>
              <w:t>1/31/2016 to 1/11/2020</w:t>
            </w:r>
          </w:p>
        </w:tc>
        <w:tc>
          <w:tcPr>
            <w:tcW w:w="3320" w:type="dxa"/>
            <w:vAlign w:val="bottom"/>
            <w:gridSpan w:val="2"/>
          </w:tcPr>
          <w:p>
            <w:pPr>
              <w:jc w:val="right"/>
              <w:spacing w:after="0"/>
              <w:rPr>
                <w:sz w:val="20"/>
                <w:szCs w:val="20"/>
                <w:color w:val="auto"/>
              </w:rPr>
            </w:pPr>
            <w:r>
              <w:rPr>
                <w:rFonts w:ascii="Arial" w:cs="Arial" w:eastAsia="Arial" w:hAnsi="Arial"/>
                <w:sz w:val="12"/>
                <w:szCs w:val="12"/>
                <w:color w:val="auto"/>
              </w:rPr>
              <w:t>931,468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$12.80</w:t>
            </w:r>
          </w:p>
        </w:tc>
        <w:tc>
          <w:tcPr>
            <w:tcW w:w="5520" w:type="dxa"/>
            <w:vAlign w:val="bottom"/>
            <w:gridSpan w:val="2"/>
            <w:shd w:val="clear" w:color="auto" w:fill="CCEEFF"/>
          </w:tcPr>
          <w:p>
            <w:pPr>
              <w:jc w:val="center"/>
              <w:ind w:left="400"/>
              <w:spacing w:after="0"/>
              <w:rPr>
                <w:sz w:val="20"/>
                <w:szCs w:val="20"/>
                <w:color w:val="auto"/>
              </w:rPr>
            </w:pPr>
            <w:r>
              <w:rPr>
                <w:rFonts w:ascii="Arial" w:cs="Arial" w:eastAsia="Arial" w:hAnsi="Arial"/>
                <w:sz w:val="12"/>
                <w:szCs w:val="12"/>
                <w:color w:val="auto"/>
                <w:w w:val="89"/>
              </w:rPr>
              <w:t>3/3/2023</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147,000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jc w:val="center"/>
              <w:spacing w:after="0"/>
              <w:rPr>
                <w:sz w:val="20"/>
                <w:szCs w:val="20"/>
                <w:color w:val="auto"/>
              </w:rPr>
            </w:pPr>
            <w:r>
              <w:rPr>
                <w:rFonts w:ascii="Arial" w:cs="Arial" w:eastAsia="Arial" w:hAnsi="Arial"/>
                <w:sz w:val="12"/>
                <w:szCs w:val="12"/>
                <w:color w:val="auto"/>
                <w:w w:val="87"/>
              </w:rPr>
              <w:t>$15.00</w:t>
            </w:r>
          </w:p>
        </w:tc>
        <w:tc>
          <w:tcPr>
            <w:tcW w:w="460" w:type="dxa"/>
            <w:vAlign w:val="bottom"/>
          </w:tcPr>
          <w:p>
            <w:pPr>
              <w:spacing w:after="0"/>
              <w:rPr>
                <w:sz w:val="12"/>
                <w:szCs w:val="12"/>
                <w:color w:val="auto"/>
              </w:rPr>
            </w:pPr>
          </w:p>
        </w:tc>
        <w:tc>
          <w:tcPr>
            <w:tcW w:w="5060" w:type="dxa"/>
            <w:vAlign w:val="bottom"/>
          </w:tcPr>
          <w:p>
            <w:pPr>
              <w:jc w:val="center"/>
              <w:spacing w:after="0"/>
              <w:rPr>
                <w:sz w:val="20"/>
                <w:szCs w:val="20"/>
                <w:color w:val="auto"/>
              </w:rPr>
            </w:pPr>
            <w:r>
              <w:rPr>
                <w:rFonts w:ascii="Arial" w:cs="Arial" w:eastAsia="Arial" w:hAnsi="Arial"/>
                <w:sz w:val="12"/>
                <w:szCs w:val="12"/>
                <w:color w:val="auto"/>
                <w:w w:val="90"/>
              </w:rPr>
              <w:t>1/31/2016 to 3/4/2018</w:t>
            </w:r>
          </w:p>
        </w:tc>
        <w:tc>
          <w:tcPr>
            <w:tcW w:w="3320" w:type="dxa"/>
            <w:vAlign w:val="bottom"/>
            <w:gridSpan w:val="2"/>
          </w:tcPr>
          <w:p>
            <w:pPr>
              <w:jc w:val="right"/>
              <w:spacing w:after="0"/>
              <w:rPr>
                <w:sz w:val="20"/>
                <w:szCs w:val="20"/>
                <w:color w:val="auto"/>
              </w:rPr>
            </w:pPr>
            <w:r>
              <w:rPr>
                <w:rFonts w:ascii="Arial" w:cs="Arial" w:eastAsia="Arial" w:hAnsi="Arial"/>
                <w:sz w:val="12"/>
                <w:szCs w:val="12"/>
                <w:color w:val="auto"/>
              </w:rPr>
              <w:t>75,389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$20.00</w:t>
            </w:r>
          </w:p>
        </w:tc>
        <w:tc>
          <w:tcPr>
            <w:tcW w:w="460" w:type="dxa"/>
            <w:vAlign w:val="bottom"/>
            <w:shd w:val="clear" w:color="auto" w:fill="CCEEFF"/>
          </w:tcPr>
          <w:p>
            <w:pPr>
              <w:spacing w:after="0"/>
              <w:rPr>
                <w:sz w:val="12"/>
                <w:szCs w:val="12"/>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7/30/2016 to 9/15/2019</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jc w:val="center"/>
              <w:spacing w:after="0"/>
              <w:rPr>
                <w:sz w:val="20"/>
                <w:szCs w:val="20"/>
                <w:color w:val="auto"/>
              </w:rPr>
            </w:pPr>
            <w:r>
              <w:rPr>
                <w:rFonts w:ascii="Arial" w:cs="Arial" w:eastAsia="Arial" w:hAnsi="Arial"/>
                <w:sz w:val="12"/>
                <w:szCs w:val="12"/>
                <w:color w:val="auto"/>
                <w:w w:val="87"/>
              </w:rPr>
              <w:t>$30.00</w:t>
            </w:r>
          </w:p>
        </w:tc>
        <w:tc>
          <w:tcPr>
            <w:tcW w:w="460" w:type="dxa"/>
            <w:vAlign w:val="bottom"/>
          </w:tcPr>
          <w:p>
            <w:pPr>
              <w:spacing w:after="0"/>
              <w:rPr>
                <w:sz w:val="12"/>
                <w:szCs w:val="12"/>
                <w:color w:val="auto"/>
              </w:rPr>
            </w:pPr>
          </w:p>
        </w:tc>
        <w:tc>
          <w:tcPr>
            <w:tcW w:w="5060" w:type="dxa"/>
            <w:vAlign w:val="bottom"/>
          </w:tcPr>
          <w:p>
            <w:pPr>
              <w:jc w:val="center"/>
              <w:spacing w:after="0"/>
              <w:rPr>
                <w:sz w:val="20"/>
                <w:szCs w:val="20"/>
                <w:color w:val="auto"/>
              </w:rPr>
            </w:pPr>
            <w:r>
              <w:rPr>
                <w:rFonts w:ascii="Arial" w:cs="Arial" w:eastAsia="Arial" w:hAnsi="Arial"/>
                <w:sz w:val="12"/>
                <w:szCs w:val="12"/>
                <w:color w:val="auto"/>
                <w:w w:val="90"/>
              </w:rPr>
              <w:t>2/13/2016 to 11/20/2017</w:t>
            </w:r>
          </w:p>
        </w:tc>
        <w:tc>
          <w:tcPr>
            <w:tcW w:w="3320" w:type="dxa"/>
            <w:vAlign w:val="bottom"/>
            <w:gridSpan w:val="2"/>
          </w:tcPr>
          <w:p>
            <w:pPr>
              <w:jc w:val="right"/>
              <w:spacing w:after="0"/>
              <w:rPr>
                <w:sz w:val="20"/>
                <w:szCs w:val="20"/>
                <w:color w:val="auto"/>
              </w:rPr>
            </w:pPr>
            <w:r>
              <w:rPr>
                <w:rFonts w:ascii="Arial" w:cs="Arial" w:eastAsia="Arial" w:hAnsi="Arial"/>
                <w:sz w:val="12"/>
                <w:szCs w:val="12"/>
                <w:color w:val="auto"/>
              </w:rPr>
              <w:t>6,100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50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286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320" w:type="dxa"/>
            <w:vAlign w:val="bottom"/>
            <w:gridSpan w:val="2"/>
          </w:tcPr>
          <w:p>
            <w:pPr>
              <w:jc w:val="right"/>
              <w:spacing w:after="0"/>
              <w:rPr>
                <w:sz w:val="20"/>
                <w:szCs w:val="20"/>
                <w:color w:val="auto"/>
              </w:rPr>
            </w:pPr>
            <w:r>
              <w:rPr>
                <w:rFonts w:ascii="Arial" w:cs="Arial" w:eastAsia="Arial" w:hAnsi="Arial"/>
                <w:sz w:val="12"/>
                <w:szCs w:val="12"/>
                <w:color w:val="auto"/>
              </w:rPr>
              <w:t>3,735,023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Related Party Transactions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the parent of Cato Research Ltd. (</w:t>
      </w:r>
      <w:r>
        <w:rPr>
          <w:rFonts w:ascii="Arial" w:cs="Arial" w:eastAsia="Arial" w:hAnsi="Arial"/>
          <w:sz w:val="12"/>
          <w:szCs w:val="12"/>
          <w:i w:val="1"/>
          <w:iCs w:val="1"/>
          <w:color w:val="auto"/>
        </w:rPr>
        <w:t>CRL</w:t>
      </w:r>
      <w:r>
        <w:rPr>
          <w:rFonts w:ascii="Arial" w:cs="Arial" w:eastAsia="Arial" w:hAnsi="Arial"/>
          <w:sz w:val="12"/>
          <w:szCs w:val="12"/>
          <w:color w:val="auto"/>
        </w:rPr>
        <w:t>), is one the largest institutional holders of our common stock at June 30, 2015. In October 2012, we issued a 7.5% promissory note (</w:t>
      </w:r>
      <w:r>
        <w:rPr>
          <w:rFonts w:ascii="Arial" w:cs="Arial" w:eastAsia="Arial" w:hAnsi="Arial"/>
          <w:sz w:val="12"/>
          <w:szCs w:val="12"/>
          <w:i w:val="1"/>
          <w:iCs w:val="1"/>
          <w:color w:val="auto"/>
        </w:rPr>
        <w:t>CHC Note</w:t>
      </w:r>
      <w:r>
        <w:rPr>
          <w:rFonts w:ascii="Arial" w:cs="Arial" w:eastAsia="Arial" w:hAnsi="Arial"/>
          <w:sz w:val="12"/>
          <w:szCs w:val="12"/>
          <w:color w:val="auto"/>
        </w:rPr>
        <w:t>) and a warrant (</w:t>
      </w:r>
      <w:r>
        <w:rPr>
          <w:rFonts w:ascii="Arial" w:cs="Arial" w:eastAsia="Arial" w:hAnsi="Arial"/>
          <w:sz w:val="12"/>
          <w:szCs w:val="12"/>
          <w:i w:val="1"/>
          <w:iCs w:val="1"/>
          <w:color w:val="auto"/>
        </w:rPr>
        <w:t>CHC Warrant</w:t>
      </w:r>
      <w:r>
        <w:rPr>
          <w:rFonts w:ascii="Arial" w:cs="Arial" w:eastAsia="Arial" w:hAnsi="Arial"/>
          <w:sz w:val="12"/>
          <w:szCs w:val="12"/>
          <w:color w:val="auto"/>
        </w:rPr>
        <w:t xml:space="preserve">) to CHC in settlement of prior indebtedness. As disclosed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during June 2015, the outstanding balance of the CHC Note was converted into shares of our Series B Preferred and we reduced the exercise price of the CHC Warrant from $30.00 per share to $7.00 per share. Total interest expense, including amortization of note discount, on the CHC Note was $4,700 and $7,600 in the three month periods ended June 30, 2015 and 2014, respectively.</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fiscal year 2007, we entered into a contract research, development and regulatory service arrangement with CRL, a contract research organization (</w:t>
      </w:r>
      <w:r>
        <w:rPr>
          <w:rFonts w:ascii="Arial" w:cs="Arial" w:eastAsia="Arial" w:hAnsi="Arial"/>
          <w:sz w:val="12"/>
          <w:szCs w:val="12"/>
          <w:i w:val="1"/>
          <w:iCs w:val="1"/>
          <w:color w:val="auto"/>
        </w:rPr>
        <w:t>CRO</w:t>
      </w:r>
      <w:r>
        <w:rPr>
          <w:rFonts w:ascii="Arial" w:cs="Arial" w:eastAsia="Arial" w:hAnsi="Arial"/>
          <w:sz w:val="12"/>
          <w:szCs w:val="12"/>
          <w:color w:val="auto"/>
        </w:rPr>
        <w:t>), related to the development of AV-101, our orally available small molecule prodrug candidate currently in Phase 2 clinical development for Major Depressive Disorder, and subsequent other projects under which we incurred expenses of $11,200 and $7,500 in the three month periods ended June 30, 2015 and 2014, respectively.</w:t>
      </w:r>
    </w:p>
    <w:p>
      <w:pPr>
        <w:spacing w:after="0" w:line="14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October 2012, we issued to CRL (i) a 7.5% promissory note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development and regulatory services and advice (</w:t>
      </w:r>
      <w:r>
        <w:rPr>
          <w:rFonts w:ascii="Arial" w:cs="Arial" w:eastAsia="Arial" w:hAnsi="Arial"/>
          <w:sz w:val="11"/>
          <w:szCs w:val="11"/>
          <w:i w:val="1"/>
          <w:iCs w:val="1"/>
          <w:color w:val="auto"/>
        </w:rPr>
        <w:t>CRO Services</w:t>
      </w:r>
      <w:r>
        <w:rPr>
          <w:rFonts w:ascii="Arial" w:cs="Arial" w:eastAsia="Arial" w:hAnsi="Arial"/>
          <w:sz w:val="11"/>
          <w:szCs w:val="11"/>
          <w:color w:val="auto"/>
        </w:rPr>
        <w:t>) rendered by CRL to us through December 31, 2012 with respect to the preclinical and clinical development of AV-101, and (ii) a warrant (</w:t>
      </w:r>
      <w:r>
        <w:rPr>
          <w:rFonts w:ascii="Arial" w:cs="Arial" w:eastAsia="Arial" w:hAnsi="Arial"/>
          <w:sz w:val="11"/>
          <w:szCs w:val="11"/>
          <w:i w:val="1"/>
          <w:iCs w:val="1"/>
          <w:color w:val="auto"/>
        </w:rPr>
        <w:t>CRL Warrant</w:t>
      </w:r>
      <w:r>
        <w:rPr>
          <w:rFonts w:ascii="Arial" w:cs="Arial" w:eastAsia="Arial" w:hAnsi="Arial"/>
          <w:sz w:val="11"/>
          <w:szCs w:val="11"/>
          <w:color w:val="auto"/>
        </w:rPr>
        <w:t xml:space="preserve">). As disclosed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during June 2015, the entire outstanding balance of the CRL Note and all other outstanding amounts owed to CRL for CRO services were converted into shares of our Series B Preferred and we reduced the exercise price of the CRL Warrant from $20.00 per share to $7.00 per share. Total interest expense, including amortization of the note discount, on the CRL Note was $23,500 and $36,800 for the three month periods ended June 30, 2015 and 2014, respectively.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97" w:name="page198"/>
    <w:bookmarkEnd w:id="197"/>
    <w:p>
      <w:pPr>
        <w:spacing w:after="0"/>
        <w:rPr>
          <w:sz w:val="20"/>
          <w:szCs w:val="20"/>
          <w:color w:val="auto"/>
        </w:rPr>
      </w:pPr>
      <w:r>
        <w:rPr>
          <w:rFonts w:ascii="Arial" w:cs="Arial" w:eastAsia="Arial" w:hAnsi="Arial"/>
          <w:sz w:val="12"/>
          <w:szCs w:val="12"/>
          <w:b w:val="1"/>
          <w:bCs w:val="1"/>
          <w:color w:val="auto"/>
        </w:rPr>
        <w:t>Note 10. Subsequent Events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B Preferred Unit Offering</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Between July 1, 2015 and August 11, 2015, in our self-placed private placement of Series B Preferred Units, we entered into securities purchase agreements with accredited investors pursuant to which we sold to such investors Series B Preferred Units consisting of (i) an aggregate of 206,472 shares of our Series B Preferred, including 128,574 Series B Preferred shares to Platinum; and (iii) Series B Warrants to purchase an aggregate of 206,472 shares of our common stock at an exercise price of $7.00 per share, including Series B Warrants to purchase 128,574 shares of our common stock issued to Platinum. We received cash proceeds of $1,445,300 from the private placement and sale of the Series B Preferred Units, including $900,000 from Platinum.</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August 3, 2015, we entered into an agreement with Platinum pursuant to which Platinum has agreed to purchase an additional $3.0 million of our Series B Preferred Units between August 15, 2015 and October 15, 2015 and would receive an aggregate of 458,571 shares of Series B Preferred and Series B Warrants to purchase 458,571 shares of our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Promissory Notes and Accounts Payable Converted into Series B Preferred</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Between July 1, 2015 and August 12, 2015, the entire outstanding balance (principal plus accrued interest) of our outstanding promissory note payable to Desjardins Securities, our promissory note and accounts payable due to MicroConstants, our promissory Note A and accounts payable to Morrison &amp; Foerster, and certain other amounts due to technology licensors, professional service providers and others, in the aggregate amount of $1,678,400 were extinguished and converted into an aggregate of 255,128 shares of Series B Preferred.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2"/>
          <w:szCs w:val="12"/>
          <w:b w:val="1"/>
          <w:bCs w:val="1"/>
          <w:color w:val="auto"/>
        </w:rPr>
        <w:t>3,992,479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Until ______ __, 2015, all dealers that buy, sell or trade the common stock may be required to deliver a prospectus, regardless of whether they are participating in this offering by the Selling Stockholders. This is in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212090</wp:posOffset>
            </wp:positionV>
            <wp:extent cx="7299325" cy="18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550" w:right="219" w:bottom="1440" w:gutter="0" w:footer="0" w:header="0"/>
        </w:sectPr>
      </w:pPr>
    </w:p>
    <w:bookmarkStart w:id="199" w:name="page200"/>
    <w:bookmarkEnd w:id="199"/>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Other Expenses of Issuance and Distribution</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following table presents the costs and expenses in connection with the issuance and distribution of the securities to be registered. No underwriting discounts and commissions shall be payable by us in connection with the resale of common stock being registered. Except as otherwise noted, we will pay all of these amounts. All amounts are estimates except the SEC registration fee.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2"/>
                <w:szCs w:val="12"/>
                <w:color w:val="auto"/>
              </w:rPr>
              <w:t>SEC Filing fees</w:t>
            </w:r>
          </w:p>
        </w:tc>
        <w:tc>
          <w:tcPr>
            <w:tcW w:w="600" w:type="dxa"/>
            <w:vAlign w:val="bottom"/>
            <w:shd w:val="clear" w:color="auto" w:fill="CCEEFF"/>
          </w:tcPr>
          <w:p>
            <w:pPr>
              <w:jc w:val="right"/>
              <w:ind w:right="4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4,640</w:t>
            </w: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540" w:type="dxa"/>
            <w:vAlign w:val="bottom"/>
          </w:tcPr>
          <w:p>
            <w:pPr>
              <w:spacing w:after="0"/>
              <w:rPr>
                <w:sz w:val="20"/>
                <w:szCs w:val="20"/>
                <w:color w:val="auto"/>
              </w:rPr>
            </w:pPr>
            <w:r>
              <w:rPr>
                <w:rFonts w:ascii="Arial" w:cs="Arial" w:eastAsia="Arial" w:hAnsi="Arial"/>
                <w:sz w:val="12"/>
                <w:szCs w:val="12"/>
                <w:color w:val="auto"/>
              </w:rPr>
              <w:t>Legal fees and expenses</w:t>
            </w: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30,000</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2"/>
                <w:szCs w:val="12"/>
                <w:color w:val="auto"/>
              </w:rPr>
              <w:t>Accounting fees and expenses</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540" w:type="dxa"/>
            <w:vAlign w:val="bottom"/>
          </w:tcPr>
          <w:p>
            <w:pPr>
              <w:spacing w:after="0"/>
              <w:rPr>
                <w:sz w:val="20"/>
                <w:szCs w:val="20"/>
                <w:color w:val="auto"/>
              </w:rPr>
            </w:pPr>
            <w:r>
              <w:rPr>
                <w:rFonts w:ascii="Arial" w:cs="Arial" w:eastAsia="Arial" w:hAnsi="Arial"/>
                <w:sz w:val="12"/>
                <w:szCs w:val="12"/>
                <w:color w:val="auto"/>
              </w:rPr>
              <w:t>Miscellaneous expenses</w:t>
            </w: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6,000</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540" w:type="dxa"/>
            <w:vAlign w:val="bottom"/>
          </w:tcPr>
          <w:p>
            <w:pPr>
              <w:spacing w:after="0"/>
              <w:rPr>
                <w:sz w:val="20"/>
                <w:szCs w:val="20"/>
                <w:color w:val="auto"/>
              </w:rPr>
            </w:pPr>
            <w:r>
              <w:rPr>
                <w:rFonts w:ascii="Arial" w:cs="Arial" w:eastAsia="Arial" w:hAnsi="Arial"/>
                <w:sz w:val="12"/>
                <w:szCs w:val="12"/>
                <w:color w:val="auto"/>
              </w:rPr>
              <w:t>Total</w:t>
            </w:r>
          </w:p>
        </w:tc>
        <w:tc>
          <w:tcPr>
            <w:tcW w:w="600" w:type="dxa"/>
            <w:vAlign w:val="bottom"/>
            <w:tcBorders>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50,640</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Indemnification of Directors and Officers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Limitations of liability and indemnification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amended and restated bylaws provide that we will indemnify our directors, officers and employees to the fullest extent permitted by the Nevada Revised Statutes (“</w:t>
      </w:r>
      <w:r>
        <w:rPr>
          <w:rFonts w:ascii="Arial" w:cs="Arial" w:eastAsia="Arial" w:hAnsi="Arial"/>
          <w:sz w:val="12"/>
          <w:szCs w:val="12"/>
          <w:i w:val="1"/>
          <w:iCs w:val="1"/>
          <w:color w:val="auto"/>
        </w:rPr>
        <w:t>NRS</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Recent Sales of Unregistered Securities.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Since August 2012, we have made the following sales of unregistered securities in self-placed private placement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B Preferred Unit Offering – May 2015 – August 2015</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Between May 26, 2015 and August 24, 2015, we sold to accredited investors an aggregate of $2,222,781 of units in our Series B Preferred Unit offering, which units consist of shares of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and Series B Warrants (together Series B Preferred Units), including $1,000,000 to Platinum. We issued 317,548 shares of Series B Preferred and Series B Warrants to purchase 317,548 shares of our common stock and we have received an aggregate of $2,222,781 in cash proceeds from the sale of the Series B Preferred Units. Each share of Series B Preferred is convertible into one share of our common stock and the Series B Warrants are exercisable at a fixed price of $7.00 per share for a term of five years following issuance.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200" w:name="page201"/>
    <w:bookmarkEnd w:id="200"/>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of Senior Secured Promissory Notes, Convertible and Other Promissory Notes and Liabilities into Series B Preferred Stock and Warrants – May 2015 – August 2015</w:t>
      </w:r>
    </w:p>
    <w:p>
      <w:pPr>
        <w:spacing w:after="0" w:line="1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Effective on May 12, 2015, we entered into an Agreement with Platinum (“</w:t>
      </w:r>
      <w:r>
        <w:rPr>
          <w:rFonts w:ascii="Arial" w:cs="Arial" w:eastAsia="Arial" w:hAnsi="Arial"/>
          <w:sz w:val="12"/>
          <w:szCs w:val="12"/>
          <w:i w:val="1"/>
          <w:iCs w:val="1"/>
          <w:color w:val="auto"/>
        </w:rPr>
        <w:t>Platinum Agreement</w:t>
      </w:r>
      <w:r>
        <w:rPr>
          <w:rFonts w:ascii="Arial" w:cs="Arial" w:eastAsia="Arial" w:hAnsi="Arial"/>
          <w:sz w:val="12"/>
          <w:szCs w:val="12"/>
          <w:color w:val="auto"/>
        </w:rPr>
        <w:t>”) pursuant to which, among other things, Platinum (i) converted the approximately $4.5 million outstanding balance (principal and accrued but unpaid interest) of the Senior Notes we issued to Platinum between August 2012 and July 2013 into 641,335 shares of Series B Preferred; (ii) converted the approximately $1.3 million outstanding balance (principal and accrued but unpaid interest) of the convertible promissory Notes we issued to Platinum in our 2014 Unit Private Placement (“</w:t>
      </w:r>
      <w:r>
        <w:rPr>
          <w:rFonts w:ascii="Arial" w:cs="Arial" w:eastAsia="Arial" w:hAnsi="Arial"/>
          <w:sz w:val="12"/>
          <w:szCs w:val="12"/>
          <w:i w:val="1"/>
          <w:iCs w:val="1"/>
          <w:color w:val="auto"/>
        </w:rPr>
        <w:t>2014 Unit Notes</w:t>
      </w:r>
      <w:r>
        <w:rPr>
          <w:rFonts w:ascii="Arial" w:cs="Arial" w:eastAsia="Arial" w:hAnsi="Arial"/>
          <w:sz w:val="12"/>
          <w:szCs w:val="12"/>
          <w:color w:val="auto"/>
        </w:rPr>
        <w:t>”) into 240,305 shares of Series B Preferred and Series B Warrants to purchase 240,305 shares of our common stock at a fixed exercise price of $7.00 per share; and (iii) purchased approximately $1.5 million (including accrued but unpaid interest thereon) of outstanding 2014 Unit Notes we had issued to various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and converted the entire outstanding balance of the Investor 2014 Unit Notes into 265,699 shares of Series B Preferred and Series B Warrants to purchase 265,699 shares of our common stock.</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Effective May 20, 2015, holders of the remaining approximately $1.8 million outstanding balance (principal and accrued but unpaid interest) of unsecured 2014 Unit Notes converted such notes into 327,016 shares of Series B Preferred and Series B Warrants to purchase 327,016 shares of our common stock.</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Additionally, between May 29, 2015 and August 17, 2015, holders of certain of our promissory notes outstanding at March 31, 2015 and thereafter, accounts payable from us and other liabilities, including Morrison &amp; Foerster, University Health Network, Cato Research Ltd. and Cato Holding Company, McCarthy Tetrault, Desjardins Securities, Burr Pilger &amp; Mayer, Icahn School of Medicine at Mount Sinai, National Jewish Health and MicroConstants and certain other service providers and individuals converted notes payable or accounts payable having an aggregate balance of approximately $8.01 million (principal and accrued but unpaid interest and certain strategic adjustments) into 1,144,562 shares of Series B Preferred.</w:t>
      </w:r>
    </w:p>
    <w:p>
      <w:pPr>
        <w:spacing w:after="0" w:line="12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In aggregate, between May 12, 2015 and August 17, 2015, we have eliminated approximately $17.2 million of secured and unsecured promissory notes, other debt and certain adjustments thereto that was either already due and payable or would have otherwise matured prior to March 31, 2016, through conversion into 3,018,917 shares of our Series B Preferred and Series B Warrants to purchase 2,033,020 shares of our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 March 2014 – July 2014</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Between late-March 2014 and May 14, 2015, we entered into self-placed securities purchase agreements with accredited investors pursuant to which we sold to such accredited investors units (“</w:t>
      </w:r>
      <w:r>
        <w:rPr>
          <w:rFonts w:ascii="Arial" w:cs="Arial" w:eastAsia="Arial" w:hAnsi="Arial"/>
          <w:sz w:val="12"/>
          <w:szCs w:val="12"/>
          <w:i w:val="1"/>
          <w:iCs w:val="1"/>
          <w:color w:val="auto"/>
        </w:rPr>
        <w:t>2014 Units”</w:t>
      </w:r>
      <w:r>
        <w:rPr>
          <w:rFonts w:ascii="Arial" w:cs="Arial" w:eastAsia="Arial" w:hAnsi="Arial"/>
          <w:sz w:val="12"/>
          <w:szCs w:val="12"/>
          <w:color w:val="auto"/>
        </w:rPr>
        <w:t>) consisting, in aggregate, of: (i) 10% subordinate convertible promissory notes maturing between March 31, 2015 and May 15, 2015 (“</w:t>
      </w:r>
      <w:r>
        <w:rPr>
          <w:rFonts w:ascii="Arial" w:cs="Arial" w:eastAsia="Arial" w:hAnsi="Arial"/>
          <w:sz w:val="12"/>
          <w:szCs w:val="12"/>
          <w:i w:val="1"/>
          <w:iCs w:val="1"/>
          <w:color w:val="auto"/>
        </w:rPr>
        <w:t>2014 Unit Notes</w:t>
      </w:r>
      <w:r>
        <w:rPr>
          <w:rFonts w:ascii="Arial" w:cs="Arial" w:eastAsia="Arial" w:hAnsi="Arial"/>
          <w:sz w:val="12"/>
          <w:szCs w:val="12"/>
          <w:color w:val="auto"/>
        </w:rPr>
        <w:t>”) in the aggregate face amount of $3,393,500; (ii) an aggregate of 315,850 shares of our restricted common stock; and (iii) warrants exercisable through December 31, 2016 to purchase an aggregate of 307,100 restricted shares of our common stock at an exercise price of $10.00 per share. We received cash proceeds of $3,393,500 from the sale of the 2014 Units. As of the date of this prospectus, all of the 10% subordinate convertible promissory notes issued in connection with the 2014 Unit Private Placement have been extinguished by conversion into shares of our Series B Preferred and Series B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01" w:name="page202"/>
    <w:bookmarkEnd w:id="201"/>
    <w:p>
      <w:pPr>
        <w:spacing w:after="0"/>
        <w:rPr>
          <w:sz w:val="20"/>
          <w:szCs w:val="20"/>
          <w:color w:val="auto"/>
        </w:rPr>
      </w:pPr>
      <w:r>
        <w:rPr>
          <w:rFonts w:ascii="Arial" w:cs="Arial" w:eastAsia="Arial" w:hAnsi="Arial"/>
          <w:sz w:val="12"/>
          <w:szCs w:val="12"/>
          <w:b w:val="1"/>
          <w:bCs w:val="1"/>
          <w:color w:val="auto"/>
        </w:rPr>
        <w:t>Issuance of Securities to Professional Service Providers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June 2015, we issued 25,000 shares of our Series B Preferred having a fair value of $250,000 as compensation for legal services related to our debt restructuring and other corporate finance matters. Effective on June 30, 2015, we issued an aggregate of 90,000 shares of our Series B Preferred having an aggregate value of $1,350,000 as compensation for financial advisory and corporate development service contracts with two independent contractors for services to be performed through June 30, 2016. During the quarter ended June 30, 2015, we also issued an aggregate of 50,000 shares of our common stock having an aggregate value of $500,000 as compensation under two corporate development service contracts.</w:t>
      </w:r>
    </w:p>
    <w:p>
      <w:pPr>
        <w:spacing w:after="0" w:line="1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In March 2015, we entered into a consulting agreement with another consultant for additional advisory and business development services pursuant to which we issued 25,000 restricted shares of our common stock valued at $175,000 as compensation for such professional services.</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May 2014, we entered into a consulting agreement for strategic advisory and business development services pursuant to which we issued 10,000 restricted shares of our common stock valued at $134,000 as partial compensation for such professional services. Effective January 12, 2015, we entered into a new consulting agreement with this consultant for similar services through December 31, 2015 pursuant to which we have issued 20,000 restricted shares of our common stock valued at $160,000.</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February 2013, we entered into a contract for various strategic consulting services pursuant to which we granted a five-year warrant to purchase 1,250 shares of our restricted common stock at an exercise price of $30.00 per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share.</w:t>
      </w:r>
    </w:p>
    <w:p>
      <w:pPr>
        <w:spacing w:after="0" w:line="141"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During August 2012, we issued 88,235 restricted shares of our common stock valued at $89,100 in settlement of a past-due obligation for business development consulting services in the amount of $25,000. Also in August 2012, we issued a promissory note in the principal amount of $60,000 and 750 restricted shares of our common stock valued at $14,100 in settlement of certain past due obligation for AV-101 clinical development services.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 License Settlement: April 2014</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April 2014, in settlement of $288,400 of outstanding stem cell technology license fees and patent prosecution and maintenance expenses, we issued to the Icahn School of Medicine at Mount Sinai, the licensor of one of our stem cell technology licenses, (i) a 10% promissory note maturing on December 31, 2014 in the face amount of $300,000; (ii) 15,000 restricted shares of our common stock; and (iii) a warrant exercisable through March 31, 2019 to purchase an aggregate of 15,000 restricted shares of our common stock at an exercise price of $10.00 per share.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 Unit Private Placement: August 2013 – March 2014</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w:t>
      </w:r>
      <w:r>
        <w:rPr>
          <w:rFonts w:ascii="Arial" w:cs="Arial" w:eastAsia="Arial" w:hAnsi="Arial"/>
          <w:sz w:val="11"/>
          <w:szCs w:val="11"/>
          <w:i w:val="1"/>
          <w:iCs w:val="1"/>
          <w:color w:val="auto"/>
        </w:rPr>
        <w:t>2013 Unit Notes</w:t>
      </w:r>
      <w:r>
        <w:rPr>
          <w:rFonts w:ascii="Arial" w:cs="Arial" w:eastAsia="Arial" w:hAnsi="Arial"/>
          <w:sz w:val="11"/>
          <w:szCs w:val="11"/>
          <w:color w:val="auto"/>
        </w:rPr>
        <w:t>”) in the aggregate face amount of $1,007,500; (ii) an aggregate of 100,750 restricted shares of our common stock; and (iii) warrants exercisable through July 30, 2016 to purchase an aggregate of 100,750 restricted shares of our common stock at an exercise price of $20.00 per share. We received cash proceeds of $1,007,500 from the sale of the Units, including $50,000 in lieu of repayment of previous advances made to us by one of our executive officers. Effective May 31, 2014, the terms of essentially all of the 2013 Unit Notes, including their maturity, were modified to conform to the terms of the 2014 Unit Notes and, as such, were extinguished in the conversion of the 2014 Unit Notes into shares of our Series B Preferred and Series B Warrants in May 2015. 2013 Unit Notes not modified were repaid during August 2014.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02" w:name="page203"/>
    <w:bookmarkEnd w:id="202"/>
    <w:p>
      <w:pPr>
        <w:spacing w:after="0"/>
        <w:rPr>
          <w:sz w:val="20"/>
          <w:szCs w:val="20"/>
          <w:color w:val="auto"/>
        </w:rPr>
      </w:pPr>
      <w:r>
        <w:rPr>
          <w:rFonts w:ascii="Arial" w:cs="Arial" w:eastAsia="Arial" w:hAnsi="Arial"/>
          <w:sz w:val="12"/>
          <w:szCs w:val="12"/>
          <w:b w:val="1"/>
          <w:bCs w:val="1"/>
          <w:color w:val="auto"/>
        </w:rPr>
        <w:t>Exercise of Warrants: June and October 2013</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2013 and October 2013, our Chief Executive Officer partially exercised a previously outstanding warrant to purchase an aggregate of 3,000 shares of our restricted common stock at an exercise price of $12.80 per share and we received proceeds of $38,400 from his exercise.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and Exercise of Warrants: June – July 2013</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During June 2013, we offered certain long term accredited investors holding warrants to purchase common stock the opportunity to exercise outstanding warrants having an exercise price of $30.00 per share to purchase shares of our restricted common stock at a reduced exercise price of $10.00 per share. Through the closing of the offering in mid-July 2013, warrant holders exercised modified warrants to purchase an aggregate of 26,419 restricted shares of our common stock and we received cash proceeds of $264,185. In addition, certain accredited long-term warrant holders exercised modified warrants to purchase 832 shares of our restricted common stock in lieu of payment by us in satisfaction of amounts due for professional services in the aggregate amount of $8,323.</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Financing: June 2013</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April 2013, we entered into a Securities Purchase Agreement (“</w:t>
      </w:r>
      <w:r>
        <w:rPr>
          <w:rFonts w:ascii="Arial" w:cs="Arial" w:eastAsia="Arial" w:hAnsi="Arial"/>
          <w:sz w:val="12"/>
          <w:szCs w:val="12"/>
          <w:i w:val="1"/>
          <w:iCs w:val="1"/>
          <w:color w:val="auto"/>
        </w:rPr>
        <w:t>Autilion Agreement</w:t>
      </w:r>
      <w:r>
        <w:rPr>
          <w:rFonts w:ascii="Arial" w:cs="Arial" w:eastAsia="Arial" w:hAnsi="Arial"/>
          <w:sz w:val="12"/>
          <w:szCs w:val="12"/>
          <w:color w:val="auto"/>
        </w:rPr>
        <w:t>”) pursuant to which, as amended, we agreed to sell, and Autilion agreed to purchase, 3.6 million restricted shares of our common stock for $10.00 per share resulting in aggregate gross cash proceeds to us of $36.0 million. Autilion completed only a nominal initial closing of the Autilion Financing in which we issued 2,500 restricted shares of our common stock and received $25,000 in cash proceeds. The Autilion Agreement has been terminated as a result of Autilion’s default under the Autilion Agreement.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 July 2012 – July 2013</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On July 2, 2012 and on August 31, 2012, we issued to Platinum senior secured convertible promissory notes in the principal amount of $500,000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w:t>
      </w:r>
      <w:r>
        <w:rPr>
          <w:rFonts w:ascii="Arial" w:cs="Arial" w:eastAsia="Arial" w:hAnsi="Arial"/>
          <w:sz w:val="12"/>
          <w:szCs w:val="12"/>
          <w:i w:val="1"/>
          <w:iCs w:val="1"/>
          <w:color w:val="auto"/>
        </w:rPr>
        <w:t>August 2012 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On October 11, 2012, we entered into a Note Exchange and Purchase Agreement with Platinum (“</w:t>
      </w:r>
      <w:r>
        <w:rPr>
          <w:rFonts w:ascii="Arial" w:cs="Arial" w:eastAsia="Arial" w:hAnsi="Arial"/>
          <w:sz w:val="11"/>
          <w:szCs w:val="11"/>
          <w:i w:val="1"/>
          <w:iCs w:val="1"/>
          <w:color w:val="auto"/>
        </w:rPr>
        <w:t>October 2012 Agreement</w:t>
      </w:r>
      <w:r>
        <w:rPr>
          <w:rFonts w:ascii="Arial" w:cs="Arial" w:eastAsia="Arial" w:hAnsi="Arial"/>
          <w:sz w:val="11"/>
          <w:szCs w:val="11"/>
          <w:color w:val="auto"/>
        </w:rPr>
        <w:t>”) in which the July 2012 Platinum Note and the August 2012 Platinum Note (together, the “</w:t>
      </w:r>
      <w:r>
        <w:rPr>
          <w:rFonts w:ascii="Arial" w:cs="Arial" w:eastAsia="Arial" w:hAnsi="Arial"/>
          <w:sz w:val="11"/>
          <w:szCs w:val="11"/>
          <w:i w:val="1"/>
          <w:iCs w:val="1"/>
          <w:color w:val="auto"/>
        </w:rPr>
        <w:t>Existing</w:t>
      </w:r>
      <w:r>
        <w:rPr>
          <w:rFonts w:ascii="Arial" w:cs="Arial" w:eastAsia="Arial" w:hAnsi="Arial"/>
          <w:sz w:val="11"/>
          <w:szCs w:val="11"/>
          <w:color w:val="auto"/>
        </w:rPr>
        <w:t xml:space="preserve"> </w:t>
      </w:r>
      <w:r>
        <w:rPr>
          <w:rFonts w:ascii="Arial" w:cs="Arial" w:eastAsia="Arial" w:hAnsi="Arial"/>
          <w:sz w:val="11"/>
          <w:szCs w:val="11"/>
          <w:i w:val="1"/>
          <w:iCs w:val="1"/>
          <w:color w:val="auto"/>
        </w:rPr>
        <w:t>Notes</w:t>
      </w:r>
      <w:r>
        <w:rPr>
          <w:rFonts w:ascii="Arial" w:cs="Arial" w:eastAsia="Arial" w:hAnsi="Arial"/>
          <w:sz w:val="11"/>
          <w:szCs w:val="11"/>
          <w:color w:val="auto"/>
        </w:rPr>
        <w:t>”), as well as the related accrued interest, were consolidated into and exchanged for a single senior secured convertible note in the amount of $1,272,600 (“</w:t>
      </w:r>
      <w:r>
        <w:rPr>
          <w:rFonts w:ascii="Arial" w:cs="Arial" w:eastAsia="Arial" w:hAnsi="Arial"/>
          <w:sz w:val="11"/>
          <w:szCs w:val="11"/>
          <w:i w:val="1"/>
          <w:iCs w:val="1"/>
          <w:color w:val="auto"/>
        </w:rPr>
        <w:t>Exchange Note</w:t>
      </w:r>
      <w:r>
        <w:rPr>
          <w:rFonts w:ascii="Arial" w:cs="Arial" w:eastAsia="Arial" w:hAnsi="Arial"/>
          <w:sz w:val="11"/>
          <w:szCs w:val="11"/>
          <w:color w:val="auto"/>
        </w:rPr>
        <w:t>”) and Platinum agreed to purchase four additional 10% senior</w:t>
      </w:r>
      <w:r>
        <w:rPr>
          <w:rFonts w:ascii="Arial" w:cs="Arial" w:eastAsia="Arial" w:hAnsi="Arial"/>
          <w:sz w:val="11"/>
          <w:szCs w:val="11"/>
          <w:i w:val="1"/>
          <w:iCs w:val="1"/>
          <w:color w:val="auto"/>
        </w:rPr>
        <w:t xml:space="preserve"> </w:t>
      </w:r>
      <w:r>
        <w:rPr>
          <w:rFonts w:ascii="Arial" w:cs="Arial" w:eastAsia="Arial" w:hAnsi="Arial"/>
          <w:sz w:val="11"/>
          <w:szCs w:val="11"/>
          <w:color w:val="auto"/>
        </w:rPr>
        <w:t>secured convertible promissory notes in the aggregate principal amount of $2.0 million (“</w:t>
      </w:r>
      <w:r>
        <w:rPr>
          <w:rFonts w:ascii="Arial" w:cs="Arial" w:eastAsia="Arial" w:hAnsi="Arial"/>
          <w:sz w:val="11"/>
          <w:szCs w:val="11"/>
          <w:i w:val="1"/>
          <w:iCs w:val="1"/>
          <w:color w:val="auto"/>
        </w:rPr>
        <w:t>Investment Notes</w:t>
      </w:r>
      <w:r>
        <w:rPr>
          <w:rFonts w:ascii="Arial" w:cs="Arial" w:eastAsia="Arial" w:hAnsi="Arial"/>
          <w:sz w:val="11"/>
          <w:szCs w:val="11"/>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0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November 14, 2012 and January 31, 2013, we entered into amendments to the October 2012 Agreement (the “</w:t>
      </w:r>
      <w:r>
        <w:rPr>
          <w:rFonts w:ascii="Arial" w:cs="Arial" w:eastAsia="Arial" w:hAnsi="Arial"/>
          <w:sz w:val="12"/>
          <w:szCs w:val="12"/>
          <w:i w:val="1"/>
          <w:iCs w:val="1"/>
          <w:color w:val="auto"/>
        </w:rPr>
        <w:t>NEPA Amendments</w:t>
      </w:r>
      <w:r>
        <w:rPr>
          <w:rFonts w:ascii="Arial" w:cs="Arial" w:eastAsia="Arial" w:hAnsi="Arial"/>
          <w:sz w:val="12"/>
          <w:szCs w:val="12"/>
          <w:color w:val="auto"/>
        </w:rPr>
        <w:t>”) with Platinum, pursuant to which the final two $500,000 tranches contemplated by the October 2012 Agreement were combined into a single Investment Note in the aggregate principal amount of $1.0 million (“</w:t>
      </w:r>
      <w:r>
        <w:rPr>
          <w:rFonts w:ascii="Arial" w:cs="Arial" w:eastAsia="Arial" w:hAnsi="Arial"/>
          <w:sz w:val="12"/>
          <w:szCs w:val="12"/>
          <w:i w:val="1"/>
          <w:iCs w:val="1"/>
          <w:color w:val="auto"/>
        </w:rPr>
        <w:t>$1.0 Million Note</w:t>
      </w:r>
      <w:r>
        <w:rPr>
          <w:rFonts w:ascii="Arial" w:cs="Arial" w:eastAsia="Arial" w:hAnsi="Arial"/>
          <w:sz w:val="12"/>
          <w:szCs w:val="12"/>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w:t>
      </w:r>
      <w:r>
        <w:rPr>
          <w:rFonts w:ascii="Arial" w:cs="Arial" w:eastAsia="Arial" w:hAnsi="Arial"/>
          <w:sz w:val="12"/>
          <w:szCs w:val="12"/>
          <w:i w:val="1"/>
          <w:iCs w:val="1"/>
          <w:color w:val="auto"/>
        </w:rPr>
        <w:t>Additional</w:t>
      </w:r>
      <w:r>
        <w:rPr>
          <w:rFonts w:ascii="Arial" w:cs="Arial" w:eastAsia="Arial" w:hAnsi="Arial"/>
          <w:sz w:val="12"/>
          <w:szCs w:val="12"/>
          <w:color w:val="auto"/>
        </w:rPr>
        <w:t xml:space="preserve"> </w:t>
      </w:r>
      <w:r>
        <w:rPr>
          <w:rFonts w:ascii="Arial" w:cs="Arial" w:eastAsia="Arial" w:hAnsi="Arial"/>
          <w:sz w:val="12"/>
          <w:szCs w:val="12"/>
          <w:i w:val="1"/>
          <w:iCs w:val="1"/>
          <w:color w:val="auto"/>
        </w:rPr>
        <w:t>Financing Requirement</w:t>
      </w:r>
      <w:r>
        <w:rPr>
          <w:rFonts w:ascii="Arial" w:cs="Arial" w:eastAsia="Arial" w:hAnsi="Arial"/>
          <w:sz w:val="12"/>
          <w:szCs w:val="12"/>
          <w:color w:val="auto"/>
        </w:rPr>
        <w:t>”). We satisfied the Additional Financing Requirement on February 12, 2013 (see 2012 Private Placement of Units, below). Effective February 22, 2013, we entered into an additional amendment to the October</w:t>
      </w:r>
      <w:r>
        <w:rPr>
          <w:rFonts w:ascii="Arial" w:cs="Arial" w:eastAsia="Arial" w:hAnsi="Arial"/>
          <w:sz w:val="12"/>
          <w:szCs w:val="12"/>
          <w:i w:val="1"/>
          <w:iCs w:val="1"/>
          <w:color w:val="auto"/>
        </w:rPr>
        <w:t xml:space="preserve"> </w:t>
      </w:r>
      <w:r>
        <w:rPr>
          <w:rFonts w:ascii="Arial" w:cs="Arial" w:eastAsia="Arial" w:hAnsi="Arial"/>
          <w:sz w:val="12"/>
          <w:szCs w:val="12"/>
          <w:color w:val="auto"/>
        </w:rPr>
        <w:t>2012 Agreement 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03" w:name="page204"/>
    <w:bookmarkEnd w:id="203"/>
    <w:p>
      <w:pPr>
        <w:jc w:val="both"/>
        <w:ind w:firstLine="432"/>
        <w:spacing w:after="0" w:line="320" w:lineRule="auto"/>
        <w:rPr>
          <w:sz w:val="20"/>
          <w:szCs w:val="20"/>
          <w:color w:val="auto"/>
        </w:rPr>
      </w:pPr>
      <w:r>
        <w:rPr>
          <w:rFonts w:ascii="Arial" w:cs="Arial" w:eastAsia="Arial" w:hAnsi="Arial"/>
          <w:sz w:val="10"/>
          <w:szCs w:val="10"/>
          <w:color w:val="auto"/>
        </w:rPr>
        <w:t>The Exchange Note and each Investment Note (together, the “</w:t>
      </w:r>
      <w:r>
        <w:rPr>
          <w:rFonts w:ascii="Arial" w:cs="Arial" w:eastAsia="Arial" w:hAnsi="Arial"/>
          <w:sz w:val="10"/>
          <w:szCs w:val="10"/>
          <w:i w:val="1"/>
          <w:iCs w:val="1"/>
          <w:color w:val="auto"/>
        </w:rPr>
        <w:t>Notes</w:t>
      </w:r>
      <w:r>
        <w:rPr>
          <w:rFonts w:ascii="Arial" w:cs="Arial" w:eastAsia="Arial" w:hAnsi="Arial"/>
          <w:sz w:val="10"/>
          <w:szCs w:val="10"/>
          <w:color w:val="auto"/>
        </w:rPr>
        <w:t>”) accrued interest at a rate of 10% per annum and, subject to certain limitations and exceptions set forth in the Notes, unless converted earlier and voluntarily by Platinum, would have been due and payable in restricted shares of our common stock on October 11, 2015, or three years from the date of issuance, as determined by the terms of the respective Investment Notes. At maturity, all principal and accrued interest due under the Notes was to have been paid through the issuance of restricted shares of our common stock to Platinum. Subject to certain potential adjustments set forth in the Notes, the number of restricted shares of common stock issuable as payment in full for each of the Notes at maturity would have been calculated by dividing the outstanding Note balance plus accrued interest by $10.00 per share. Prior to maturity, the outstanding principal and any accrued interest on the Exchange Note and each of the Investment Notes was convertible, in whole or in part, at Platinum’s option into shares of our common stock at a conversion price of $10.00 per share, subject to certain adjustments.</w:t>
      </w:r>
    </w:p>
    <w:p>
      <w:pPr>
        <w:spacing w:after="0" w:line="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As additional consideration for the purchase of the Investment Notes, we issued to Platinum warrants to purchase an aggregate of 100,000 shares of our common stock, issuable in separate tranches together with each Investment Note, of which a warrant to purchase 25,000 shares was issued to Platinum on October 11, 2012 and on October 19, 2012, a warrant to purchase 12,500 shares was issued to Platinum on February 22, 2013 and a warrant to purchase 37,500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In addition, we issued Platinum a warrant to purchase 63,629 shares of our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At issuance, the Platinum Exchange Warrant and each Investment Warrant had a term of five years and an exercise price of $30.00 per share, subject to certain adjustments. We have subsequently reduced the exercise price of the Exchange and Investment Warrants to $10.00 per share.</w:t>
      </w:r>
    </w:p>
    <w:p>
      <w:pPr>
        <w:spacing w:after="0" w:line="12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July 26, 2013, we issued an additional senior secured convertible promissory note in the principal amount of $250,000 to Platinum (the “</w:t>
      </w:r>
      <w:r>
        <w:rPr>
          <w:rFonts w:ascii="Arial" w:cs="Arial" w:eastAsia="Arial" w:hAnsi="Arial"/>
          <w:sz w:val="11"/>
          <w:szCs w:val="11"/>
          <w:i w:val="1"/>
          <w:iCs w:val="1"/>
          <w:color w:val="auto"/>
        </w:rPr>
        <w:t>July 2013 Note</w:t>
      </w:r>
      <w:r>
        <w:rPr>
          <w:rFonts w:ascii="Arial" w:cs="Arial" w:eastAsia="Arial" w:hAnsi="Arial"/>
          <w:sz w:val="11"/>
          <w:szCs w:val="11"/>
          <w:color w:val="auto"/>
        </w:rPr>
        <w:t>”). The July 2013 Note matured on July 26, 2016 and accrued interest at a rate of 10% per annum. Subject to certain terms and conditions, all principal and accrued interest under the July 2013 Note would have been payable by the Company through the issuance of restricted shares of common stock to Platinum. Subject to certain potential adjustments set forth in the July 2013 Note, the number of restricted shares of common stock issuable as payment in full for the July 2013 Note at maturity would have been calculated by dividing the outstanding balance plus accrued interest of the July 2013 Note by $10.00 per share. Prior to maturity, the outstanding principal and any accrued interest on the July 2013 Note was convertible, in whole or in part, at Platinum’s option into shares of the Company’s restricted common stock at a conversion price of $10.00 per share, subject to certain adjustments. As additional consideration for the purchase of the July 2013 Note, we issued to Platinum a five-year warrant to purchase 12,500 restricted shares of our common stock at an exercise price of $0.50 per share (the “</w:t>
      </w:r>
      <w:r>
        <w:rPr>
          <w:rFonts w:ascii="Arial" w:cs="Arial" w:eastAsia="Arial" w:hAnsi="Arial"/>
          <w:sz w:val="11"/>
          <w:szCs w:val="11"/>
          <w:i w:val="1"/>
          <w:iCs w:val="1"/>
          <w:color w:val="auto"/>
        </w:rPr>
        <w:t>July 2013 Warrant</w:t>
      </w:r>
      <w:r>
        <w:rPr>
          <w:rFonts w:ascii="Arial" w:cs="Arial" w:eastAsia="Arial" w:hAnsi="Arial"/>
          <w:sz w:val="11"/>
          <w:szCs w:val="11"/>
          <w:color w:val="auto"/>
        </w:rPr>
        <w: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the date of this registration statement, all of the Senior Secured Convertible Notes described above have been extinguished by conversion into shares of our Series B Preferred.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Private Placement of Units: September 2012 – March 2013</w:t>
      </w:r>
    </w:p>
    <w:p>
      <w:pPr>
        <w:spacing w:after="0" w:line="1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Between September 2012 and March 2013, we sold 118,317 Units in a private placement to accredited investors and received cash proceeds of $1,133,200 and settled outstanding amounts payable for legal fees in lieu of cash payment for services in the amount of $50,000. The Units were sold for $10.00 per Unit and each Unit consisted of one-twentieth of one restricted share of our common stock and a five year warrant to purchase one-fortieth of one restricted share of our common stock at an exercise price of $30.00 per share. In addition, in November 2012, pursuant to an Exchange Agreement, the holders of the February 2012 Notes exchanged the aggregate amount of $678,600 due under the terms of such notes for a total of 33,932 Units, consisting of 67,864 restricted shares of the Company’s common stock and five-year warrants to purchase 33,932 restricted shares of the Company’s common stock at an exercise price of $30.00 per share. The gross cash proceeds from this private placement of Units satisfied the Additional Financing Requirement under the October 2012 Agreement with Platinum, as amended, described above, entitling us to sell and requiring Platinum to purchase senior secured convertible promissory notes in the aggregate face amount of $1.0 million in February and March 2013.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04" w:name="page205"/>
    <w:bookmarkEnd w:id="204"/>
    <w:p>
      <w:pPr>
        <w:spacing w:after="0"/>
        <w:rPr>
          <w:sz w:val="20"/>
          <w:szCs w:val="20"/>
          <w:color w:val="auto"/>
        </w:rPr>
      </w:pPr>
      <w:r>
        <w:rPr>
          <w:rFonts w:ascii="Arial" w:cs="Arial" w:eastAsia="Arial" w:hAnsi="Arial"/>
          <w:sz w:val="12"/>
          <w:szCs w:val="12"/>
          <w:b w:val="1"/>
          <w:bCs w:val="1"/>
          <w:color w:val="auto"/>
        </w:rPr>
        <w:t>Note Payable to Morrison &amp; Foerster: May 2011, restructured August 2012</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May 5, 2011, we amended a previously-outstanding note (“</w:t>
      </w:r>
      <w:r>
        <w:rPr>
          <w:rFonts w:ascii="Arial" w:cs="Arial" w:eastAsia="Arial" w:hAnsi="Arial"/>
          <w:sz w:val="12"/>
          <w:szCs w:val="12"/>
          <w:i w:val="1"/>
          <w:iCs w:val="1"/>
          <w:color w:val="auto"/>
        </w:rPr>
        <w:t>Original Note</w:t>
      </w:r>
      <w:r>
        <w:rPr>
          <w:rFonts w:ascii="Arial" w:cs="Arial" w:eastAsia="Arial" w:hAnsi="Arial"/>
          <w:sz w:val="12"/>
          <w:szCs w:val="12"/>
          <w:color w:val="auto"/>
        </w:rPr>
        <w:t>”) issued to Morrison &amp; Foerster LLP (“</w:t>
      </w:r>
      <w:r>
        <w:rPr>
          <w:rFonts w:ascii="Arial" w:cs="Arial" w:eastAsia="Arial" w:hAnsi="Arial"/>
          <w:sz w:val="12"/>
          <w:szCs w:val="12"/>
          <w:i w:val="1"/>
          <w:iCs w:val="1"/>
          <w:color w:val="auto"/>
        </w:rPr>
        <w:t>Morrison &amp; Foerster</w:t>
      </w:r>
      <w:r>
        <w:rPr>
          <w:rFonts w:ascii="Arial" w:cs="Arial" w:eastAsia="Arial" w:hAnsi="Arial"/>
          <w:sz w:val="12"/>
          <w:szCs w:val="12"/>
          <w:color w:val="auto"/>
        </w:rPr>
        <w:t>”), our former intellectual property counsel, that we had issued in payment of legal services (the “</w:t>
      </w:r>
      <w:r>
        <w:rPr>
          <w:rFonts w:ascii="Arial" w:cs="Arial" w:eastAsia="Arial" w:hAnsi="Arial"/>
          <w:sz w:val="12"/>
          <w:szCs w:val="12"/>
          <w:i w:val="1"/>
          <w:iCs w:val="1"/>
          <w:color w:val="auto"/>
        </w:rPr>
        <w:t>Amended Note</w:t>
      </w:r>
      <w:r>
        <w:rPr>
          <w:rFonts w:ascii="Arial" w:cs="Arial" w:eastAsia="Arial" w:hAnsi="Arial"/>
          <w:sz w:val="12"/>
          <w:szCs w:val="12"/>
          <w:color w:val="auto"/>
        </w:rPr>
        <w:t>”). Under the Amended Note, the principal balance of the Original Note was increased to $2,200,000, interest accrued at the rate of 7.5% per annum, and we were required to make an additional payment of $100,000 within three business days of the date of the Amended Note, which we made in a timely manner.</w:t>
      </w:r>
    </w:p>
    <w:p>
      <w:pPr>
        <w:spacing w:after="0" w:line="123"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On August 31, 2012, we restructured the Amended Note (“</w:t>
      </w:r>
      <w:r>
        <w:rPr>
          <w:rFonts w:ascii="Arial" w:cs="Arial" w:eastAsia="Arial" w:hAnsi="Arial"/>
          <w:sz w:val="11"/>
          <w:szCs w:val="11"/>
          <w:i w:val="1"/>
          <w:iCs w:val="1"/>
          <w:color w:val="auto"/>
        </w:rPr>
        <w:t>Restructuring Agreement</w:t>
      </w:r>
      <w:r>
        <w:rPr>
          <w:rFonts w:ascii="Arial" w:cs="Arial" w:eastAsia="Arial" w:hAnsi="Arial"/>
          <w:sz w:val="11"/>
          <w:szCs w:val="11"/>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1"/>
          <w:szCs w:val="11"/>
          <w:i w:val="1"/>
          <w:iCs w:val="1"/>
          <w:color w:val="auto"/>
        </w:rPr>
        <w:t>Replacement Note A</w:t>
      </w:r>
      <w:r>
        <w:rPr>
          <w:rFonts w:ascii="Arial" w:cs="Arial" w:eastAsia="Arial" w:hAnsi="Arial"/>
          <w:sz w:val="11"/>
          <w:szCs w:val="11"/>
          <w:color w:val="auto"/>
        </w:rPr>
        <w:t>”) and the other in the principal amount of $1,379,400 (</w:t>
      </w:r>
      <w:r>
        <w:rPr>
          <w:rFonts w:ascii="Arial" w:cs="Arial" w:eastAsia="Arial" w:hAnsi="Arial"/>
          <w:sz w:val="11"/>
          <w:szCs w:val="11"/>
          <w:i w:val="1"/>
          <w:iCs w:val="1"/>
          <w:color w:val="auto"/>
        </w:rPr>
        <w:t>Replacement Note B</w:t>
      </w:r>
      <w:r>
        <w:rPr>
          <w:rFonts w:ascii="Arial" w:cs="Arial" w:eastAsia="Arial" w:hAnsi="Arial"/>
          <w:sz w:val="11"/>
          <w:szCs w:val="11"/>
          <w:color w:val="auto"/>
        </w:rPr>
        <w:t>) (together, the “</w:t>
      </w:r>
      <w:r>
        <w:rPr>
          <w:rFonts w:ascii="Arial" w:cs="Arial" w:eastAsia="Arial" w:hAnsi="Arial"/>
          <w:sz w:val="11"/>
          <w:szCs w:val="11"/>
          <w:i w:val="1"/>
          <w:iCs w:val="1"/>
          <w:color w:val="auto"/>
        </w:rPr>
        <w:t>Replacement Notes</w:t>
      </w:r>
      <w:r>
        <w:rPr>
          <w:rFonts w:ascii="Arial" w:cs="Arial" w:eastAsia="Arial" w:hAnsi="Arial"/>
          <w:sz w:val="11"/>
          <w:szCs w:val="11"/>
          <w:color w:val="auto"/>
        </w:rPr>
        <w:t>”); amended an outstanding warrant to purchase 21,250 restricted shares of our common stock (the “</w:t>
      </w:r>
      <w:r>
        <w:rPr>
          <w:rFonts w:ascii="Arial" w:cs="Arial" w:eastAsia="Arial" w:hAnsi="Arial"/>
          <w:sz w:val="11"/>
          <w:szCs w:val="11"/>
          <w:i w:val="1"/>
          <w:iCs w:val="1"/>
          <w:color w:val="auto"/>
        </w:rPr>
        <w:t>Amended M&amp;F Warrant</w:t>
      </w:r>
      <w:r>
        <w:rPr>
          <w:rFonts w:ascii="Arial" w:cs="Arial" w:eastAsia="Arial" w:hAnsi="Arial"/>
          <w:sz w:val="11"/>
          <w:szCs w:val="11"/>
          <w:color w:val="auto"/>
        </w:rPr>
        <w:t>”); and issued a new warrant to purchase 68,969 restricted shares of our common stock (“</w:t>
      </w:r>
      <w:r>
        <w:rPr>
          <w:rFonts w:ascii="Arial" w:cs="Arial" w:eastAsia="Arial" w:hAnsi="Arial"/>
          <w:sz w:val="11"/>
          <w:szCs w:val="11"/>
          <w:i w:val="1"/>
          <w:iCs w:val="1"/>
          <w:color w:val="auto"/>
        </w:rPr>
        <w:t>New M&amp;F Warrant</w:t>
      </w:r>
      <w:r>
        <w:rPr>
          <w:rFonts w:ascii="Arial" w:cs="Arial" w:eastAsia="Arial" w:hAnsi="Arial"/>
          <w:sz w:val="11"/>
          <w:szCs w:val="11"/>
          <w:color w:val="auto"/>
        </w:rPr>
        <w:t>”). Under the terms of the Restructuring Agreement, the Amended Note was cancelled and all of our past due payment obligations under the Amended Note were satisfied. We made a payment of $155,000 to Morrison &amp; Foerster on August 31, 2012 pursuant to the terms of the Amended Note, and issued the Replacement Notes, each dated as of August 31, 2012. Both Replacement Notes accrued interest at the rate of 7.5% per annum and were due and payable on March 31, 2016. Replacement Note A required monthly payments of $15,000 per month through March 31, 2013, and $25,000 per month thereafter until maturity. For strategic purposes, we did not make the payments required on Replacement Note A after April 2013 and accordingly, the interest rate on the Replacement Notes has increased to 10.0 % per annum from May 2013 until extinguishment in August 2015. Payment of the principal and interest on Replacement Note B was to be made solely in restricted shares of our common stock pursuant to Morrison &amp; Foerster’s surrender from time to time of all or a portion of the principal and interest balance due on Replacement Note B in connection with its exercise of the New M&amp;F Warrant, at an exercise price of $20.00 per share, and concurrent cancellation of indebtedness and surrender of Replacement Note B; provided, however, that Morrison &amp; Foerster had the option to require payment of Replacement Note B in cash upon the occurrence of a change in control of the Company or an event of default, and only in such circumstances. As of the date of this prospectus, the Replacement Notes and related accrued interest have been extinguished by conversion into shares of our Series B Preferred.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University Health Network (“</w:t>
      </w:r>
      <w:r>
        <w:rPr>
          <w:rFonts w:ascii="Arial" w:cs="Arial" w:eastAsia="Arial" w:hAnsi="Arial"/>
          <w:sz w:val="12"/>
          <w:szCs w:val="12"/>
          <w:b w:val="1"/>
          <w:bCs w:val="1"/>
          <w:i w:val="1"/>
          <w:iCs w:val="1"/>
          <w:color w:val="auto"/>
        </w:rPr>
        <w:t>UHN</w:t>
      </w:r>
      <w:r>
        <w:rPr>
          <w:rFonts w:ascii="Arial" w:cs="Arial" w:eastAsia="Arial" w:hAnsi="Arial"/>
          <w:sz w:val="12"/>
          <w:szCs w:val="12"/>
          <w:b w:val="1"/>
          <w:bCs w:val="1"/>
          <w:color w:val="auto"/>
        </w:rPr>
        <w:t>”): October 2012</w:t>
      </w:r>
    </w:p>
    <w:p>
      <w:pPr>
        <w:spacing w:after="0" w:line="1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October 10, 2012, we issued to UHN: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our Sponsored Research Collaboration Agreement through September 30, 2012 (the “</w:t>
      </w:r>
      <w:r>
        <w:rPr>
          <w:rFonts w:ascii="Arial" w:cs="Arial" w:eastAsia="Arial" w:hAnsi="Arial"/>
          <w:sz w:val="11"/>
          <w:szCs w:val="11"/>
          <w:i w:val="1"/>
          <w:iCs w:val="1"/>
          <w:color w:val="auto"/>
        </w:rPr>
        <w:t>UHN Note</w:t>
      </w:r>
      <w:r>
        <w:rPr>
          <w:rFonts w:ascii="Arial" w:cs="Arial" w:eastAsia="Arial" w:hAnsi="Arial"/>
          <w:sz w:val="11"/>
          <w:szCs w:val="11"/>
          <w:color w:val="auto"/>
        </w:rPr>
        <w:t>”), and (ii) a five-year warrant to purchase, at a price of $1.00 per share, 549,500 restricted shares of our common stock, the amount equal to the sum of the principal amount of the UHN Note, plus all accrued interest thereon, divided by $1.00 per share (the “</w:t>
      </w:r>
      <w:r>
        <w:rPr>
          <w:rFonts w:ascii="Arial" w:cs="Arial" w:eastAsia="Arial" w:hAnsi="Arial"/>
          <w:sz w:val="11"/>
          <w:szCs w:val="11"/>
          <w:i w:val="1"/>
          <w:iCs w:val="1"/>
          <w:color w:val="auto"/>
        </w:rPr>
        <w:t>UHN Warrant</w:t>
      </w:r>
      <w:r>
        <w:rPr>
          <w:rFonts w:ascii="Arial" w:cs="Arial" w:eastAsia="Arial" w:hAnsi="Arial"/>
          <w:sz w:val="11"/>
          <w:szCs w:val="11"/>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 As of the date of this prospectus, the principal and accrued interest of the UHN Note has been extinguished by conversion into shares of our Series B Preferred.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Holding Company (“</w:t>
      </w:r>
      <w:r>
        <w:rPr>
          <w:rFonts w:ascii="Arial" w:cs="Arial" w:eastAsia="Arial" w:hAnsi="Arial"/>
          <w:sz w:val="12"/>
          <w:szCs w:val="12"/>
          <w:b w:val="1"/>
          <w:bCs w:val="1"/>
          <w:i w:val="1"/>
          <w:iCs w:val="1"/>
          <w:color w:val="auto"/>
        </w:rPr>
        <w:t>CHC</w:t>
      </w:r>
      <w:r>
        <w:rPr>
          <w:rFonts w:ascii="Arial" w:cs="Arial" w:eastAsia="Arial" w:hAnsi="Arial"/>
          <w:sz w:val="12"/>
          <w:szCs w:val="12"/>
          <w:b w:val="1"/>
          <w:bCs w:val="1"/>
          <w:color w:val="auto"/>
        </w:rPr>
        <w:t>”): April 2011, Restructured October 2012</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April 2011, all amounts we owed to CHC, a related party, and its affiliates, were consolidated into a single note, in the principal amount of $352,300 (the “</w:t>
      </w:r>
      <w:r>
        <w:rPr>
          <w:rFonts w:ascii="Arial" w:cs="Arial" w:eastAsia="Arial" w:hAnsi="Arial"/>
          <w:sz w:val="11"/>
          <w:szCs w:val="11"/>
          <w:i w:val="1"/>
          <w:iCs w:val="1"/>
          <w:color w:val="auto"/>
        </w:rPr>
        <w:t>2011 CHC Note</w:t>
      </w:r>
      <w:r>
        <w:rPr>
          <w:rFonts w:ascii="Arial" w:cs="Arial" w:eastAsia="Arial" w:hAnsi="Arial"/>
          <w:sz w:val="11"/>
          <w:szCs w:val="11"/>
          <w:color w:val="auto"/>
        </w:rPr>
        <w:t>”). Concurrently, CHC released all of its security interests in certain of our personal property. The 2011 CHC note was to bear interest at 7% per annum, compounded monthly. Under the terms of the note, we were to make six monthly payments of $10,000 each beginning June 1, 2011, and thereafter to make payments of $12,500 monthly until the 2011 CHC Note was repaid in full. We had the option to prepay the outstanding balance in full or in part at any time during its term without penalty.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05" w:name="page206"/>
    <w:bookmarkEnd w:id="205"/>
    <w:p>
      <w:pPr>
        <w:jc w:val="both"/>
        <w:ind w:firstLine="432"/>
        <w:spacing w:after="0" w:line="259" w:lineRule="auto"/>
        <w:rPr>
          <w:sz w:val="20"/>
          <w:szCs w:val="20"/>
          <w:color w:val="auto"/>
        </w:rPr>
      </w:pPr>
      <w:r>
        <w:rPr>
          <w:rFonts w:ascii="Arial" w:cs="Arial" w:eastAsia="Arial" w:hAnsi="Arial"/>
          <w:sz w:val="12"/>
          <w:szCs w:val="12"/>
          <w:color w:val="auto"/>
        </w:rPr>
        <w:t>On October 10, 2012, we agreed with CHC to cancel the 2011 CHC Note in exchange for a new unsecured promissory note in the principal amount of $310,400 (the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12,500 shares of our common stock at a price of $30.00 per share (the “</w:t>
      </w:r>
      <w:r>
        <w:rPr>
          <w:rFonts w:ascii="Arial" w:cs="Arial" w:eastAsia="Arial" w:hAnsi="Arial"/>
          <w:sz w:val="12"/>
          <w:szCs w:val="12"/>
          <w:i w:val="1"/>
          <w:iCs w:val="1"/>
          <w:color w:val="auto"/>
        </w:rPr>
        <w:t>CHC Warrant</w:t>
      </w:r>
      <w:r>
        <w:rPr>
          <w:rFonts w:ascii="Arial" w:cs="Arial" w:eastAsia="Arial" w:hAnsi="Arial"/>
          <w:sz w:val="12"/>
          <w:szCs w:val="12"/>
          <w:color w:val="auto"/>
        </w:rPr>
        <w:t>”). The 2012 CHC Note accrued interest at a rate of 7.5% per annum and was due and payable in monthly installments of $10,000, beginning November 1, 2012 and continuing until the outstanding balance was paid in full. As of the date of this prospectus, the aggregate principal and accrued interest of the 2012 CHC Note has been extinguished by conversion into shares of our Series B Preferred.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Research Ltd (“</w:t>
      </w:r>
      <w:r>
        <w:rPr>
          <w:rFonts w:ascii="Arial" w:cs="Arial" w:eastAsia="Arial" w:hAnsi="Arial"/>
          <w:sz w:val="12"/>
          <w:szCs w:val="12"/>
          <w:b w:val="1"/>
          <w:bCs w:val="1"/>
          <w:i w:val="1"/>
          <w:iCs w:val="1"/>
          <w:color w:val="auto"/>
        </w:rPr>
        <w:t>CRL</w:t>
      </w:r>
      <w:r>
        <w:rPr>
          <w:rFonts w:ascii="Arial" w:cs="Arial" w:eastAsia="Arial" w:hAnsi="Arial"/>
          <w:sz w:val="12"/>
          <w:szCs w:val="12"/>
          <w:b w:val="1"/>
          <w:bCs w:val="1"/>
          <w:color w:val="auto"/>
        </w:rPr>
        <w:t>”): October 2012</w:t>
      </w:r>
    </w:p>
    <w:p>
      <w:pPr>
        <w:spacing w:after="0" w:line="15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On October 10, 2012, we issued to CRL, a related party: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2"/>
          <w:szCs w:val="12"/>
          <w:i w:val="1"/>
          <w:iCs w:val="1"/>
          <w:color w:val="auto"/>
        </w:rPr>
        <w:t>CRL Note</w:t>
      </w:r>
      <w:r>
        <w:rPr>
          <w:rFonts w:ascii="Arial" w:cs="Arial" w:eastAsia="Arial" w:hAnsi="Arial"/>
          <w:sz w:val="12"/>
          <w:szCs w:val="12"/>
          <w:color w:val="auto"/>
        </w:rPr>
        <w:t>”), as payment in full for all contract research and development services and regulatory advice (“</w:t>
      </w:r>
      <w:r>
        <w:rPr>
          <w:rFonts w:ascii="Arial" w:cs="Arial" w:eastAsia="Arial" w:hAnsi="Arial"/>
          <w:sz w:val="12"/>
          <w:szCs w:val="12"/>
          <w:i w:val="1"/>
          <w:iCs w:val="1"/>
          <w:color w:val="auto"/>
        </w:rPr>
        <w:t>CRO Services</w:t>
      </w:r>
      <w:r>
        <w:rPr>
          <w:rFonts w:ascii="Arial" w:cs="Arial" w:eastAsia="Arial" w:hAnsi="Arial"/>
          <w:sz w:val="12"/>
          <w:szCs w:val="12"/>
          <w:color w:val="auto"/>
        </w:rPr>
        <w:t>”) rendered by CRL to us and our affiliates through December 31, 2012 with respect to the preclinical and clinical development of AV-101, and (ii) a five-year warrant to purchase, at a price of $20.00 per share, 50,450 restricted shares of our common stock, the amount equal to the sum of the principal amount of the CRL Note, plus all accrued interest thereon, divided by $20.00 per share (the “</w:t>
      </w:r>
      <w:r>
        <w:rPr>
          <w:rFonts w:ascii="Arial" w:cs="Arial" w:eastAsia="Arial" w:hAnsi="Arial"/>
          <w:sz w:val="12"/>
          <w:szCs w:val="12"/>
          <w:i w:val="1"/>
          <w:iCs w:val="1"/>
          <w:color w:val="auto"/>
        </w:rPr>
        <w:t>CRL Warrant</w:t>
      </w:r>
      <w:r>
        <w:rPr>
          <w:rFonts w:ascii="Arial" w:cs="Arial" w:eastAsia="Arial" w:hAnsi="Arial"/>
          <w:sz w:val="12"/>
          <w:szCs w:val="12"/>
          <w:color w:val="auto"/>
        </w:rPr>
        <w:t>”). The CRL Note was due and payable on March 31, 2016 and was payable solely by CRL's surrender from time to time of all or a portion of the principal and interest balance due on the CRL Note in connection with its concurrent exercise of the CRL Warrant, provided, however, that CRL had the option to require payment of the CRL Note in cash upon the occurrence of a change in control of the Company or an event of default, and only in such circumstances. As of the date of this prospectus, the aggregate principal and accrued interest of the CRL Note has been extinguished by conversion into shares of our Series B Preferred.</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 Exhibits and Financial Statement Schedules</w:t>
      </w:r>
    </w:p>
    <w:p>
      <w:pPr>
        <w:spacing w:after="0" w:line="172" w:lineRule="exact"/>
        <w:rPr>
          <w:sz w:val="20"/>
          <w:szCs w:val="20"/>
          <w:color w:val="auto"/>
        </w:rPr>
      </w:pPr>
    </w:p>
    <w:p>
      <w:pPr>
        <w:ind w:left="580" w:hanging="156"/>
        <w:spacing w:after="0"/>
        <w:tabs>
          <w:tab w:leader="none" w:pos="580" w:val="left"/>
        </w:tabs>
        <w:numPr>
          <w:ilvl w:val="0"/>
          <w:numId w:val="91"/>
        </w:numPr>
        <w:rPr>
          <w:rFonts w:ascii="Arial" w:cs="Arial" w:eastAsia="Arial" w:hAnsi="Arial"/>
          <w:sz w:val="12"/>
          <w:szCs w:val="12"/>
          <w:color w:val="auto"/>
        </w:rPr>
      </w:pPr>
      <w:r>
        <w:rPr>
          <w:rFonts w:ascii="Arial" w:cs="Arial" w:eastAsia="Arial" w:hAnsi="Arial"/>
          <w:sz w:val="12"/>
          <w:szCs w:val="12"/>
          <w:i w:val="1"/>
          <w:iCs w:val="1"/>
          <w:color w:val="auto"/>
        </w:rPr>
        <w:t>Exhibits</w:t>
      </w:r>
      <w:r>
        <w:rPr>
          <w:rFonts w:ascii="Arial" w:cs="Arial" w:eastAsia="Arial" w:hAnsi="Arial"/>
          <w:sz w:val="12"/>
          <w:szCs w:val="12"/>
          <w:color w:val="auto"/>
        </w:rPr>
        <w:t>. The exhibits are incorporated by reference to the Exhibit Index attached hereto and a part hereof by reference.</w:t>
      </w:r>
    </w:p>
    <w:p>
      <w:pPr>
        <w:spacing w:after="0" w:line="168" w:lineRule="exact"/>
        <w:rPr>
          <w:rFonts w:ascii="Arial" w:cs="Arial" w:eastAsia="Arial" w:hAnsi="Arial"/>
          <w:sz w:val="12"/>
          <w:szCs w:val="12"/>
          <w:color w:val="auto"/>
        </w:rPr>
      </w:pPr>
    </w:p>
    <w:p>
      <w:pPr>
        <w:ind w:left="600" w:hanging="176"/>
        <w:spacing w:after="0"/>
        <w:tabs>
          <w:tab w:leader="none" w:pos="600" w:val="left"/>
        </w:tabs>
        <w:numPr>
          <w:ilvl w:val="0"/>
          <w:numId w:val="91"/>
        </w:numPr>
        <w:rPr>
          <w:rFonts w:ascii="Arial" w:cs="Arial" w:eastAsia="Arial" w:hAnsi="Arial"/>
          <w:sz w:val="12"/>
          <w:szCs w:val="12"/>
          <w:color w:val="auto"/>
        </w:rPr>
      </w:pPr>
      <w:r>
        <w:rPr>
          <w:rFonts w:ascii="Arial" w:cs="Arial" w:eastAsia="Arial" w:hAnsi="Arial"/>
          <w:sz w:val="12"/>
          <w:szCs w:val="12"/>
          <w:i w:val="1"/>
          <w:iCs w:val="1"/>
          <w:color w:val="auto"/>
        </w:rPr>
        <w:t xml:space="preserve">Financial Statements. </w:t>
      </w:r>
      <w:r>
        <w:rPr>
          <w:rFonts w:ascii="Arial" w:cs="Arial" w:eastAsia="Arial" w:hAnsi="Arial"/>
          <w:sz w:val="12"/>
          <w:szCs w:val="12"/>
          <w:color w:val="auto"/>
        </w:rPr>
        <w:t>See page F-1 for an index of the financial statements and financial statement schedules included in the Registration Statement.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06" w:name="page207"/>
    <w:bookmarkEnd w:id="206"/>
    <w:p>
      <w:pPr>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17. Undertakings</w:t>
      </w:r>
    </w:p>
    <w:p>
      <w:pPr>
        <w:spacing w:after="0" w:line="172" w:lineRule="exact"/>
        <w:rPr>
          <w:sz w:val="20"/>
          <w:szCs w:val="20"/>
          <w:color w:val="auto"/>
        </w:rPr>
      </w:pPr>
    </w:p>
    <w:p>
      <w:pPr>
        <w:ind w:left="700" w:hanging="192"/>
        <w:spacing w:after="0"/>
        <w:tabs>
          <w:tab w:leader="none" w:pos="7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undersigned registrant hereby undertakes:</w:t>
      </w:r>
    </w:p>
    <w:p>
      <w:pPr>
        <w:spacing w:after="0" w:line="168" w:lineRule="exact"/>
        <w:rPr>
          <w:rFonts w:ascii="Arial" w:cs="Arial" w:eastAsia="Arial" w:hAnsi="Arial"/>
          <w:sz w:val="12"/>
          <w:szCs w:val="12"/>
          <w:color w:val="auto"/>
        </w:rPr>
      </w:pPr>
    </w:p>
    <w:p>
      <w:pPr>
        <w:ind w:left="1200" w:hanging="205"/>
        <w:spacing w:after="0"/>
        <w:tabs>
          <w:tab w:leader="none" w:pos="1200" w:val="left"/>
        </w:tabs>
        <w:numPr>
          <w:ilvl w:val="1"/>
          <w:numId w:val="92"/>
        </w:numPr>
        <w:rPr>
          <w:rFonts w:ascii="Arial" w:cs="Arial" w:eastAsia="Arial" w:hAnsi="Arial"/>
          <w:sz w:val="12"/>
          <w:szCs w:val="12"/>
          <w:color w:val="auto"/>
        </w:rPr>
      </w:pPr>
      <w:r>
        <w:rPr>
          <w:rFonts w:ascii="Arial" w:cs="Arial" w:eastAsia="Arial" w:hAnsi="Arial"/>
          <w:sz w:val="12"/>
          <w:szCs w:val="12"/>
          <w:color w:val="auto"/>
        </w:rPr>
        <w:t>To file, during any period in which offers or sales are being made, a post-effective amendment to this registration statement:</w:t>
      </w:r>
    </w:p>
    <w:p>
      <w:pPr>
        <w:spacing w:after="0" w:line="168" w:lineRule="exact"/>
        <w:rPr>
          <w:rFonts w:ascii="Arial" w:cs="Arial" w:eastAsia="Arial" w:hAnsi="Arial"/>
          <w:sz w:val="12"/>
          <w:szCs w:val="12"/>
          <w:color w:val="auto"/>
        </w:rPr>
      </w:pPr>
    </w:p>
    <w:p>
      <w:pPr>
        <w:ind w:left="1660" w:hanging="179"/>
        <w:spacing w:after="0"/>
        <w:tabs>
          <w:tab w:leader="none" w:pos="1660" w:val="left"/>
        </w:tabs>
        <w:numPr>
          <w:ilvl w:val="3"/>
          <w:numId w:val="92"/>
        </w:numPr>
        <w:rPr>
          <w:rFonts w:ascii="Arial" w:cs="Arial" w:eastAsia="Arial" w:hAnsi="Arial"/>
          <w:sz w:val="12"/>
          <w:szCs w:val="12"/>
          <w:color w:val="auto"/>
        </w:rPr>
      </w:pPr>
      <w:r>
        <w:rPr>
          <w:rFonts w:ascii="Arial" w:cs="Arial" w:eastAsia="Arial" w:hAnsi="Arial"/>
          <w:sz w:val="12"/>
          <w:szCs w:val="12"/>
          <w:color w:val="auto"/>
        </w:rPr>
        <w:t>To include any prospectus required by section 10(a)(3) of the Securities Act of 1933;</w:t>
      </w:r>
    </w:p>
    <w:p>
      <w:pPr>
        <w:spacing w:after="0" w:line="168" w:lineRule="exact"/>
        <w:rPr>
          <w:rFonts w:ascii="Arial" w:cs="Arial" w:eastAsia="Arial" w:hAnsi="Arial"/>
          <w:sz w:val="12"/>
          <w:szCs w:val="12"/>
          <w:color w:val="auto"/>
        </w:rPr>
      </w:pPr>
    </w:p>
    <w:p>
      <w:pPr>
        <w:jc w:val="both"/>
        <w:ind w:firstLine="1512"/>
        <w:spacing w:after="0" w:line="290" w:lineRule="auto"/>
        <w:tabs>
          <w:tab w:leader="none" w:pos="1734" w:val="left"/>
        </w:tabs>
        <w:numPr>
          <w:ilvl w:val="4"/>
          <w:numId w:val="92"/>
        </w:numPr>
        <w:rPr>
          <w:rFonts w:ascii="Arial" w:cs="Arial" w:eastAsia="Arial" w:hAnsi="Arial"/>
          <w:sz w:val="11"/>
          <w:szCs w:val="11"/>
          <w:color w:val="auto"/>
        </w:rPr>
      </w:pPr>
      <w:r>
        <w:rPr>
          <w:rFonts w:ascii="Arial" w:cs="Arial" w:eastAsia="Arial" w:hAnsi="Arial"/>
          <w:sz w:val="11"/>
          <w:szCs w:val="11"/>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27" w:lineRule="exact"/>
        <w:rPr>
          <w:rFonts w:ascii="Arial" w:cs="Arial" w:eastAsia="Arial" w:hAnsi="Arial"/>
          <w:sz w:val="11"/>
          <w:szCs w:val="11"/>
          <w:color w:val="auto"/>
        </w:rPr>
      </w:pPr>
    </w:p>
    <w:p>
      <w:pPr>
        <w:ind w:left="1720" w:hanging="239"/>
        <w:spacing w:after="0"/>
        <w:tabs>
          <w:tab w:leader="none" w:pos="1720" w:val="left"/>
        </w:tabs>
        <w:numPr>
          <w:ilvl w:val="4"/>
          <w:numId w:val="92"/>
        </w:numPr>
        <w:rPr>
          <w:rFonts w:ascii="Arial" w:cs="Arial" w:eastAsia="Arial" w:hAnsi="Arial"/>
          <w:sz w:val="11"/>
          <w:szCs w:val="11"/>
          <w:color w:val="auto"/>
        </w:rPr>
      </w:pPr>
      <w:r>
        <w:rPr>
          <w:rFonts w:ascii="Arial" w:cs="Arial" w:eastAsia="Arial" w:hAnsi="Arial"/>
          <w:sz w:val="11"/>
          <w:szCs w:val="11"/>
          <w:color w:val="auto"/>
        </w:rPr>
        <w:t>To include any material information with respect to the plan of distribution not previously disclosed in the registration statement or any material change to such information in the registration statement;</w:t>
      </w:r>
    </w:p>
    <w:p>
      <w:pPr>
        <w:spacing w:after="0" w:line="179" w:lineRule="exact"/>
        <w:rPr>
          <w:rFonts w:ascii="Arial" w:cs="Arial" w:eastAsia="Arial" w:hAnsi="Arial"/>
          <w:sz w:val="11"/>
          <w:szCs w:val="11"/>
          <w:color w:val="auto"/>
        </w:rPr>
      </w:pPr>
    </w:p>
    <w:p>
      <w:pPr>
        <w:ind w:firstLine="1016"/>
        <w:spacing w:after="0" w:line="276" w:lineRule="auto"/>
        <w:tabs>
          <w:tab w:leader="none" w:pos="1228" w:val="left"/>
        </w:tabs>
        <w:numPr>
          <w:ilvl w:val="2"/>
          <w:numId w:val="92"/>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3" w:lineRule="exact"/>
        <w:rPr>
          <w:sz w:val="20"/>
          <w:szCs w:val="20"/>
          <w:color w:val="auto"/>
        </w:rPr>
      </w:pPr>
    </w:p>
    <w:p>
      <w:pPr>
        <w:ind w:left="1200" w:hanging="205"/>
        <w:spacing w:after="0"/>
        <w:tabs>
          <w:tab w:leader="none" w:pos="1200" w:val="left"/>
        </w:tabs>
        <w:numPr>
          <w:ilvl w:val="1"/>
          <w:numId w:val="93"/>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68" w:lineRule="exact"/>
        <w:rPr>
          <w:rFonts w:ascii="Arial" w:cs="Arial" w:eastAsia="Arial" w:hAnsi="Arial"/>
          <w:sz w:val="12"/>
          <w:szCs w:val="12"/>
          <w:color w:val="auto"/>
        </w:rPr>
      </w:pPr>
    </w:p>
    <w:p>
      <w:pPr>
        <w:jc w:val="both"/>
        <w:ind w:right="20" w:firstLine="1018"/>
        <w:spacing w:after="0" w:line="257" w:lineRule="auto"/>
        <w:tabs>
          <w:tab w:leader="none" w:pos="1235" w:val="left"/>
        </w:tabs>
        <w:numPr>
          <w:ilvl w:val="2"/>
          <w:numId w:val="93"/>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statement made in a registration statement or prospectus that is part of the registration statement or made in a document incorporated or deemed incorporated by reference into the registration statement or prospectus that is</w:t>
      </w:r>
      <w:r>
        <w:rPr>
          <w:rFonts w:ascii="Arial" w:cs="Arial" w:eastAsia="Arial" w:hAnsi="Arial"/>
          <w:sz w:val="12"/>
          <w:szCs w:val="12"/>
          <w:i w:val="1"/>
          <w:iCs w:val="1"/>
          <w:color w:val="auto"/>
        </w:rPr>
        <w:t xml:space="preserve"> </w:t>
      </w:r>
      <w:r>
        <w:rPr>
          <w:rFonts w:ascii="Arial" w:cs="Arial" w:eastAsia="Arial" w:hAnsi="Arial"/>
          <w:sz w:val="12"/>
          <w:szCs w:val="12"/>
          <w:color w:val="auto"/>
        </w:rPr>
        <w:t>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3" w:lineRule="exact"/>
        <w:rPr>
          <w:rFonts w:ascii="Arial" w:cs="Arial" w:eastAsia="Arial" w:hAnsi="Arial"/>
          <w:sz w:val="12"/>
          <w:szCs w:val="12"/>
          <w:color w:val="auto"/>
        </w:rPr>
      </w:pPr>
    </w:p>
    <w:p>
      <w:pPr>
        <w:jc w:val="both"/>
        <w:ind w:firstLine="557"/>
        <w:spacing w:after="0" w:line="286" w:lineRule="auto"/>
        <w:tabs>
          <w:tab w:leader="none" w:pos="790" w:val="left"/>
        </w:tabs>
        <w:numPr>
          <w:ilvl w:val="0"/>
          <w:numId w:val="94"/>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07" w:name="page208"/>
    <w:bookmarkEnd w:id="207"/>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Pursuant to the requirements of the Securities Act of l933, the registrant has duly caused this Registration Statement to be signed on its behalf by the undersigned, thereunto duly authorized, in the City of South San Francisco, California on the 25th day of August, 2015</w:t>
      </w:r>
    </w:p>
    <w:p>
      <w:pPr>
        <w:spacing w:after="0" w:line="255" w:lineRule="exact"/>
        <w:rPr>
          <w:sz w:val="20"/>
          <w:szCs w:val="20"/>
          <w:color w:val="auto"/>
        </w:rPr>
      </w:pPr>
    </w:p>
    <w:p>
      <w:pPr>
        <w:ind w:left="5308"/>
        <w:spacing w:after="0"/>
        <w:rPr>
          <w:sz w:val="20"/>
          <w:szCs w:val="20"/>
          <w:color w:val="auto"/>
        </w:rPr>
      </w:pPr>
      <w:r>
        <w:rPr>
          <w:rFonts w:ascii="Arial" w:cs="Arial" w:eastAsia="Arial" w:hAnsi="Arial"/>
          <w:sz w:val="12"/>
          <w:szCs w:val="12"/>
          <w:b w:val="1"/>
          <w:bCs w:val="1"/>
          <w:color w:val="auto"/>
        </w:rPr>
        <w:t>VistaGen Therapeutics, Inc.</w:t>
      </w:r>
    </w:p>
    <w:p>
      <w:pPr>
        <w:spacing w:after="0" w:line="154" w:lineRule="exact"/>
        <w:rPr>
          <w:sz w:val="20"/>
          <w:szCs w:val="20"/>
          <w:color w:val="auto"/>
        </w:rPr>
      </w:pPr>
    </w:p>
    <w:p>
      <w:pPr>
        <w:ind w:left="5308"/>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Shawn K. Singh, JD</w:t>
      </w:r>
    </w:p>
    <w:p>
      <w:pPr>
        <w:spacing w:after="0" w:line="15" w:lineRule="exact"/>
        <w:rPr>
          <w:sz w:val="20"/>
          <w:szCs w:val="20"/>
          <w:color w:val="auto"/>
        </w:rPr>
      </w:pPr>
    </w:p>
    <w:p>
      <w:pPr>
        <w:ind w:left="5308"/>
        <w:spacing w:after="0"/>
        <w:rPr>
          <w:sz w:val="20"/>
          <w:szCs w:val="20"/>
          <w:color w:val="auto"/>
        </w:rPr>
      </w:pPr>
      <w:r>
        <w:rPr>
          <w:rFonts w:ascii="Arial" w:cs="Arial" w:eastAsia="Arial" w:hAnsi="Arial"/>
          <w:sz w:val="12"/>
          <w:szCs w:val="12"/>
          <w:color w:val="auto"/>
        </w:rPr>
        <w:t>Shawn K. Singh, JD</w:t>
      </w:r>
    </w:p>
    <w:p>
      <w:pPr>
        <w:spacing w:after="0" w:line="6" w:lineRule="exact"/>
        <w:rPr>
          <w:sz w:val="20"/>
          <w:szCs w:val="20"/>
          <w:color w:val="auto"/>
        </w:rPr>
      </w:pPr>
    </w:p>
    <w:p>
      <w:pPr>
        <w:ind w:left="5308"/>
        <w:spacing w:after="0"/>
        <w:rPr>
          <w:sz w:val="20"/>
          <w:szCs w:val="20"/>
          <w:color w:val="auto"/>
        </w:rPr>
      </w:pPr>
      <w:r>
        <w:rPr>
          <w:rFonts w:ascii="Arial" w:cs="Arial" w:eastAsia="Arial" w:hAnsi="Arial"/>
          <w:sz w:val="12"/>
          <w:szCs w:val="12"/>
          <w:color w:val="auto"/>
        </w:rPr>
        <w:t>Chief Executive Officer</w:t>
      </w:r>
    </w:p>
    <w:p>
      <w:pPr>
        <w:spacing w:after="0" w:line="30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on behalf of the Registrant and in the capacities and on the dates indicated.</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60" w:type="dxa"/>
            <w:vAlign w:val="bottom"/>
          </w:tcPr>
          <w:p>
            <w:pPr>
              <w:spacing w:after="0"/>
              <w:rPr>
                <w:sz w:val="20"/>
                <w:szCs w:val="20"/>
                <w:color w:val="auto"/>
              </w:rPr>
            </w:pPr>
            <w:r>
              <w:rPr>
                <w:rFonts w:ascii="Arial" w:cs="Arial" w:eastAsia="Arial" w:hAnsi="Arial"/>
                <w:sz w:val="12"/>
                <w:szCs w:val="12"/>
                <w:color w:val="auto"/>
                <w:w w:val="85"/>
              </w:rPr>
              <w:t>Signature</w:t>
            </w:r>
          </w:p>
        </w:tc>
        <w:tc>
          <w:tcPr>
            <w:tcW w:w="1940" w:type="dxa"/>
            <w:vAlign w:val="bottom"/>
            <w:gridSpan w:val="2"/>
          </w:tcPr>
          <w:p>
            <w:pPr>
              <w:spacing w:after="0"/>
              <w:rPr>
                <w:sz w:val="12"/>
                <w:szCs w:val="12"/>
                <w:color w:val="auto"/>
              </w:rPr>
            </w:pPr>
          </w:p>
        </w:tc>
        <w:tc>
          <w:tcPr>
            <w:tcW w:w="344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2"/>
                <w:szCs w:val="12"/>
                <w:color w:val="auto"/>
              </w:rPr>
              <w:t>Title</w:t>
            </w:r>
          </w:p>
        </w:tc>
        <w:tc>
          <w:tcPr>
            <w:tcW w:w="2100" w:type="dxa"/>
            <w:vAlign w:val="bottom"/>
          </w:tcPr>
          <w:p>
            <w:pPr>
              <w:spacing w:after="0"/>
              <w:rPr>
                <w:sz w:val="12"/>
                <w:szCs w:val="12"/>
                <w:color w:val="auto"/>
              </w:rPr>
            </w:pPr>
          </w:p>
        </w:tc>
        <w:tc>
          <w:tcPr>
            <w:tcW w:w="50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8"/>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3440" w:type="dxa"/>
            <w:vAlign w:val="bottom"/>
          </w:tcPr>
          <w:p>
            <w:pPr>
              <w:ind w:left="1100"/>
              <w:spacing w:after="0"/>
              <w:rPr>
                <w:sz w:val="20"/>
                <w:szCs w:val="20"/>
                <w:color w:val="auto"/>
              </w:rPr>
            </w:pPr>
            <w:r>
              <w:rPr>
                <w:rFonts w:ascii="Arial" w:cs="Arial" w:eastAsia="Arial" w:hAnsi="Arial"/>
                <w:sz w:val="12"/>
                <w:szCs w:val="12"/>
                <w:color w:val="auto"/>
              </w:rPr>
              <w:t>Chief Executive Officer, and Director</w:t>
            </w:r>
          </w:p>
        </w:tc>
        <w:tc>
          <w:tcPr>
            <w:tcW w:w="2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600" w:type="dxa"/>
            <w:vAlign w:val="bottom"/>
            <w:gridSpan w:val="3"/>
          </w:tcPr>
          <w:p>
            <w:pPr>
              <w:jc w:val="center"/>
              <w:ind w:left="1760"/>
              <w:spacing w:after="0"/>
              <w:rPr>
                <w:sz w:val="20"/>
                <w:szCs w:val="20"/>
                <w:color w:val="auto"/>
              </w:rPr>
            </w:pPr>
            <w:r>
              <w:rPr>
                <w:rFonts w:ascii="Arial" w:cs="Arial" w:eastAsia="Arial" w:hAnsi="Arial"/>
                <w:sz w:val="12"/>
                <w:szCs w:val="12"/>
                <w:color w:val="auto"/>
                <w:w w:val="89"/>
              </w:rPr>
              <w:t>August 25, 2015</w:t>
            </w:r>
          </w:p>
        </w:tc>
      </w:tr>
      <w:tr>
        <w:trPr>
          <w:trHeight w:val="151"/>
        </w:trPr>
        <w:tc>
          <w:tcPr>
            <w:tcW w:w="2400" w:type="dxa"/>
            <w:vAlign w:val="bottom"/>
            <w:gridSpan w:val="3"/>
          </w:tcPr>
          <w:p>
            <w:pPr>
              <w:spacing w:after="0"/>
              <w:rPr>
                <w:sz w:val="20"/>
                <w:szCs w:val="20"/>
                <w:color w:val="auto"/>
              </w:rPr>
            </w:pPr>
            <w:r>
              <w:rPr>
                <w:rFonts w:ascii="Arial" w:cs="Arial" w:eastAsia="Arial" w:hAnsi="Arial"/>
                <w:sz w:val="12"/>
                <w:szCs w:val="12"/>
                <w:color w:val="auto"/>
              </w:rPr>
              <w:t>Shawn K. Singh, JD</w:t>
            </w:r>
          </w:p>
        </w:tc>
        <w:tc>
          <w:tcPr>
            <w:tcW w:w="5480" w:type="dxa"/>
            <w:vAlign w:val="bottom"/>
            <w:gridSpan w:val="3"/>
          </w:tcPr>
          <w:p>
            <w:pPr>
              <w:ind w:left="1100"/>
              <w:spacing w:after="0"/>
              <w:rPr>
                <w:sz w:val="20"/>
                <w:szCs w:val="20"/>
                <w:color w:val="auto"/>
              </w:rPr>
            </w:pPr>
            <w:r>
              <w:rPr>
                <w:rFonts w:ascii="Arial" w:cs="Arial" w:eastAsia="Arial" w:hAnsi="Arial"/>
                <w:sz w:val="12"/>
                <w:szCs w:val="12"/>
                <w:i w:val="1"/>
                <w:iCs w:val="1"/>
                <w:color w:val="auto"/>
              </w:rPr>
              <w:t>(Principal Executive Officer)</w:t>
            </w: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61"/>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5480" w:type="dxa"/>
            <w:vAlign w:val="bottom"/>
            <w:gridSpan w:val="3"/>
          </w:tcPr>
          <w:p>
            <w:pPr>
              <w:ind w:left="1100"/>
              <w:spacing w:after="0"/>
              <w:rPr>
                <w:sz w:val="20"/>
                <w:szCs w:val="20"/>
                <w:color w:val="auto"/>
              </w:rPr>
            </w:pPr>
            <w:r>
              <w:rPr>
                <w:rFonts w:ascii="Arial" w:cs="Arial" w:eastAsia="Arial" w:hAnsi="Arial"/>
                <w:sz w:val="12"/>
                <w:szCs w:val="12"/>
                <w:color w:val="auto"/>
              </w:rPr>
              <w:t>Vice President and Chief Financial Officer</w:t>
            </w:r>
          </w:p>
        </w:tc>
        <w:tc>
          <w:tcPr>
            <w:tcW w:w="2600" w:type="dxa"/>
            <w:vAlign w:val="bottom"/>
            <w:gridSpan w:val="3"/>
          </w:tcPr>
          <w:p>
            <w:pPr>
              <w:jc w:val="center"/>
              <w:ind w:left="1760"/>
              <w:spacing w:after="0"/>
              <w:rPr>
                <w:sz w:val="20"/>
                <w:szCs w:val="20"/>
                <w:color w:val="auto"/>
              </w:rPr>
            </w:pPr>
            <w:r>
              <w:rPr>
                <w:rFonts w:ascii="Arial" w:cs="Arial" w:eastAsia="Arial" w:hAnsi="Arial"/>
                <w:sz w:val="12"/>
                <w:szCs w:val="12"/>
                <w:color w:val="auto"/>
                <w:w w:val="89"/>
              </w:rPr>
              <w:t>August 25, 2015</w:t>
            </w:r>
          </w:p>
        </w:tc>
      </w:tr>
      <w:tr>
        <w:trPr>
          <w:trHeight w:val="151"/>
        </w:trPr>
        <w:tc>
          <w:tcPr>
            <w:tcW w:w="2400" w:type="dxa"/>
            <w:vAlign w:val="bottom"/>
            <w:gridSpan w:val="3"/>
          </w:tcPr>
          <w:p>
            <w:pPr>
              <w:spacing w:after="0"/>
              <w:rPr>
                <w:sz w:val="20"/>
                <w:szCs w:val="20"/>
                <w:color w:val="auto"/>
              </w:rPr>
            </w:pPr>
            <w:r>
              <w:rPr>
                <w:rFonts w:ascii="Arial" w:cs="Arial" w:eastAsia="Arial" w:hAnsi="Arial"/>
                <w:sz w:val="12"/>
                <w:szCs w:val="12"/>
                <w:color w:val="auto"/>
              </w:rPr>
              <w:t>Jerrold D. Dotson</w:t>
            </w:r>
          </w:p>
        </w:tc>
        <w:tc>
          <w:tcPr>
            <w:tcW w:w="5480" w:type="dxa"/>
            <w:vAlign w:val="bottom"/>
            <w:gridSpan w:val="3"/>
          </w:tcPr>
          <w:p>
            <w:pPr>
              <w:ind w:left="1100"/>
              <w:spacing w:after="0"/>
              <w:rPr>
                <w:sz w:val="20"/>
                <w:szCs w:val="20"/>
                <w:color w:val="auto"/>
              </w:rPr>
            </w:pPr>
            <w:r>
              <w:rPr>
                <w:rFonts w:ascii="Arial" w:cs="Arial" w:eastAsia="Arial" w:hAnsi="Arial"/>
                <w:sz w:val="12"/>
                <w:szCs w:val="12"/>
                <w:i w:val="1"/>
                <w:iCs w:val="1"/>
                <w:color w:val="auto"/>
              </w:rPr>
              <w:t>(Principal Financial and Accounting Officer)</w:t>
            </w: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61"/>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5480" w:type="dxa"/>
            <w:vAlign w:val="bottom"/>
            <w:gridSpan w:val="3"/>
          </w:tcPr>
          <w:p>
            <w:pPr>
              <w:ind w:left="1100"/>
              <w:spacing w:after="0"/>
              <w:rPr>
                <w:sz w:val="20"/>
                <w:szCs w:val="20"/>
                <w:color w:val="auto"/>
              </w:rPr>
            </w:pPr>
            <w:r>
              <w:rPr>
                <w:rFonts w:ascii="Arial" w:cs="Arial" w:eastAsia="Arial" w:hAnsi="Arial"/>
                <w:sz w:val="12"/>
                <w:szCs w:val="12"/>
                <w:color w:val="auto"/>
              </w:rPr>
              <w:t>President, Chief Scientific Officer and Director</w:t>
            </w:r>
          </w:p>
        </w:tc>
        <w:tc>
          <w:tcPr>
            <w:tcW w:w="2600" w:type="dxa"/>
            <w:vAlign w:val="bottom"/>
            <w:gridSpan w:val="3"/>
          </w:tcPr>
          <w:p>
            <w:pPr>
              <w:jc w:val="center"/>
              <w:ind w:left="1760"/>
              <w:spacing w:after="0"/>
              <w:rPr>
                <w:sz w:val="20"/>
                <w:szCs w:val="20"/>
                <w:color w:val="auto"/>
              </w:rPr>
            </w:pPr>
            <w:r>
              <w:rPr>
                <w:rFonts w:ascii="Arial" w:cs="Arial" w:eastAsia="Arial" w:hAnsi="Arial"/>
                <w:sz w:val="12"/>
                <w:szCs w:val="12"/>
                <w:color w:val="auto"/>
                <w:w w:val="89"/>
              </w:rPr>
              <w:t>August 25, 2015</w:t>
            </w:r>
          </w:p>
        </w:tc>
      </w:tr>
      <w:tr>
        <w:trPr>
          <w:trHeight w:val="151"/>
        </w:trPr>
        <w:tc>
          <w:tcPr>
            <w:tcW w:w="2400" w:type="dxa"/>
            <w:vAlign w:val="bottom"/>
            <w:gridSpan w:val="3"/>
          </w:tcPr>
          <w:p>
            <w:pPr>
              <w:spacing w:after="0"/>
              <w:rPr>
                <w:sz w:val="20"/>
                <w:szCs w:val="20"/>
                <w:color w:val="auto"/>
              </w:rPr>
            </w:pPr>
            <w:r>
              <w:rPr>
                <w:rFonts w:ascii="Arial" w:cs="Arial" w:eastAsia="Arial" w:hAnsi="Arial"/>
                <w:sz w:val="12"/>
                <w:szCs w:val="12"/>
                <w:color w:val="auto"/>
              </w:rPr>
              <w:t>H. Ralph Snodgrass, Ph.D</w:t>
            </w:r>
          </w:p>
        </w:tc>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61"/>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5480" w:type="dxa"/>
            <w:vAlign w:val="bottom"/>
            <w:gridSpan w:val="3"/>
          </w:tcPr>
          <w:p>
            <w:pPr>
              <w:ind w:left="1100"/>
              <w:spacing w:after="0"/>
              <w:rPr>
                <w:sz w:val="20"/>
                <w:szCs w:val="20"/>
                <w:color w:val="auto"/>
              </w:rPr>
            </w:pPr>
            <w:r>
              <w:rPr>
                <w:rFonts w:ascii="Arial" w:cs="Arial" w:eastAsia="Arial" w:hAnsi="Arial"/>
                <w:sz w:val="12"/>
                <w:szCs w:val="12"/>
                <w:color w:val="auto"/>
              </w:rPr>
              <w:t>Chairman of the Board of Directors</w:t>
            </w:r>
          </w:p>
        </w:tc>
        <w:tc>
          <w:tcPr>
            <w:tcW w:w="2600" w:type="dxa"/>
            <w:vAlign w:val="bottom"/>
            <w:gridSpan w:val="3"/>
          </w:tcPr>
          <w:p>
            <w:pPr>
              <w:jc w:val="center"/>
              <w:ind w:left="1760"/>
              <w:spacing w:after="0"/>
              <w:rPr>
                <w:sz w:val="20"/>
                <w:szCs w:val="20"/>
                <w:color w:val="auto"/>
              </w:rPr>
            </w:pPr>
            <w:r>
              <w:rPr>
                <w:rFonts w:ascii="Arial" w:cs="Arial" w:eastAsia="Arial" w:hAnsi="Arial"/>
                <w:sz w:val="12"/>
                <w:szCs w:val="12"/>
                <w:color w:val="auto"/>
                <w:w w:val="89"/>
              </w:rPr>
              <w:t>August 25, 2015</w:t>
            </w:r>
          </w:p>
        </w:tc>
      </w:tr>
      <w:tr>
        <w:trPr>
          <w:trHeight w:val="151"/>
        </w:trPr>
        <w:tc>
          <w:tcPr>
            <w:tcW w:w="2400" w:type="dxa"/>
            <w:vAlign w:val="bottom"/>
            <w:gridSpan w:val="3"/>
          </w:tcPr>
          <w:p>
            <w:pPr>
              <w:spacing w:after="0"/>
              <w:rPr>
                <w:sz w:val="20"/>
                <w:szCs w:val="20"/>
                <w:color w:val="auto"/>
              </w:rPr>
            </w:pPr>
            <w:r>
              <w:rPr>
                <w:rFonts w:ascii="Arial" w:cs="Arial" w:eastAsia="Arial" w:hAnsi="Arial"/>
                <w:sz w:val="12"/>
                <w:szCs w:val="12"/>
                <w:color w:val="auto"/>
              </w:rPr>
              <w:t>Jon S. Saxe</w:t>
            </w:r>
          </w:p>
        </w:tc>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61"/>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5480" w:type="dxa"/>
            <w:vAlign w:val="bottom"/>
            <w:gridSpan w:val="3"/>
          </w:tcPr>
          <w:p>
            <w:pPr>
              <w:ind w:left="1100"/>
              <w:spacing w:after="0"/>
              <w:rPr>
                <w:sz w:val="20"/>
                <w:szCs w:val="20"/>
                <w:color w:val="auto"/>
              </w:rPr>
            </w:pPr>
            <w:r>
              <w:rPr>
                <w:rFonts w:ascii="Arial" w:cs="Arial" w:eastAsia="Arial" w:hAnsi="Arial"/>
                <w:sz w:val="12"/>
                <w:szCs w:val="12"/>
                <w:color w:val="auto"/>
              </w:rPr>
              <w:t>Director</w:t>
            </w:r>
          </w:p>
        </w:tc>
        <w:tc>
          <w:tcPr>
            <w:tcW w:w="2600" w:type="dxa"/>
            <w:vAlign w:val="bottom"/>
            <w:gridSpan w:val="3"/>
          </w:tcPr>
          <w:p>
            <w:pPr>
              <w:jc w:val="center"/>
              <w:ind w:left="1760"/>
              <w:spacing w:after="0"/>
              <w:rPr>
                <w:sz w:val="20"/>
                <w:szCs w:val="20"/>
                <w:color w:val="auto"/>
              </w:rPr>
            </w:pPr>
            <w:r>
              <w:rPr>
                <w:rFonts w:ascii="Arial" w:cs="Arial" w:eastAsia="Arial" w:hAnsi="Arial"/>
                <w:sz w:val="12"/>
                <w:szCs w:val="12"/>
                <w:color w:val="auto"/>
                <w:w w:val="89"/>
              </w:rPr>
              <w:t>August 25, 2015</w:t>
            </w:r>
          </w:p>
        </w:tc>
      </w:tr>
      <w:tr>
        <w:trPr>
          <w:trHeight w:val="151"/>
        </w:trPr>
        <w:tc>
          <w:tcPr>
            <w:tcW w:w="2400" w:type="dxa"/>
            <w:vAlign w:val="bottom"/>
            <w:gridSpan w:val="3"/>
          </w:tcPr>
          <w:p>
            <w:pPr>
              <w:spacing w:after="0"/>
              <w:rPr>
                <w:sz w:val="20"/>
                <w:szCs w:val="20"/>
                <w:color w:val="auto"/>
              </w:rPr>
            </w:pPr>
            <w:r>
              <w:rPr>
                <w:rFonts w:ascii="Arial" w:cs="Arial" w:eastAsia="Arial" w:hAnsi="Arial"/>
                <w:sz w:val="12"/>
                <w:szCs w:val="12"/>
                <w:color w:val="auto"/>
              </w:rPr>
              <w:t>Brian J. Underdown, Ph. D</w:t>
            </w:r>
          </w:p>
        </w:tc>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bl>
    <w:p>
      <w:pPr>
        <w:spacing w:after="0" w:line="135" w:lineRule="exact"/>
        <w:rPr>
          <w:sz w:val="20"/>
          <w:szCs w:val="20"/>
          <w:color w:val="auto"/>
        </w:rPr>
      </w:pPr>
    </w:p>
    <w:p>
      <w:pPr>
        <w:ind w:left="8" w:right="10080" w:hanging="8"/>
        <w:spacing w:after="0" w:line="276" w:lineRule="auto"/>
        <w:tabs>
          <w:tab w:leader="none" w:pos="98" w:val="left"/>
        </w:tabs>
        <w:numPr>
          <w:ilvl w:val="0"/>
          <w:numId w:val="95"/>
        </w:numPr>
        <w:rPr>
          <w:rFonts w:ascii="Arial" w:cs="Arial" w:eastAsia="Arial" w:hAnsi="Arial"/>
          <w:sz w:val="12"/>
          <w:szCs w:val="12"/>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Shawn R. Singh, JD</w:t>
      </w:r>
      <w:r>
        <w:rPr>
          <w:rFonts w:ascii="Arial" w:cs="Arial" w:eastAsia="Arial" w:hAnsi="Arial"/>
          <w:sz w:val="12"/>
          <w:szCs w:val="12"/>
          <w:color w:val="auto"/>
        </w:rPr>
        <w:t xml:space="preserve"> Attorney in fact</w:t>
      </w:r>
    </w:p>
    <w:p>
      <w:pPr>
        <w:spacing w:after="0" w:line="3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26"/>
        </w:trPr>
        <w:tc>
          <w:tcPr>
            <w:tcW w:w="920" w:type="dxa"/>
            <w:vAlign w:val="bottom"/>
            <w:gridSpan w:val="3"/>
          </w:tcPr>
          <w:p>
            <w:pPr>
              <w:spacing w:after="0"/>
              <w:rPr>
                <w:rFonts w:ascii="Arial" w:cs="Arial" w:eastAsia="Arial" w:hAnsi="Arial"/>
                <w:sz w:val="11"/>
                <w:szCs w:val="11"/>
                <w:i w:val="1"/>
                <w:iCs w:val="1"/>
                <w:color w:val="0000EE"/>
              </w:rPr>
            </w:pPr>
            <w:hyperlink w:anchor="page4">
              <w:r>
                <w:rPr>
                  <w:rFonts w:ascii="Arial" w:cs="Arial" w:eastAsia="Arial" w:hAnsi="Arial"/>
                  <w:sz w:val="11"/>
                  <w:szCs w:val="11"/>
                  <w:i w:val="1"/>
                  <w:iCs w:val="1"/>
                  <w:color w:val="0000EE"/>
                </w:rPr>
                <w:t>Table of Contents</w:t>
              </w:r>
            </w:hyperlink>
          </w:p>
        </w:tc>
        <w:tc>
          <w:tcPr>
            <w:tcW w:w="100" w:type="dxa"/>
            <w:vAlign w:val="bottom"/>
          </w:tcPr>
          <w:p>
            <w:pPr>
              <w:spacing w:after="0"/>
              <w:rPr>
                <w:sz w:val="10"/>
                <w:szCs w:val="10"/>
                <w:color w:val="auto"/>
              </w:rPr>
            </w:pPr>
          </w:p>
        </w:tc>
        <w:tc>
          <w:tcPr>
            <w:tcW w:w="10460" w:type="dxa"/>
            <w:vAlign w:val="bottom"/>
          </w:tcPr>
          <w:p>
            <w:pPr>
              <w:spacing w:after="0"/>
              <w:rPr>
                <w:sz w:val="10"/>
                <w:szCs w:val="10"/>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60" w:type="dxa"/>
            <w:vAlign w:val="bottom"/>
          </w:tcPr>
          <w:p>
            <w:pPr>
              <w:jc w:val="center"/>
              <w:ind w:right="940"/>
              <w:spacing w:after="0"/>
              <w:rPr>
                <w:sz w:val="20"/>
                <w:szCs w:val="20"/>
                <w:color w:val="auto"/>
              </w:rPr>
            </w:pPr>
            <w:r>
              <w:rPr>
                <w:rFonts w:ascii="Arial" w:cs="Arial" w:eastAsia="Arial" w:hAnsi="Arial"/>
                <w:sz w:val="12"/>
                <w:szCs w:val="12"/>
                <w:b w:val="1"/>
                <w:bCs w:val="1"/>
                <w:color w:val="auto"/>
                <w:w w:val="93"/>
              </w:rPr>
              <w:t>Exhibit Index</w:t>
            </w:r>
          </w:p>
        </w:tc>
      </w:tr>
      <w:tr>
        <w:trPr>
          <w:trHeight w:val="306"/>
        </w:trPr>
        <w:tc>
          <w:tcPr>
            <w:tcW w:w="920" w:type="dxa"/>
            <w:vAlign w:val="bottom"/>
            <w:gridSpan w:val="3"/>
          </w:tcPr>
          <w:p>
            <w:pPr>
              <w:spacing w:after="0"/>
              <w:rPr>
                <w:sz w:val="20"/>
                <w:szCs w:val="20"/>
                <w:color w:val="auto"/>
              </w:rPr>
            </w:pPr>
            <w:r>
              <w:rPr>
                <w:rFonts w:ascii="Arial" w:cs="Arial" w:eastAsia="Arial" w:hAnsi="Arial"/>
                <w:sz w:val="12"/>
                <w:szCs w:val="12"/>
                <w:color w:val="auto"/>
              </w:rPr>
              <w:t>Exhibit No.</w:t>
            </w: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Description*</w:t>
            </w: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2.1 *</w:t>
            </w: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Agreement and Plan of Merger by and among Excaliber Enterprises, Ltd., VistaGen Therapeutics, Inc. and Excaliber Merger Subsidiary, Inc.</w:t>
            </w: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3.1 *</w:t>
            </w:r>
          </w:p>
        </w:tc>
        <w:tc>
          <w:tcPr>
            <w:tcW w:w="160" w:type="dxa"/>
            <w:vAlign w:val="bottom"/>
          </w:tcPr>
          <w:p>
            <w:pPr>
              <w:spacing w:after="0"/>
              <w:rPr>
                <w:sz w:val="12"/>
                <w:szCs w:val="12"/>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Articles of Incorporation, dated October 6, 2005.</w:t>
            </w: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3.2</w:t>
            </w:r>
          </w:p>
        </w:tc>
        <w:tc>
          <w:tcPr>
            <w:tcW w:w="160" w:type="dxa"/>
            <w:vAlign w:val="bottom"/>
            <w:shd w:val="clear" w:color="auto" w:fill="CCEEFF"/>
          </w:tcPr>
          <w:p>
            <w:pPr>
              <w:spacing w:after="0"/>
              <w:rPr>
                <w:sz w:val="12"/>
                <w:szCs w:val="12"/>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9"/>
              </w:rPr>
              <w:t>Certificate of Amendment filed with the Nevada Secretary of State on December 6, 2011, incorporated by reference from Exhibit 3.3 to the Company's Annual Report on Form 10-K, filed July 2, 2012.</w:t>
            </w: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3.3</w:t>
            </w:r>
          </w:p>
        </w:tc>
        <w:tc>
          <w:tcPr>
            <w:tcW w:w="160" w:type="dxa"/>
            <w:vAlign w:val="bottom"/>
          </w:tcPr>
          <w:p>
            <w:pPr>
              <w:spacing w:after="0"/>
              <w:rPr>
                <w:sz w:val="12"/>
                <w:szCs w:val="12"/>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Amended and Restated Bylaws as of February 5, 2014, incorporated by reference from the Company’s Report on Form 8-K filed on February 7, 2014.</w:t>
            </w: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3.4</w:t>
            </w:r>
          </w:p>
        </w:tc>
        <w:tc>
          <w:tcPr>
            <w:tcW w:w="160" w:type="dxa"/>
            <w:vAlign w:val="bottom"/>
            <w:shd w:val="clear" w:color="auto" w:fill="CCEEFF"/>
          </w:tcPr>
          <w:p>
            <w:pPr>
              <w:spacing w:after="0"/>
              <w:rPr>
                <w:sz w:val="12"/>
                <w:szCs w:val="12"/>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Articles of Merger filed with the Nevada Secretary of State on May 24, 2011, incorporated by reference from Exhibit 3.1 to the Company's Current Report on Form 8-K filed on May 31, 2011.</w:t>
            </w: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3.5</w:t>
            </w:r>
          </w:p>
        </w:tc>
        <w:tc>
          <w:tcPr>
            <w:tcW w:w="160" w:type="dxa"/>
            <w:vAlign w:val="bottom"/>
          </w:tcPr>
          <w:p>
            <w:pPr>
              <w:spacing w:after="0"/>
              <w:rPr>
                <w:sz w:val="12"/>
                <w:szCs w:val="12"/>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Certificate of Designations Series A Preferred, incorporated by reference from Exhibit 3.1 to the Company’s Current Report on Form 8-K filed on December 23, 2011.</w:t>
            </w: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3.6</w:t>
            </w:r>
          </w:p>
        </w:tc>
        <w:tc>
          <w:tcPr>
            <w:tcW w:w="160" w:type="dxa"/>
            <w:vAlign w:val="bottom"/>
            <w:shd w:val="clear" w:color="auto" w:fill="CCEEFF"/>
          </w:tcPr>
          <w:p>
            <w:pPr>
              <w:spacing w:after="0"/>
              <w:rPr>
                <w:sz w:val="12"/>
                <w:szCs w:val="12"/>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9"/>
              </w:rPr>
              <w:t>Certificate of Change filed with the Nevada Secretary of State on August 11, 2014 incorporated by reference from Exhibit 3.1 to the Company’s Current Report on Form 8-K filed on August 14, 2014.</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3.7</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1"/>
              </w:rPr>
              <w:t>Certificate of Designation of the Relative Rights and Preferences of the Series B 10% Convertible Preferred Stock of VistaGen Therapeutics, Inc., filed with the Nevada Secretary of State on May 7, 2015, incorporated</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by reference from Exhibit 3.1 to the Company’s Current Report on Form 8-K filed on May 13, 2015.</w:t>
            </w: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3.8</w:t>
            </w:r>
          </w:p>
        </w:tc>
        <w:tc>
          <w:tcPr>
            <w:tcW w:w="160" w:type="dxa"/>
            <w:vAlign w:val="bottom"/>
            <w:shd w:val="clear" w:color="auto" w:fill="CCEEFF"/>
          </w:tcPr>
          <w:p>
            <w:pPr>
              <w:spacing w:after="0"/>
              <w:rPr>
                <w:sz w:val="11"/>
                <w:szCs w:val="11"/>
                <w:color w:val="auto"/>
              </w:rPr>
            </w:pPr>
          </w:p>
        </w:tc>
        <w:tc>
          <w:tcPr>
            <w:tcW w:w="105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92"/>
              </w:rPr>
              <w:t>Certificate of Amendment to the Articles of Incorporation of VistaGen Therapeutics, Inc., dated August 24, 2015 and incorporated by reference from Exhibit 3.1 to the Company's Current Report on Form 8-K filed on</w:t>
            </w: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August 25, 2015.</w:t>
            </w: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5.1</w:t>
            </w:r>
          </w:p>
        </w:tc>
        <w:tc>
          <w:tcPr>
            <w:tcW w:w="160" w:type="dxa"/>
            <w:vAlign w:val="bottom"/>
          </w:tcPr>
          <w:p>
            <w:pPr>
              <w:spacing w:after="0"/>
              <w:rPr>
                <w:sz w:val="12"/>
                <w:szCs w:val="12"/>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Opinion of Disclosure Law Group (filed herewith).</w:t>
            </w: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10.1 *</w:t>
            </w:r>
          </w:p>
        </w:tc>
        <w:tc>
          <w:tcPr>
            <w:tcW w:w="160" w:type="dxa"/>
            <w:vAlign w:val="bottom"/>
            <w:shd w:val="clear" w:color="auto" w:fill="CCEEFF"/>
          </w:tcPr>
          <w:p>
            <w:pPr>
              <w:spacing w:after="0"/>
              <w:rPr>
                <w:sz w:val="12"/>
                <w:szCs w:val="12"/>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1999 Stock Incentive Plan.</w:t>
            </w: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10.2 *</w:t>
            </w:r>
          </w:p>
        </w:tc>
        <w:tc>
          <w:tcPr>
            <w:tcW w:w="160" w:type="dxa"/>
            <w:vAlign w:val="bottom"/>
          </w:tcPr>
          <w:p>
            <w:pPr>
              <w:spacing w:after="0"/>
              <w:rPr>
                <w:sz w:val="12"/>
                <w:szCs w:val="12"/>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Form of Option Agreement under VistaGen’s 1999 Stock Incentive Plan.</w:t>
            </w: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10.5 *</w:t>
            </w:r>
          </w:p>
        </w:tc>
        <w:tc>
          <w:tcPr>
            <w:tcW w:w="160" w:type="dxa"/>
            <w:vAlign w:val="bottom"/>
            <w:shd w:val="clear" w:color="auto" w:fill="CCEEFF"/>
          </w:tcPr>
          <w:p>
            <w:pPr>
              <w:spacing w:after="0"/>
              <w:rPr>
                <w:sz w:val="12"/>
                <w:szCs w:val="12"/>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2008 Stock Incentive Plan.</w:t>
            </w: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10.6 *</w:t>
            </w:r>
          </w:p>
        </w:tc>
        <w:tc>
          <w:tcPr>
            <w:tcW w:w="160" w:type="dxa"/>
            <w:vAlign w:val="bottom"/>
          </w:tcPr>
          <w:p>
            <w:pPr>
              <w:spacing w:after="0"/>
              <w:rPr>
                <w:sz w:val="12"/>
                <w:szCs w:val="12"/>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Form of Option Agreement under VistaGen’s 2008 Stock Incentive Plan.</w:t>
            </w: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10.20 *</w:t>
            </w:r>
          </w:p>
        </w:tc>
        <w:tc>
          <w:tcPr>
            <w:tcW w:w="160" w:type="dxa"/>
            <w:vAlign w:val="bottom"/>
            <w:shd w:val="clear" w:color="auto" w:fill="CCEEFF"/>
          </w:tcPr>
          <w:p>
            <w:pPr>
              <w:spacing w:after="0"/>
              <w:rPr>
                <w:sz w:val="12"/>
                <w:szCs w:val="12"/>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Strategic Development Services Agreement, dated February 26, 2007, by and between VistaGen and Cato Research Ltd.</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10.21 *</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3"/>
              </w:rPr>
              <w:t>License Agreement by and between National Jewish Medical and Research Center and VistaGen, dated July 12, 1999, as amended by that certain Amendment to License Agreement dated January 25, 2001, as</w:t>
            </w: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w w:val="90"/>
              </w:rPr>
              <w:t>amended by that certain Second Amendment to License Agreement dated November 6, 2002, as amended by that certain Third Amendment to License Agreement dated March 1, 2003, and as amended by that certain</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Fourth Amendment to License Agreement dated April 15, 2010.</w:t>
            </w: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10.22 *</w:t>
            </w:r>
          </w:p>
        </w:tc>
        <w:tc>
          <w:tcPr>
            <w:tcW w:w="160" w:type="dxa"/>
            <w:vAlign w:val="bottom"/>
            <w:shd w:val="clear" w:color="auto" w:fill="CCEEFF"/>
          </w:tcPr>
          <w:p>
            <w:pPr>
              <w:spacing w:after="0"/>
              <w:rPr>
                <w:sz w:val="12"/>
                <w:szCs w:val="12"/>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License Agreement by and between Mount Sinai School of Medicine of New York University and the Company, dated October 1, 2004.</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10.24 *</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2"/>
              </w:rPr>
              <w:t>Sponsored Research Collaboration Agreement, dated September 18, 2007, between VistaGen and University Health Network, as amended by that certain Amendment No. 1 and Amendment No. 2, dated April 19,</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2010 and December 15, 2010, respectively.</w:t>
            </w: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10.26 *</w:t>
            </w:r>
          </w:p>
        </w:tc>
        <w:tc>
          <w:tcPr>
            <w:tcW w:w="160" w:type="dxa"/>
            <w:vAlign w:val="bottom"/>
            <w:shd w:val="clear" w:color="auto" w:fill="CCEEFF"/>
          </w:tcPr>
          <w:p>
            <w:pPr>
              <w:spacing w:after="0"/>
              <w:rPr>
                <w:sz w:val="12"/>
                <w:szCs w:val="12"/>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License Agreement, dated October 24, 2001, by and between the University of Maryland, Baltimore, Cornell Research Foundation and Artemis Neuroscience, Inc.</w:t>
            </w: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10.40 *</w:t>
            </w:r>
          </w:p>
        </w:tc>
        <w:tc>
          <w:tcPr>
            <w:tcW w:w="160" w:type="dxa"/>
            <w:vAlign w:val="bottom"/>
          </w:tcPr>
          <w:p>
            <w:pPr>
              <w:spacing w:after="0"/>
              <w:rPr>
                <w:sz w:val="12"/>
                <w:szCs w:val="12"/>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Employment Agreement, by and between, VistaGen and Shawn K. Singh, dated April 28, 2010, as amended May 9, 2011.</w:t>
            </w: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10.41 *</w:t>
            </w:r>
          </w:p>
        </w:tc>
        <w:tc>
          <w:tcPr>
            <w:tcW w:w="160" w:type="dxa"/>
            <w:vAlign w:val="bottom"/>
            <w:shd w:val="clear" w:color="auto" w:fill="CCEEFF"/>
          </w:tcPr>
          <w:p>
            <w:pPr>
              <w:spacing w:after="0"/>
              <w:rPr>
                <w:sz w:val="12"/>
                <w:szCs w:val="12"/>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Employment Agreement, by and between, VistaGen and H. Ralph Snodgrass, PhD, dated April 28, 2010, as amended May 9, 2011.</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10.46</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2"/>
              </w:rPr>
              <w:t>Notice of Award by National Institutes of Health, Small Business Innovation Research Program, to VistaGen Therapeutics, Inc. for project, Clinical Development of 4-CI-KYN to Treat Pain dated June 22, 2009, with</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revisions dated July 19, 2010 and August 9, 2011, incorporated by reference from Exhibit 10.46 to the Company’s Current Report on Form 8-K/A filed on December 20, 2011.</w:t>
            </w: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10.47</w:t>
            </w:r>
          </w:p>
        </w:tc>
        <w:tc>
          <w:tcPr>
            <w:tcW w:w="160" w:type="dxa"/>
            <w:vAlign w:val="bottom"/>
            <w:shd w:val="clear" w:color="auto" w:fill="CCEEFF"/>
          </w:tcPr>
          <w:p>
            <w:pPr>
              <w:spacing w:after="0"/>
              <w:rPr>
                <w:sz w:val="11"/>
                <w:szCs w:val="11"/>
                <w:color w:val="auto"/>
              </w:rPr>
            </w:pPr>
          </w:p>
        </w:tc>
        <w:tc>
          <w:tcPr>
            <w:tcW w:w="105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94"/>
              </w:rPr>
              <w:t>Notice of Grant Award by California Institute of Regenerative Medicine and VistaGen Therapeutics, Inc. for Project: Development of an hES Cell-Based Assay System for Hepatocyte Differentiation Studies and</w:t>
            </w: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Predictive Toxicology Drug Screening, dated April 1, 2009, incorporated by reference from Exhibit 10.47 to the Company’s Current Report on Form 8-K/A filed on December 20, 2011.</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10.48</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1"/>
              </w:rPr>
              <w:t>Amendment No. 4, dated October 24, 2011, to Sponsored Research Collaboration Agreement between VistaGen and University Health Network, incorporated by reference from Exhibit 10.2 to the Company’s Current</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Report on Form 8-K filed on November 30, 2011.</w:t>
            </w: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10.49</w:t>
            </w:r>
          </w:p>
        </w:tc>
        <w:tc>
          <w:tcPr>
            <w:tcW w:w="160" w:type="dxa"/>
            <w:vAlign w:val="bottom"/>
            <w:shd w:val="clear" w:color="auto" w:fill="CCEEFF"/>
          </w:tcPr>
          <w:p>
            <w:pPr>
              <w:spacing w:after="0"/>
              <w:rPr>
                <w:sz w:val="11"/>
                <w:szCs w:val="11"/>
                <w:color w:val="auto"/>
              </w:rPr>
            </w:pPr>
          </w:p>
        </w:tc>
        <w:tc>
          <w:tcPr>
            <w:tcW w:w="105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91"/>
              </w:rPr>
              <w:t>License Agreement No. 1, dated as of October 24, 2011 between University Health Network and VistaGen Therapeutics, Inc., incorporated by reference from Exhibit 10.1 to the Company’s Current Report on Form 8-</w:t>
            </w: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K filed on November 30, 2011.</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10.50</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3"/>
              </w:rPr>
              <w:t>Strategic Medicinal Chemistry Services Agreement, dated as of December 6, 2011, between Synterys, Inc. and VistaGen Therapeutics, Inc., incorporated by reference from Exhibit 10.1 to the Company’s Current</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Report on Form 8-K filed on December 7, 2011.</w:t>
            </w: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10.51</w:t>
            </w:r>
          </w:p>
        </w:tc>
        <w:tc>
          <w:tcPr>
            <w:tcW w:w="160" w:type="dxa"/>
            <w:vAlign w:val="bottom"/>
            <w:shd w:val="clear" w:color="auto" w:fill="CCEEFF"/>
          </w:tcPr>
          <w:p>
            <w:pPr>
              <w:spacing w:after="0"/>
              <w:rPr>
                <w:sz w:val="11"/>
                <w:szCs w:val="11"/>
                <w:color w:val="auto"/>
              </w:rPr>
            </w:pPr>
          </w:p>
        </w:tc>
        <w:tc>
          <w:tcPr>
            <w:tcW w:w="105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92"/>
              </w:rPr>
              <w:t>Common Stock Exchange Agreement, dated as of December 22, 2011 between Platinum Long Term Growth VII, LLC and VistaGen Therapeutics, Inc., incorporated by reference from Exhibit 10.1 to the Company’s</w:t>
            </w: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Current Report on Form 8-K filed on December 23, 2011.</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10.52</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2"/>
              </w:rPr>
              <w:t>Note and Warrant Exchange Agreement, dated as of December 28, 2011 between Platinum Long Term Growth VII, LLC and VistaGen Therapeutics, Inc., incorporated by reference from Exhibit 10.1 to the Current</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Report on Form 8-K filed on January 4, 2012.</w:t>
            </w: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10.55</w:t>
            </w:r>
          </w:p>
        </w:tc>
        <w:tc>
          <w:tcPr>
            <w:tcW w:w="160" w:type="dxa"/>
            <w:vAlign w:val="bottom"/>
            <w:shd w:val="clear" w:color="auto" w:fill="CCEEFF"/>
          </w:tcPr>
          <w:p>
            <w:pPr>
              <w:spacing w:after="0"/>
              <w:rPr>
                <w:sz w:val="12"/>
                <w:szCs w:val="12"/>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Form of Warrant to Purchase Common Stock, dated as of February 28, 2012, incorporated by reference from Exhibit 10.3 to the Company’s Current Report on Form 8-K filed on March 2, 2012.</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10.57</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1"/>
              </w:rPr>
              <w:t>License Agreement No. 2, dated as of March 19, 2012 between University Health Network and VistaGen Therapeutics, Inc., incorporated by reference from Exhibit 10.57 to the Company’s Annual Report on Form 10-</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K filed on July 2, 2012.</w:t>
            </w: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10.58</w:t>
            </w:r>
          </w:p>
        </w:tc>
        <w:tc>
          <w:tcPr>
            <w:tcW w:w="160" w:type="dxa"/>
            <w:vAlign w:val="bottom"/>
            <w:shd w:val="clear" w:color="auto" w:fill="CCEEFF"/>
          </w:tcPr>
          <w:p>
            <w:pPr>
              <w:spacing w:after="0"/>
              <w:rPr>
                <w:sz w:val="11"/>
                <w:szCs w:val="11"/>
                <w:color w:val="auto"/>
              </w:rPr>
            </w:pPr>
          </w:p>
        </w:tc>
        <w:tc>
          <w:tcPr>
            <w:tcW w:w="105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93"/>
              </w:rPr>
              <w:t>Exchange Agreement dated as of June 29, 2012 between Platinum Long Term Growth VII, LLC and VistaGen Therapeutics. Inc., incorporated by reference from Exhibit 10.58 to the Company’s Annual Report on</w:t>
            </w: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Form 10-K filed on July 2, 2012.</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10.63</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3"/>
              </w:rPr>
              <w:t>Unsecured Promissory Note in the face amount of $1,000,000 issued to Morrison &amp; Foerster LLP on August 31, 2012 (Replacement Note A), incorporated by reference from Exhibit 10.3 to the Company’s Current</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Report on Form 8-K filed on September 6, 2012.</w:t>
            </w: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10.64</w:t>
            </w:r>
          </w:p>
        </w:tc>
        <w:tc>
          <w:tcPr>
            <w:tcW w:w="160" w:type="dxa"/>
            <w:vAlign w:val="bottom"/>
            <w:shd w:val="clear" w:color="auto" w:fill="CCEEFF"/>
          </w:tcPr>
          <w:p>
            <w:pPr>
              <w:spacing w:after="0"/>
              <w:rPr>
                <w:sz w:val="11"/>
                <w:szCs w:val="11"/>
                <w:color w:val="auto"/>
              </w:rPr>
            </w:pPr>
          </w:p>
        </w:tc>
        <w:tc>
          <w:tcPr>
            <w:tcW w:w="105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93"/>
              </w:rPr>
              <w:t>Unsecured Promissory Note in the face amount of $1,379,376 issued to Morrison &amp; Foerster LLP on August 31, 2012 (Replacement Note B), incorporated by reference from Exhibit 10.4 to the Company’s Current</w:t>
            </w: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Report on Form 8-K filed on September 6, 2012.</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10.65</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2"/>
              </w:rPr>
              <w:t>Stock Purchase Warrant issued to Morrison &amp; Foerster LLP on August 31, 2012 to purchase 1,379,376 shares of the Company’s common stock (New Morrison &amp; Foerster Warrant), incorporated by reference from</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Exhibit 10.5 to the Company’s Current Report on Form 8-K filed on September 6, 2012.</w:t>
            </w: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10.66</w:t>
            </w:r>
          </w:p>
        </w:tc>
        <w:tc>
          <w:tcPr>
            <w:tcW w:w="160" w:type="dxa"/>
            <w:vAlign w:val="bottom"/>
            <w:shd w:val="clear" w:color="auto" w:fill="CCEEFF"/>
          </w:tcPr>
          <w:p>
            <w:pPr>
              <w:spacing w:after="0"/>
              <w:rPr>
                <w:sz w:val="11"/>
                <w:szCs w:val="11"/>
                <w:color w:val="auto"/>
              </w:rPr>
            </w:pPr>
          </w:p>
        </w:tc>
        <w:tc>
          <w:tcPr>
            <w:tcW w:w="105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92"/>
              </w:rPr>
              <w:t>Warrant to Purchase Common Stock issued to Morrison &amp; Foerster LLP on August 31, 2012 to purchase 425,000 shares of the Company’s common stock (Amended Morrison &amp; Foerster Warrant), incorporated by</w:t>
            </w: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reference from Exhibit 10.6 to the Company’s Current Report on Form 8-K filed on September 6, 2012.</w:t>
            </w: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10.67</w:t>
            </w:r>
          </w:p>
        </w:tc>
        <w:tc>
          <w:tcPr>
            <w:tcW w:w="160" w:type="dxa"/>
            <w:vAlign w:val="bottom"/>
          </w:tcPr>
          <w:p>
            <w:pPr>
              <w:spacing w:after="0"/>
              <w:rPr>
                <w:sz w:val="11"/>
                <w:szCs w:val="11"/>
                <w:color w:val="auto"/>
              </w:rPr>
            </w:pPr>
          </w:p>
        </w:tc>
        <w:tc>
          <w:tcPr>
            <w:tcW w:w="1056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93"/>
              </w:rPr>
              <w:t>Note Exchange and Purchase Agreement dated as of October 11, 2012 by and between VistaGen Therapeutics, Inc. and Platinum Long Term Growth VII, LLP, incorporated by reference from Exhibit 10.1 to the</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60" w:type="dxa"/>
            <w:vAlign w:val="bottom"/>
            <w:gridSpan w:val="2"/>
          </w:tcPr>
          <w:p>
            <w:pPr>
              <w:ind w:left="100"/>
              <w:spacing w:after="0"/>
              <w:rPr>
                <w:sz w:val="20"/>
                <w:szCs w:val="20"/>
                <w:color w:val="auto"/>
              </w:rPr>
            </w:pPr>
            <w:r>
              <w:rPr>
                <w:rFonts w:ascii="Arial" w:cs="Arial" w:eastAsia="Arial" w:hAnsi="Arial"/>
                <w:sz w:val="12"/>
                <w:szCs w:val="12"/>
                <w:color w:val="auto"/>
              </w:rPr>
              <w:t>Company’s Current Report on Form 8-K filed on October 16, 2012.</w:t>
            </w: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10.69</w:t>
            </w:r>
          </w:p>
        </w:tc>
        <w:tc>
          <w:tcPr>
            <w:tcW w:w="160" w:type="dxa"/>
            <w:vAlign w:val="bottom"/>
            <w:shd w:val="clear" w:color="auto" w:fill="CCEEFF"/>
          </w:tcPr>
          <w:p>
            <w:pPr>
              <w:spacing w:after="0"/>
              <w:rPr>
                <w:sz w:val="11"/>
                <w:szCs w:val="11"/>
                <w:color w:val="auto"/>
              </w:rPr>
            </w:pPr>
          </w:p>
        </w:tc>
        <w:tc>
          <w:tcPr>
            <w:tcW w:w="105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95"/>
              </w:rPr>
              <w:t>Form of Warrant to Purchase Shares of Common Stock issued to Platinum Long Term Growth VII, LLP under the Note Exchange and Purchase Agreement, incorporated by reference from Exhibit 10.3 to the</w:t>
            </w: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Company’s Current Report on Form 8-K filed on October 16, 2012.</w:t>
            </w:r>
          </w:p>
        </w:tc>
      </w:tr>
      <w:tr>
        <w:trPr>
          <w:trHeight w:val="54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60" w:type="dxa"/>
            <w:vAlign w:val="bottom"/>
          </w:tcPr>
          <w:p>
            <w:pPr>
              <w:jc w:val="center"/>
              <w:ind w:right="960"/>
              <w:spacing w:after="0"/>
              <w:rPr>
                <w:sz w:val="20"/>
                <w:szCs w:val="20"/>
                <w:color w:val="auto"/>
              </w:rPr>
            </w:pPr>
            <w:r>
              <w:rPr>
                <w:rFonts w:ascii="Arial" w:cs="Arial" w:eastAsia="Arial" w:hAnsi="Arial"/>
                <w:sz w:val="12"/>
                <w:szCs w:val="12"/>
                <w:color w:val="auto"/>
                <w:w w:val="99"/>
              </w:rPr>
              <w:t>II-10</w:t>
            </w: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209" w:name="page210"/>
    <w:bookmarkEnd w:id="209"/>
    <w:p>
      <w:pPr>
        <w:ind w:left="8"/>
        <w:spacing w:after="0"/>
        <w:rPr>
          <w:rFonts w:ascii="Arial" w:cs="Arial" w:eastAsia="Arial" w:hAnsi="Arial"/>
          <w:sz w:val="11"/>
          <w:szCs w:val="11"/>
          <w:i w:val="1"/>
          <w:iCs w:val="1"/>
          <w:u w:val="single" w:color="auto"/>
          <w:color w:val="0000EE"/>
        </w:rPr>
      </w:pPr>
      <w:hyperlink w:anchor="page4">
        <w:r>
          <w:rPr>
            <w:rFonts w:ascii="Arial" w:cs="Arial" w:eastAsia="Arial" w:hAnsi="Arial"/>
            <w:sz w:val="11"/>
            <w:szCs w:val="11"/>
            <w:i w:val="1"/>
            <w:iCs w:val="1"/>
            <w:u w:val="single" w:color="auto"/>
            <w:color w:val="0000EE"/>
          </w:rPr>
          <w:t>Table of Contents</w:t>
        </w:r>
      </w:hyperlink>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2"/>
                <w:szCs w:val="12"/>
                <w:color w:val="auto"/>
              </w:rPr>
              <w:t>10.73</w:t>
            </w: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w w:val="92"/>
              </w:rPr>
              <w:t>Amendment to Note Exchange and Purchase Agreement as of November 14, 2012 between VistaGen Therapeutics Inc. and Platinum Long Term Growth VII, LLP,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Company’s Current Report on Form 8-K filed on November 20,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10.75</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3"/>
              </w:rPr>
              <w:t>Amendment No. 2 to Note Exchange and Purchase Agreement as of January 31, 2013 between VistaGen Therapeutics Inc. and Platinum Long Term Growth VII, LLP, incorporated by reference from Exhibit 10.1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to the Company’s Quarterly Report on Form 10-Q filed on February 14,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10.76</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3"/>
              </w:rPr>
              <w:t>Amendment No. 3 to Note Exchange and Purchase Agreement as of February 22, 2013 between VistaGen Therapeutics Inc. and Platinum Long Term Growth VII, LLP, incorporated by reference from Exhibit 10.1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to the Company’s Current Report on Form 8-K filed on February 28,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10.77</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3"/>
              </w:rPr>
              <w:t>Form of Warrant to Purchase Common Stock issued to independent members of the Company’s Board of Directors and its executive officers on March 3, 2013,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Company’s Current Report on Form 8-K filed on March 6,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10.80</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1"/>
              </w:rPr>
              <w:t>Note Conversion Agreement as of April 4, 2013 between VistaGen Therapeutics Inc. and Platinum Long Term Growth VII, LLP, incorporated by reference from Exhibit 10.3 to the Company’s Current Report on Form</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8-K filed on 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10.81</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2"/>
              </w:rPr>
              <w:t>Assignment and Assumption Agreement between Autilion AG and Bergamo Acquisition Corp. PTE LTD dated April 12, 2013, incorporated by reference from Exhibit 10.81 to the Company’s Annual Report on Form</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10-K filed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10.82</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6"/>
              </w:rPr>
              <w:t>Amendment No. 1 to Securities Purchase Agreement dated April 30, 2013 between VistaGen Therapeutics, Inc. and Bergamo Acquisition Corp. PTE LTD,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Company’s Current Report on Form 8-K filed on May 1,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10.83</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2"/>
              </w:rPr>
              <w:t>Lease between Bayside Area Development, LLC and VistaGen Therapeutics, Inc. (California) dated April 24, 2013, incorporated by reference from Exhibit 10.83 to the Company’s Annual Report on Form 10-K filed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July 18, 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2"/>
                <w:szCs w:val="12"/>
                <w:color w:val="auto"/>
              </w:rPr>
              <w:t>10.84</w:t>
            </w: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w w:val="95"/>
              </w:rPr>
              <w:t>Indemnification Agreement effective May 20, 2013 between the Company and Jon S. Saxe, incorporated by reference from Exhibit 10.84 to the Company's Annual Report on Form 10-K filed on July 18, 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10.85</w:t>
            </w:r>
          </w:p>
        </w:tc>
        <w:tc>
          <w:tcPr>
            <w:tcW w:w="10740" w:type="dxa"/>
            <w:vAlign w:val="bottom"/>
          </w:tcPr>
          <w:p>
            <w:pPr>
              <w:ind w:left="280"/>
              <w:spacing w:after="0"/>
              <w:rPr>
                <w:sz w:val="20"/>
                <w:szCs w:val="20"/>
                <w:color w:val="auto"/>
              </w:rPr>
            </w:pPr>
            <w:r>
              <w:rPr>
                <w:rFonts w:ascii="Arial" w:cs="Arial" w:eastAsia="Arial" w:hAnsi="Arial"/>
                <w:sz w:val="12"/>
                <w:szCs w:val="12"/>
                <w:color w:val="auto"/>
                <w:w w:val="93"/>
              </w:rPr>
              <w:t>Indemnification Agreement effective May 20, 2013 between the Company and Shawn K. Singh, incorporated by reference from Exhibit 10.85 to the Company’s Annual Report on Form 10-K filed on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10.86</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4"/>
              </w:rPr>
              <w:t>Indemnification Agreement effective May 20, 2013 between the Company and H. Ralph Snodgrass, incorporated by reference from Exhibit 10.86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10.87</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4"/>
              </w:rPr>
              <w:t>Indemnification Agreement effective May 20, 2013 between the Company and Brian J. Underdown, incorporated by reference from Exhibit 10.87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2"/>
                <w:szCs w:val="12"/>
                <w:color w:val="auto"/>
              </w:rPr>
              <w:t>10.88</w:t>
            </w: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w w:val="92"/>
              </w:rPr>
              <w:t>Indemnification Agreement effective May 20, 2013 between the Company and Jerrold D. Dotson, incorporated by reference from Exhibit 10.88 to the Company’s Annual Report on Form 10-K filed on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10.89</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2"/>
              </w:rPr>
              <w:t>Amendment and Waiver effective May 24, 2013 between the Company and Platinum Long Term Growth VII, LLC, incorporated by reference from Exhibit 10.1 to the Company’s Current Report on Form 8-K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June 3, 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2"/>
                <w:szCs w:val="12"/>
                <w:color w:val="auto"/>
              </w:rPr>
              <w:t>10.92</w:t>
            </w: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w w:val="94"/>
              </w:rPr>
              <w:t>Common Stock Warrant, dated July 26, 2013 issued to Platinum Long Term Growth VII, LLP, incorporated by reference from Exhibit 10.2 to the Company’s Current Report on Form 8-K filed on August 2,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10.93</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3"/>
              </w:rPr>
              <w:t>Form of Subscription Agreement between the Company and investors in the Fall 2013 Unit Private Placement, incorporated by reference from Exhibit 10.93 to the Company’s Annual Report on Form 10-K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June 24,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10.94</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2"/>
              </w:rPr>
              <w:t>Form of Convertible Promissory Note between the Company and investors in the Fall 2013 Unit Private Placement, incorporated by reference from Exhibit 10.94 to the Company’s Annual Report on Form 10-K filed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on June 24,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10.95</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2"/>
              </w:rPr>
              <w:t>Form of Common Stock Purchase Warrant between the Company and investors in the Fall 2013 Unit Private Placement, incorporated by reference from Exhibit 10.95 to the Company’s Annual Report on Form 10-K</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filed on June 24,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10.96</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1"/>
              </w:rPr>
              <w:t>Form of Amendment to Convertible Promissory Note and Warrant between the Company and investors in the Fall 2013 Unit Private Placement, effective May 31, 2014, incorporated by reference from Exhibit 10.96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the Company’s Annual Report on Form 10-K filed on June 24,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10.97</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1"/>
              </w:rPr>
              <w:t>Form of Unit Subscription Agreement between the Company and investors in the Spring 2014 Unit Private Placement dated April 1, 2014, incorporated by reference from Exhibit 10.1 to the Company’s Current Report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on Form 8-K filed on April 8,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10.98</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2"/>
              </w:rPr>
              <w:t>Form of Subordinate Convertible Promissory Note between the Company and investors in the Spring 2014 Unit Private Placement dated April 1, 2014, incorporated by reference from Exhibit 10.2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Current Report on Form 8-K filed on April 8,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10.99</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2"/>
              </w:rPr>
              <w:t>Form of Common Stock Purchase Warrant between the Company and investors in the Spring 2014 Unit Private Placement dated April 1, 2014, incorporated by reference from Exhibit 10.3 to the Company’s Current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Report on Form 8-K filed on April 8,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10.100</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2"/>
              </w:rPr>
              <w:t>Common Stock Purchase Warrant between the Company and Platinum Long Term Growth Fund VII dated May 14, 2014, incorporated by reference from Exhibit 10.1 to the Company’s Current Report on Form 8-K</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filed on May 19,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10.103</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2"/>
              </w:rPr>
              <w:t>Amendment No. 3 to Sponsored Research Collaboration Agreement, dated April 25, 2011, by and between VistaGen and University Health Network, incorporated by reference from Exhibit 10.103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Annual Report on Form 10-K filed on June 24,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10.104</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6"/>
              </w:rPr>
              <w:t>Amendment No. 5 to Sponsored Research Collaboration Agreement, dated October 10, 2012, by and between VistaGen and University Health Network, incorporated by reference from Exhibit 10.104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Company’s Annual Report on Form 10-K filed on June 24,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10.105</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1"/>
              </w:rPr>
              <w:t>Amended and Restated Note Conversion Agreement and Warrant Amendment, by and between VistaGen Therapeutics, Inc. and Platinum Long Term Growth VII, LLC, dated July 18, 2014, incorporated by reference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from Exhibit 10.1 to the Company’s Current Report on Form 8-K filed on July 22, 2014.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10.106</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1"/>
              </w:rPr>
              <w:t>Amendment No. 1 to Amended and Restated Note Conversion Agreement and Warrant Amendment, by and between VistaGen Therapeutics, Inc. and Platinum Long Term Growth VII, LLC, dated September 2, 2014,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incorporated by reference from Exhibit 10.1 to the Company’s Current Report on Form 8-K filed on September 4,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10.107</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0"/>
              </w:rPr>
              <w:t>Amendment No. 2 to Amended and Restated Note Conversion Agreement and Warrant Amendment, by and between VistaGen Therapeutics, Inc. and Platinum Long Term Growth VII, LLC, dated September 30, 2014,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incorporated by reference from Exhibit 10.1 to the Company’s Current Report on Form 8-K filed on October 3, 2014.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10.108</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3"/>
              </w:rPr>
              <w:t>Agreement, by and between VistaGen Therapeutics, Inc. and Platinum Long Term Growth VII, LLC, dated May 5, 2015, incorporated by reference from Exhibit 10.1 to the Company’s Current Report on Form 8-K</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filed on May 13, 2015.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color w:val="auto"/>
              </w:rPr>
              <w:t>10.109</w:t>
            </w:r>
          </w:p>
        </w:tc>
        <w:tc>
          <w:tcPr>
            <w:tcW w:w="10740" w:type="dxa"/>
            <w:vAlign w:val="bottom"/>
          </w:tcPr>
          <w:p>
            <w:pPr>
              <w:ind w:left="280"/>
              <w:spacing w:after="0" w:line="136" w:lineRule="exact"/>
              <w:rPr>
                <w:sz w:val="20"/>
                <w:szCs w:val="20"/>
                <w:color w:val="auto"/>
              </w:rPr>
            </w:pPr>
            <w:r>
              <w:rPr>
                <w:rFonts w:ascii="Arial" w:cs="Arial" w:eastAsia="Arial" w:hAnsi="Arial"/>
                <w:sz w:val="12"/>
                <w:szCs w:val="12"/>
                <w:color w:val="auto"/>
                <w:w w:val="91"/>
              </w:rPr>
              <w:t>Acknowledgement and Agreement, by and between VistaGen Therapeutics, Inc. and Platinum Long Term Growth VII, LLC, dated May 12, 2015, incorporated by reference from Exhibit 10.2 to the Company’s Current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740" w:type="dxa"/>
            <w:vAlign w:val="bottom"/>
          </w:tcPr>
          <w:p>
            <w:pPr>
              <w:ind w:left="280"/>
              <w:spacing w:after="0"/>
              <w:rPr>
                <w:sz w:val="20"/>
                <w:szCs w:val="20"/>
                <w:color w:val="auto"/>
              </w:rPr>
            </w:pPr>
            <w:r>
              <w:rPr>
                <w:rFonts w:ascii="Arial" w:cs="Arial" w:eastAsia="Arial" w:hAnsi="Arial"/>
                <w:sz w:val="12"/>
                <w:szCs w:val="12"/>
                <w:color w:val="auto"/>
              </w:rPr>
              <w:t>Report on Form 8-K filed on May 13, 2015.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10.110</w:t>
            </w:r>
          </w:p>
        </w:tc>
        <w:tc>
          <w:tcPr>
            <w:tcW w:w="1074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3"/>
              </w:rPr>
              <w:t>Form of Securities Purchase Agreement by and between VistaGen Therapeutics, Inc. and Platinum Long Term Growth VII, LLC, dated May 12, 2015, incorporated by reference from Exhibit 10.3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Current Report on Form 8-K filed on May 13, 2015.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21.1*</w:t>
            </w:r>
          </w:p>
        </w:tc>
        <w:tc>
          <w:tcPr>
            <w:tcW w:w="10740" w:type="dxa"/>
            <w:vAlign w:val="bottom"/>
          </w:tcPr>
          <w:p>
            <w:pPr>
              <w:ind w:left="280"/>
              <w:spacing w:after="0"/>
              <w:rPr>
                <w:sz w:val="20"/>
                <w:szCs w:val="20"/>
                <w:color w:val="auto"/>
              </w:rPr>
            </w:pPr>
            <w:r>
              <w:rPr>
                <w:rFonts w:ascii="Arial" w:cs="Arial" w:eastAsia="Arial" w:hAnsi="Arial"/>
                <w:sz w:val="12"/>
                <w:szCs w:val="12"/>
                <w:color w:val="auto"/>
              </w:rPr>
              <w:t>List of Subsidiaries.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2"/>
                <w:szCs w:val="12"/>
                <w:color w:val="auto"/>
              </w:rPr>
              <w:t>23.1</w:t>
            </w: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Consent of Disclosure Law Group (included in Exhibit 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23.2</w:t>
            </w:r>
          </w:p>
        </w:tc>
        <w:tc>
          <w:tcPr>
            <w:tcW w:w="10740" w:type="dxa"/>
            <w:vAlign w:val="bottom"/>
          </w:tcPr>
          <w:p>
            <w:pPr>
              <w:ind w:left="280"/>
              <w:spacing w:after="0"/>
              <w:rPr>
                <w:sz w:val="20"/>
                <w:szCs w:val="20"/>
                <w:color w:val="auto"/>
              </w:rPr>
            </w:pPr>
            <w:r>
              <w:rPr>
                <w:rFonts w:ascii="Arial" w:cs="Arial" w:eastAsia="Arial" w:hAnsi="Arial"/>
                <w:sz w:val="12"/>
                <w:szCs w:val="12"/>
                <w:color w:val="auto"/>
              </w:rPr>
              <w:t>Consent of OUM &amp; Co., LLP, independent registered public accounting firm (filed herewith).</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2"/>
                <w:szCs w:val="12"/>
                <w:color w:val="auto"/>
              </w:rPr>
              <w:t>24.1</w:t>
            </w: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Power of Attorney, incorporated by reference from Exhibit 24.1 to the Company's Registration Statement on Form S-1 filed on July 21, 2015.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101.INS</w:t>
            </w:r>
          </w:p>
        </w:tc>
        <w:tc>
          <w:tcPr>
            <w:tcW w:w="10740" w:type="dxa"/>
            <w:vAlign w:val="bottom"/>
          </w:tcPr>
          <w:p>
            <w:pPr>
              <w:ind w:left="280"/>
              <w:spacing w:after="0"/>
              <w:rPr>
                <w:sz w:val="20"/>
                <w:szCs w:val="20"/>
                <w:color w:val="auto"/>
              </w:rPr>
            </w:pPr>
            <w:r>
              <w:rPr>
                <w:rFonts w:ascii="Arial" w:cs="Arial" w:eastAsia="Arial" w:hAnsi="Arial"/>
                <w:sz w:val="12"/>
                <w:szCs w:val="12"/>
                <w:color w:val="auto"/>
              </w:rPr>
              <w:t>XBRL Instance Document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2"/>
                <w:szCs w:val="12"/>
                <w:color w:val="auto"/>
              </w:rPr>
              <w:t>101.SCH</w:t>
            </w: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XBRL Taxonomy Schema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101.CAL</w:t>
            </w:r>
          </w:p>
        </w:tc>
        <w:tc>
          <w:tcPr>
            <w:tcW w:w="10740" w:type="dxa"/>
            <w:vAlign w:val="bottom"/>
          </w:tcPr>
          <w:p>
            <w:pPr>
              <w:ind w:left="280"/>
              <w:spacing w:after="0"/>
              <w:rPr>
                <w:sz w:val="20"/>
                <w:szCs w:val="20"/>
                <w:color w:val="auto"/>
              </w:rPr>
            </w:pPr>
            <w:r>
              <w:rPr>
                <w:rFonts w:ascii="Arial" w:cs="Arial" w:eastAsia="Arial" w:hAnsi="Arial"/>
                <w:sz w:val="12"/>
                <w:szCs w:val="12"/>
                <w:color w:val="auto"/>
              </w:rPr>
              <w:t>XBRL Taxonomy Extension Calculation Linkbase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2"/>
                <w:szCs w:val="12"/>
                <w:color w:val="auto"/>
              </w:rPr>
              <w:t>101.DEF</w:t>
            </w: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XBRL Taxonomy Extension Definition Linkbase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101.LAB</w:t>
            </w:r>
          </w:p>
        </w:tc>
        <w:tc>
          <w:tcPr>
            <w:tcW w:w="10740" w:type="dxa"/>
            <w:vAlign w:val="bottom"/>
          </w:tcPr>
          <w:p>
            <w:pPr>
              <w:ind w:left="280"/>
              <w:spacing w:after="0"/>
              <w:rPr>
                <w:sz w:val="20"/>
                <w:szCs w:val="20"/>
                <w:color w:val="auto"/>
              </w:rPr>
            </w:pPr>
            <w:r>
              <w:rPr>
                <w:rFonts w:ascii="Arial" w:cs="Arial" w:eastAsia="Arial" w:hAnsi="Arial"/>
                <w:sz w:val="12"/>
                <w:szCs w:val="12"/>
                <w:color w:val="auto"/>
              </w:rPr>
              <w:t>XBRL Taxonomy Extension Label Linkbase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2"/>
                <w:szCs w:val="12"/>
                <w:color w:val="auto"/>
              </w:rPr>
              <w:t>101.PRE</w:t>
            </w:r>
          </w:p>
        </w:tc>
        <w:tc>
          <w:tcPr>
            <w:tcW w:w="10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XBRL Taxonomy Extension Presentation Linkbase</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w:t>
      </w:r>
    </w:p>
    <w:p>
      <w:pPr>
        <w:spacing w:after="0" w:line="15" w:lineRule="exact"/>
        <w:rPr>
          <w:sz w:val="20"/>
          <w:szCs w:val="20"/>
          <w:color w:val="auto"/>
        </w:rPr>
      </w:pPr>
    </w:p>
    <w:p>
      <w:pPr>
        <w:jc w:val="right"/>
        <w:ind w:left="5628" w:right="5620" w:hanging="5628"/>
        <w:spacing w:after="0" w:line="614" w:lineRule="auto"/>
        <w:tabs>
          <w:tab w:leader="none" w:pos="124" w:val="left"/>
        </w:tabs>
        <w:numPr>
          <w:ilvl w:val="0"/>
          <w:numId w:val="96"/>
        </w:numPr>
        <w:rPr>
          <w:rFonts w:ascii="Arial" w:cs="Arial" w:eastAsia="Arial" w:hAnsi="Arial"/>
          <w:sz w:val="11"/>
          <w:szCs w:val="11"/>
          <w:color w:val="auto"/>
        </w:rPr>
      </w:pPr>
      <w:r>
        <w:rPr>
          <w:rFonts w:ascii="Arial" w:cs="Arial" w:eastAsia="Arial" w:hAnsi="Arial"/>
          <w:sz w:val="11"/>
          <w:szCs w:val="11"/>
          <w:color w:val="auto"/>
        </w:rPr>
        <w:t>Incorporated by reference from the like-numbered exhibit filed with our Current Report on Form 8-K on May 16, 2011. 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99325" cy="18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2"/>
          <w:szCs w:val="1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103505</wp:posOffset>
            </wp:positionV>
            <wp:extent cx="1430020" cy="2571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300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August 25, 2015</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343 Allerton Avenue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South San Francisco, CA 94080</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have acted as legal counsel to VistaGen Therapeutics, Inc., a Nevada corporation (the “</w:t>
      </w:r>
      <w:r>
        <w:rPr>
          <w:rFonts w:ascii="Arial" w:cs="Arial" w:eastAsia="Arial" w:hAnsi="Arial"/>
          <w:sz w:val="12"/>
          <w:szCs w:val="12"/>
          <w:i w:val="1"/>
          <w:iCs w:val="1"/>
          <w:color w:val="auto"/>
        </w:rPr>
        <w:t>Company</w:t>
      </w:r>
      <w:r>
        <w:rPr>
          <w:rFonts w:ascii="Arial" w:cs="Arial" w:eastAsia="Arial" w:hAnsi="Arial"/>
          <w:sz w:val="12"/>
          <w:szCs w:val="12"/>
          <w:color w:val="auto"/>
        </w:rPr>
        <w:t>”), in connection with its registration statement on Form S-1 (the “</w:t>
      </w:r>
      <w:r>
        <w:rPr>
          <w:rFonts w:ascii="Arial" w:cs="Arial" w:eastAsia="Arial" w:hAnsi="Arial"/>
          <w:sz w:val="12"/>
          <w:szCs w:val="12"/>
          <w:i w:val="1"/>
          <w:iCs w:val="1"/>
          <w:color w:val="auto"/>
        </w:rPr>
        <w:t>Registration Statement</w:t>
      </w:r>
      <w:r>
        <w:rPr>
          <w:rFonts w:ascii="Arial" w:cs="Arial" w:eastAsia="Arial" w:hAnsi="Arial"/>
          <w:sz w:val="12"/>
          <w:szCs w:val="12"/>
          <w:color w:val="auto"/>
        </w:rPr>
        <w:t>”), filed with the Securities and Exchange Commission (the “</w:t>
      </w:r>
      <w:r>
        <w:rPr>
          <w:rFonts w:ascii="Arial" w:cs="Arial" w:eastAsia="Arial" w:hAnsi="Arial"/>
          <w:sz w:val="12"/>
          <w:szCs w:val="12"/>
          <w:i w:val="1"/>
          <w:iCs w:val="1"/>
          <w:color w:val="auto"/>
        </w:rPr>
        <w:t>Commission</w:t>
      </w:r>
      <w:r>
        <w:rPr>
          <w:rFonts w:ascii="Arial" w:cs="Arial" w:eastAsia="Arial" w:hAnsi="Arial"/>
          <w:sz w:val="12"/>
          <w:szCs w:val="12"/>
          <w:color w:val="auto"/>
        </w:rPr>
        <w:t>”) relating to the proposed resale of up to 3,992,479 shares (the “</w:t>
      </w:r>
      <w:r>
        <w:rPr>
          <w:rFonts w:ascii="Arial" w:cs="Arial" w:eastAsia="Arial" w:hAnsi="Arial"/>
          <w:sz w:val="12"/>
          <w:szCs w:val="12"/>
          <w:i w:val="1"/>
          <w:iCs w:val="1"/>
          <w:color w:val="auto"/>
        </w:rPr>
        <w:t>Shares</w:t>
      </w:r>
      <w:r>
        <w:rPr>
          <w:rFonts w:ascii="Arial" w:cs="Arial" w:eastAsia="Arial" w:hAnsi="Arial"/>
          <w:sz w:val="12"/>
          <w:szCs w:val="12"/>
          <w:color w:val="auto"/>
        </w:rPr>
        <w:t>”) of the Company’s common stock, par value $0.001 per share (“</w:t>
      </w:r>
      <w:r>
        <w:rPr>
          <w:rFonts w:ascii="Arial" w:cs="Arial" w:eastAsia="Arial" w:hAnsi="Arial"/>
          <w:sz w:val="12"/>
          <w:szCs w:val="12"/>
          <w:i w:val="1"/>
          <w:iCs w:val="1"/>
          <w:color w:val="auto"/>
        </w:rPr>
        <w:t>Common Stock</w:t>
      </w:r>
      <w:r>
        <w:rPr>
          <w:rFonts w:ascii="Arial" w:cs="Arial" w:eastAsia="Arial" w:hAnsi="Arial"/>
          <w:sz w:val="12"/>
          <w:szCs w:val="12"/>
          <w:color w:val="auto"/>
        </w:rPr>
        <w:t>”), issuable upon conversion of certain shares of the Company’s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w:t>
      </w:r>
      <w:r>
        <w:rPr>
          <w:rFonts w:ascii="Arial" w:cs="Arial" w:eastAsia="Arial" w:hAnsi="Arial"/>
          <w:sz w:val="12"/>
          <w:szCs w:val="12"/>
          <w:i w:val="1"/>
          <w:iCs w:val="1"/>
          <w:color w:val="auto"/>
        </w:rPr>
        <w:t>Conversion Shares</w:t>
      </w:r>
      <w:r>
        <w:rPr>
          <w:rFonts w:ascii="Arial" w:cs="Arial" w:eastAsia="Arial" w:hAnsi="Arial"/>
          <w:sz w:val="12"/>
          <w:szCs w:val="12"/>
          <w:color w:val="auto"/>
        </w:rPr>
        <w:t>”), and exercise of certain Warrants (“</w:t>
      </w:r>
      <w:r>
        <w:rPr>
          <w:rFonts w:ascii="Arial" w:cs="Arial" w:eastAsia="Arial" w:hAnsi="Arial"/>
          <w:sz w:val="12"/>
          <w:szCs w:val="12"/>
          <w:i w:val="1"/>
          <w:iCs w:val="1"/>
          <w:color w:val="auto"/>
        </w:rPr>
        <w:t>Warrant Shares</w:t>
      </w:r>
      <w:r>
        <w:rPr>
          <w:rFonts w:ascii="Arial" w:cs="Arial" w:eastAsia="Arial" w:hAnsi="Arial"/>
          <w:sz w:val="12"/>
          <w:szCs w:val="12"/>
          <w:color w:val="auto"/>
        </w:rPr>
        <w:t>”). This opinion letter is furnished to you at your request to enable you to fulfill the requirements of Item 601(b)(5) of Regulation S-K, 17 C.F.R. § 229.601(b)(5), in connection with the Registration Statement.</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the basis for the opinion hereinafter expressed, we have examined such statutes, Company corporate records and documents, certificates of Company and public officials, and other instruments and documents as we deemed relevant or necessary for the purposes of the opinion set forth below.</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making our examination, we have assumed the legal capacity of all natural persons, that all signatures on documents examined by us are genuine, the authenticity of all documents submitted to us as originals and the conformity with the original documents of all documents submitted to us as certified, conformed or photostatic copies. We have also assumed the accuracy and completeness of all information provided to us by the Company during the course of our investigations, on which we have relied in issuing the opinion expressed below. We have relied upon a certificate and other assurances of officers of the Company and others as to factual matters without having independently verified such factual matters. In connection with the opinion hereinafter expressed, we have assumed that all of the Shares will be resold in the manner stated in the prospectus forming a part of the Registration Statement.</w:t>
      </w:r>
    </w:p>
    <w:p>
      <w:pPr>
        <w:spacing w:after="0" w:line="12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Based on the foregoing and on such legal considerations as we deem relevant, and subject to the qualifications, assumptions and limitations stated herein and in reliance on the statements of fact contained in the documents we have examined, we are of the opinion that (i) the Conversion Shares, when issued by the Company upon conversion of the shares of Series B Preferred in accordance with the terms and conditions of the Certificate of Designation, Preference, Rights and Limitations of the Series B 10% Convertible Preferred Stock, as amended (the “</w:t>
      </w:r>
      <w:r>
        <w:rPr>
          <w:rFonts w:ascii="Arial" w:cs="Arial" w:eastAsia="Arial" w:hAnsi="Arial"/>
          <w:sz w:val="11"/>
          <w:szCs w:val="11"/>
          <w:i w:val="1"/>
          <w:iCs w:val="1"/>
          <w:color w:val="auto"/>
        </w:rPr>
        <w:t>Certificate of Designation</w:t>
      </w:r>
      <w:r>
        <w:rPr>
          <w:rFonts w:ascii="Arial" w:cs="Arial" w:eastAsia="Arial" w:hAnsi="Arial"/>
          <w:sz w:val="11"/>
          <w:szCs w:val="11"/>
          <w:color w:val="auto"/>
        </w:rPr>
        <w:t>”), will be duly authorized, validly issued, fully paid and nonassessable, and (ii) the Warrant Shares, when issued by the Company upon the exercise of the Warrants in accordance with the terms of such respective warrants, will be duly authorized, validly issued, fully paid and nonassessable.</w:t>
      </w:r>
    </w:p>
    <w:p>
      <w:pPr>
        <w:spacing w:after="0" w:line="1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hereby consent to the reference to us under the caption “Legal Matters” in the prospectus forming a part of the Registration Statement and to the filing of this opinion letter as an exhibit to the Registration Statement, and any amendments thereto. In giving this consent, we do not admit that we are included in the category of persons whose consent is required under Section 7 of the Securities Act of 1933, as amended, or the rules and regulations of the Commission promulgated thereunder.</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Very truly yours,</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The Disclosure Law Group</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i w:val="1"/>
          <w:iCs w:val="1"/>
          <w:u w:val="single" w:color="auto"/>
          <w:color w:val="auto"/>
        </w:rPr>
        <w:t>/s/ Daniel W. Rumsey, Esq.</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Daniel W. Rumsey, Esq.</w:t>
      </w:r>
    </w:p>
    <w:p>
      <w:pPr>
        <w:sectPr>
          <w:pgSz w:w="11900" w:h="16838" w:orient="portrait"/>
          <w:cols w:equalWidth="0" w:num="1">
            <w:col w:w="11480"/>
          </w:cols>
          <w:pgMar w:left="220" w:top="127" w:right="199" w:bottom="1440" w:gutter="0" w:footer="0" w:header="0"/>
        </w:sectPr>
      </w:pPr>
    </w:p>
    <w:bookmarkStart w:id="211" w:name="page212"/>
    <w:bookmarkEnd w:id="211"/>
    <w:p>
      <w:pPr>
        <w:jc w:val="right"/>
        <w:spacing w:after="0"/>
        <w:rPr>
          <w:sz w:val="20"/>
          <w:szCs w:val="20"/>
          <w:color w:val="auto"/>
        </w:rPr>
      </w:pPr>
      <w:r>
        <w:rPr>
          <w:rFonts w:ascii="Arial" w:cs="Arial" w:eastAsia="Arial" w:hAnsi="Arial"/>
          <w:sz w:val="12"/>
          <w:szCs w:val="12"/>
          <w:b w:val="1"/>
          <w:bCs w:val="1"/>
          <w:color w:val="auto"/>
        </w:rPr>
        <w:t>Exhibit 23.2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31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hereby consent to the use, in the Prospectus constituting a part of this Pre-Effective Amendment No. 1 to Registration Statement on Form S-1/A (No. 333-205782), of our report dated June 29, 2015 (which report expresses an unqualified opinion and includes an emphasis of matter paragraph concerning the ability of VistaGen Therapeutics, Inc. to continue as a going concern) relating to the consolidated financial statements of VistaGen Therapeutics, Inc. as of and for the fiscal years ended March 31, 2015 and 2014, which is contained in that Prospectus.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also consent to the reference to us under the caption “Experts” in the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August 25, 2015</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lvl w:ilvl="1">
      <w:lvlJc w:val="left"/>
      <w:lvlText w:val="·"/>
      <w:numFmt w:val="bullet"/>
      <w:start w:val="1"/>
    </w:lvl>
  </w:abstractNum>
  <w:abstractNum w:abstractNumId="39">
    <w:nsid w:val="5DB70AE5"/>
    <w:multiLevelType w:val="hybridMultilevel"/>
    <w:lvl w:ilvl="0">
      <w:lvlJc w:val="left"/>
      <w:lvlText w:val="(%1)"/>
      <w:numFmt w:val="decimal"/>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3"/>
    </w:lvl>
    <w:lvl w:ilvl="1">
      <w:lvlJc w:val="left"/>
      <w:lvlText w:val="·"/>
      <w:numFmt w:val="bullet"/>
      <w:start w:val="1"/>
    </w:lvl>
  </w:abstractNum>
  <w:abstractNum w:abstractNumId="45">
    <w:nsid w:val="799D0247"/>
    <w:multiLevelType w:val="hybridMultilevel"/>
    <w:lvl w:ilvl="0">
      <w:lvlJc w:val="left"/>
      <w:lvlText w:val="(%1)"/>
      <w:numFmt w:val="lowerLetter"/>
      <w:start w:val="6"/>
    </w:lvl>
    <w:lvl w:ilvl="1">
      <w:lvlJc w:val="left"/>
      <w:lvlText w:val="·"/>
      <w:numFmt w:val="bullet"/>
      <w:start w:val="1"/>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4"/>
    </w:lvl>
  </w:abstractNum>
  <w:abstractNum w:abstractNumId="48">
    <w:nsid w:val="168E121F"/>
    <w:multiLevelType w:val="hybridMultilevel"/>
    <w:lvl w:ilvl="0">
      <w:lvlJc w:val="left"/>
      <w:lvlText w:val="(%1)"/>
      <w:numFmt w:val="decimal"/>
      <w:start w:val="12"/>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lowerRoman"/>
      <w:start w:val="2"/>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1)"/>
      <w:numFmt w:val="decimal"/>
      <w:start w:val="1"/>
    </w:lvl>
  </w:abstractNum>
  <w:abstractNum w:abstractNumId="58">
    <w:nsid w:val="42963E5A"/>
    <w:multiLevelType w:val="hybridMultilevel"/>
    <w:lvl w:ilvl="0">
      <w:lvlJc w:val="left"/>
      <w:lvlText w:val="(%1)"/>
      <w:numFmt w:val="decimal"/>
      <w:start w:val="8"/>
    </w:lvl>
  </w:abstractNum>
  <w:abstractNum w:abstractNumId="59">
    <w:nsid w:val="A0382C5"/>
    <w:multiLevelType w:val="hybridMultilevel"/>
    <w:lvl w:ilvl="0">
      <w:lvlJc w:val="left"/>
      <w:lvlText w:val="(%1)"/>
      <w:numFmt w:val="decimal"/>
      <w:start w:val="10"/>
    </w:lvl>
  </w:abstractNum>
  <w:abstractNum w:abstractNumId="60">
    <w:nsid w:val="8F2B15E"/>
    <w:multiLevelType w:val="hybridMultilevel"/>
    <w:lvl w:ilvl="0">
      <w:lvlJc w:val="left"/>
      <w:lvlText w:val="(%1)"/>
      <w:numFmt w:val="decimal"/>
      <w:start w:val="17"/>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o"/>
      <w:numFmt w:val="bullet"/>
      <w:start w:val="1"/>
    </w:lvl>
  </w:abstractNum>
  <w:abstractNum w:abstractNumId="67">
    <w:nsid w:val="14330624"/>
    <w:multiLevelType w:val="hybridMultilevel"/>
    <w:lvl w:ilvl="0">
      <w:lvlJc w:val="left"/>
      <w:lvlText w:val="·"/>
      <w:numFmt w:val="bullet"/>
      <w:start w:val="1"/>
    </w:lvl>
    <w:lvl w:ilvl="1">
      <w:lvlJc w:val="left"/>
      <w:lvlText w:val="o"/>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lvl w:ilvl="1">
      <w:lvlJc w:val="left"/>
      <w:lvlText w:val="o"/>
      <w:numFmt w:val="bullet"/>
      <w:start w:val="1"/>
    </w:lvl>
  </w:abstractNum>
  <w:abstractNum w:abstractNumId="83">
    <w:nsid w:val="68EBC550"/>
    <w:multiLevelType w:val="hybridMultilevel"/>
    <w:lvl w:ilvl="0">
      <w:lvlJc w:val="left"/>
      <w:lvlText w:val="(%1)"/>
      <w:numFmt w:val="decimal"/>
      <w:start w:val="3"/>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2"/>
    </w:lvl>
  </w:abstractNum>
  <w:abstractNum w:abstractNumId="92">
    <w:nsid w:val="26F324BA"/>
    <w:multiLevelType w:val="hybridMultilevel"/>
    <w:lvl w:ilvl="0">
      <w:lvlJc w:val="left"/>
      <w:lvlText w:val="%1"/>
      <w:numFmt w:val="lowerLetter"/>
      <w:start w:val="1"/>
    </w:lvl>
    <w:lvl w:ilvl="1">
      <w:lvlJc w:val="left"/>
      <w:lvlText w:val="(%2)"/>
      <w:numFmt w:val="decimal"/>
      <w:start w:val="3"/>
    </w:lvl>
    <w:lvl w:ilvl="2">
      <w:lvlJc w:val="left"/>
      <w:lvlText w:val="(%3)"/>
      <w:numFmt w:val="decimal"/>
      <w:start w:val="4"/>
    </w:lvl>
  </w:abstractNum>
  <w:abstractNum w:abstractNumId="93">
    <w:nsid w:val="7F01579B"/>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2020-01-24T10:53:08Z</dcterms:created>
  <dcterms:modified xsi:type="dcterms:W3CDTF">2020-01-24T10:53:08Z</dcterms:modified>
</cp:coreProperties>
</file>