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VistaGen Therapeutics,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$0.001 par value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92840H202</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800" w:hanging="455"/>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800" w:hanging="455"/>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2" w:lineRule="exact"/>
        <w:rPr>
          <w:sz w:val="24"/>
          <w:szCs w:val="24"/>
          <w:color w:val="auto"/>
        </w:rPr>
      </w:pPr>
    </w:p>
    <w:p>
      <w:pPr>
        <w:ind w:left="3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57" w:lineRule="exact"/>
        <w:rPr>
          <w:sz w:val="24"/>
          <w:szCs w:val="24"/>
          <w:color w:val="auto"/>
        </w:rPr>
      </w:pPr>
    </w:p>
    <w:p>
      <w:pPr>
        <w:ind w:left="340" w:right="40" w:hanging="337"/>
        <w:spacing w:after="0" w:line="277" w:lineRule="auto"/>
        <w:rPr>
          <w:sz w:val="24"/>
          <w:szCs w:val="24"/>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1800" w:type="dxa"/>
            <w:vAlign w:val="bottom"/>
            <w:tcBorders>
              <w:left w:val="single" w:sz="8" w:color="FEFEFE"/>
            </w:tcBorders>
            <w:gridSpan w:val="5"/>
            <w:shd w:val="clear" w:color="auto" w:fill="FEFEFE"/>
          </w:tcPr>
          <w:p>
            <w:pPr>
              <w:spacing w:after="0"/>
              <w:rPr>
                <w:sz w:val="20"/>
                <w:szCs w:val="20"/>
                <w:color w:val="auto"/>
              </w:rPr>
            </w:pPr>
            <w:r>
              <w:rPr>
                <w:rFonts w:ascii="Arial" w:cs="Arial" w:eastAsia="Arial" w:hAnsi="Arial"/>
                <w:sz w:val="18"/>
                <w:szCs w:val="18"/>
                <w:b w:val="1"/>
                <w:bCs w:val="1"/>
                <w:color w:val="auto"/>
                <w:w w:val="95"/>
              </w:rPr>
              <w:t>CUSIP No. 92840H202</w:t>
            </w:r>
          </w:p>
        </w:tc>
        <w:tc>
          <w:tcPr>
            <w:tcW w:w="9440" w:type="dxa"/>
            <w:vAlign w:val="bottom"/>
            <w:tcBorders>
              <w:right w:val="single" w:sz="8" w:color="FEFEFE"/>
            </w:tcBorders>
            <w:shd w:val="clear" w:color="auto" w:fill="FEFEFE"/>
          </w:tcPr>
          <w:p>
            <w:pPr>
              <w:ind w:left="8540"/>
              <w:spacing w:after="0"/>
              <w:rPr>
                <w:sz w:val="20"/>
                <w:szCs w:val="20"/>
                <w:color w:val="auto"/>
              </w:rPr>
            </w:pPr>
            <w:r>
              <w:rPr>
                <w:rFonts w:ascii="Arial" w:cs="Arial" w:eastAsia="Arial" w:hAnsi="Arial"/>
                <w:sz w:val="18"/>
                <w:szCs w:val="18"/>
                <w:color w:val="auto"/>
                <w:w w:val="84"/>
              </w:rPr>
              <w:t>Page 2 of 14</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Venrock Healthcare Capital Partners II, L.P.</w:t>
            </w: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180" w:type="dxa"/>
            <w:vAlign w:val="bottom"/>
            <w:gridSpan w:val="3"/>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6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5.</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6.</w:t>
            </w:r>
          </w:p>
        </w:tc>
        <w:tc>
          <w:tcPr>
            <w:tcW w:w="180" w:type="dxa"/>
            <w:vAlign w:val="bottom"/>
          </w:tcPr>
          <w:p>
            <w:pPr>
              <w:spacing w:after="0"/>
              <w:rPr>
                <w:sz w:val="22"/>
                <w:szCs w:val="22"/>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14,240,237</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4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76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92"/>
              </w:rPr>
              <w:t>7.</w:t>
            </w:r>
          </w:p>
        </w:tc>
        <w:tc>
          <w:tcPr>
            <w:tcW w:w="180" w:type="dxa"/>
            <w:vAlign w:val="bottom"/>
          </w:tcPr>
          <w:p>
            <w:pPr>
              <w:spacing w:after="0"/>
              <w:rPr>
                <w:sz w:val="16"/>
                <w:szCs w:val="16"/>
                <w:color w:val="auto"/>
              </w:rPr>
            </w:pPr>
          </w:p>
        </w:tc>
        <w:tc>
          <w:tcPr>
            <w:tcW w:w="94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1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3"/>
            <w:vMerge w:val="continue"/>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8.</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14,240,237</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14,240,237</w:t>
            </w:r>
            <w:r>
              <w:rPr>
                <w:rFonts w:ascii="Arial" w:cs="Arial" w:eastAsia="Arial" w:hAnsi="Arial"/>
                <w:sz w:val="29"/>
                <w:szCs w:val="29"/>
                <w:color w:val="auto"/>
                <w:w w:val="95"/>
                <w:vertAlign w:val="superscript"/>
              </w:rPr>
              <w:t>2</w:t>
            </w: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9.99%</w:t>
            </w:r>
            <w:r>
              <w:rPr>
                <w:rFonts w:ascii="Arial" w:cs="Arial" w:eastAsia="Arial" w:hAnsi="Arial"/>
                <w:sz w:val="29"/>
                <w:szCs w:val="29"/>
                <w:color w:val="auto"/>
                <w:w w:val="84"/>
                <w:vertAlign w:val="superscript"/>
              </w:rPr>
              <w:t>3</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2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Venrock Healthcare Capital Partners II, L.P., VHCP Co-Investment Holdings II, LLC, Venrock Healthcare Capital Partners EG, L.P., VHCP Management II, LLC, VHCP Management EG, LLC, Nimish Shah and Bong Koh are members of a group for the purposes of this Schedule 13G.</w:t>
      </w:r>
    </w:p>
    <w:p>
      <w:pPr>
        <w:spacing w:after="0" w:line="124" w:lineRule="exact"/>
        <w:rPr>
          <w:sz w:val="20"/>
          <w:szCs w:val="20"/>
          <w:color w:val="auto"/>
        </w:rPr>
      </w:pPr>
    </w:p>
    <w:p>
      <w:pPr>
        <w:ind w:left="340" w:right="80" w:hanging="332"/>
        <w:spacing w:after="0" w:line="269"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Consists of (i) 2,450,448 shares of common stock and 1,277,648 shares of common stock issuable upon conversion of shares of Series D preferred stock held by Venrock Healthcare Capital Partners II, L.P., (ii) 993,096 shares of common stock and 517,785 shares of common stock issuable upon conversion of shares of Series D preferred stock held by VHCP Co-Investment Holdings II, LLC and (iii) 5,916,456 shares of common stock and 3,084,804 shares of common stock issuable upon conversion of shares of Series D preferred stock held by Venrock Healthcare Capital Partners EG, L.P. The share numbers in the preceding sentence represent the maximum number of shares of common stock issuable upon the voluntary conversion of the Reporting Persons’ Series D preferred stock pursuant to the Certificate of Designation for the Series D preferred stock as a result of the blocker provision of the Certificate of Designation described in the following sentence. The Certificate of Designation provides that the holder of Series D preferred stock will not have a right to convert, subject to certain exceptions, the Series D preferred stock for common stock if, as a result of such conversion, the holder, together with its affiliates and other attribution parties, would own more than 9.99% of the total number of shares of common stock then outstanding or, upon 61 days’ notice, 19.99% of the total number of shares of common stock then outstanding. Without giving effect to this blocker provision, the Series D preferred stock owned by the Reporting Persons would be convertible into an aggregate of 6,942,596 shares of common stock.</w:t>
      </w:r>
    </w:p>
    <w:p>
      <w:pPr>
        <w:spacing w:after="0" w:line="179" w:lineRule="exact"/>
        <w:rPr>
          <w:sz w:val="20"/>
          <w:szCs w:val="20"/>
          <w:color w:val="auto"/>
        </w:rPr>
      </w:pPr>
    </w:p>
    <w:p>
      <w:pPr>
        <w:ind w:left="340" w:right="26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percentage is calculated based upon (i) 137,664,676 shares of common stock outstanding after the offering described in the Issuer’s prospectus supplement filed with the Securities and Exchange Commission on December 21, 2020, plus (ii) 4,880,237 shares of common stock issuable upon conversion of the Reporting Persons’ Series 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16"/>
        </w:trPr>
        <w:tc>
          <w:tcPr>
            <w:tcW w:w="1800" w:type="dxa"/>
            <w:vAlign w:val="bottom"/>
            <w:tcBorders>
              <w:left w:val="single" w:sz="8" w:color="FEFEFE"/>
            </w:tcBorders>
            <w:gridSpan w:val="5"/>
            <w:shd w:val="clear" w:color="auto" w:fill="FEFEFE"/>
          </w:tcPr>
          <w:p>
            <w:pPr>
              <w:spacing w:after="0"/>
              <w:rPr>
                <w:sz w:val="20"/>
                <w:szCs w:val="20"/>
                <w:color w:val="auto"/>
              </w:rPr>
            </w:pPr>
            <w:r>
              <w:rPr>
                <w:rFonts w:ascii="Arial" w:cs="Arial" w:eastAsia="Arial" w:hAnsi="Arial"/>
                <w:sz w:val="18"/>
                <w:szCs w:val="18"/>
                <w:b w:val="1"/>
                <w:bCs w:val="1"/>
                <w:color w:val="auto"/>
                <w:w w:val="95"/>
              </w:rPr>
              <w:t>CUSIP No. 92840H202</w:t>
            </w:r>
          </w:p>
        </w:tc>
        <w:tc>
          <w:tcPr>
            <w:tcW w:w="9440" w:type="dxa"/>
            <w:vAlign w:val="bottom"/>
            <w:tcBorders>
              <w:right w:val="single" w:sz="8" w:color="FEFEFE"/>
            </w:tcBorders>
            <w:shd w:val="clear" w:color="auto" w:fill="FEFEFE"/>
          </w:tcPr>
          <w:p>
            <w:pPr>
              <w:ind w:left="8540"/>
              <w:spacing w:after="0"/>
              <w:rPr>
                <w:sz w:val="20"/>
                <w:szCs w:val="20"/>
                <w:color w:val="auto"/>
              </w:rPr>
            </w:pPr>
            <w:r>
              <w:rPr>
                <w:rFonts w:ascii="Arial" w:cs="Arial" w:eastAsia="Arial" w:hAnsi="Arial"/>
                <w:sz w:val="18"/>
                <w:szCs w:val="18"/>
                <w:color w:val="auto"/>
                <w:w w:val="84"/>
              </w:rPr>
              <w:t>Page 3 of 14</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VHCP Co-Investment Holdings II, LLC</w:t>
            </w: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180" w:type="dxa"/>
            <w:vAlign w:val="bottom"/>
            <w:gridSpan w:val="3"/>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6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5.</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1"/>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44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w w:val="92"/>
              </w:rPr>
              <w:t>6.</w:t>
            </w: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14,240,237</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44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w w:val="92"/>
              </w:rPr>
              <w:t>7.</w:t>
            </w:r>
          </w:p>
        </w:tc>
        <w:tc>
          <w:tcPr>
            <w:tcW w:w="180" w:type="dxa"/>
            <w:vAlign w:val="bottom"/>
            <w:tcBorders>
              <w:bottom w:val="single" w:sz="8" w:color="auto"/>
            </w:tcBorders>
          </w:tcPr>
          <w:p>
            <w:pPr>
              <w:spacing w:after="0"/>
              <w:rPr>
                <w:sz w:val="19"/>
                <w:szCs w:val="19"/>
                <w:color w:val="auto"/>
              </w:rPr>
            </w:pPr>
          </w:p>
        </w:tc>
        <w:tc>
          <w:tcPr>
            <w:tcW w:w="94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76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94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1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With:</w:t>
            </w:r>
          </w:p>
        </w:tc>
        <w:tc>
          <w:tcPr>
            <w:tcW w:w="44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w w:val="92"/>
              </w:rPr>
              <w:t>8.</w:t>
            </w:r>
          </w:p>
        </w:tc>
        <w:tc>
          <w:tcPr>
            <w:tcW w:w="180" w:type="dxa"/>
            <w:vAlign w:val="bottom"/>
            <w:tcBorders>
              <w:bottom w:val="single" w:sz="8" w:color="auto"/>
            </w:tcBorders>
          </w:tcPr>
          <w:p>
            <w:pPr>
              <w:spacing w:after="0"/>
              <w:rPr>
                <w:sz w:val="3"/>
                <w:szCs w:val="3"/>
                <w:color w:val="auto"/>
              </w:rPr>
            </w:pPr>
          </w:p>
        </w:tc>
        <w:tc>
          <w:tcPr>
            <w:tcW w:w="9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3"/>
            <w:vMerge w:val="continue"/>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14,240,237</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14,240,237</w:t>
            </w:r>
            <w:r>
              <w:rPr>
                <w:rFonts w:ascii="Arial" w:cs="Arial" w:eastAsia="Arial" w:hAnsi="Arial"/>
                <w:sz w:val="29"/>
                <w:szCs w:val="29"/>
                <w:color w:val="auto"/>
                <w:w w:val="95"/>
                <w:vertAlign w:val="superscript"/>
              </w:rPr>
              <w:t>2</w:t>
            </w: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9.99%</w:t>
            </w:r>
            <w:r>
              <w:rPr>
                <w:rFonts w:ascii="Arial" w:cs="Arial" w:eastAsia="Arial" w:hAnsi="Arial"/>
                <w:sz w:val="29"/>
                <w:szCs w:val="29"/>
                <w:color w:val="auto"/>
                <w:w w:val="84"/>
                <w:vertAlign w:val="superscript"/>
              </w:rPr>
              <w:t>3</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2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Venrock Healthcare Capital Partners II, L.P., VHCP Co-Investment Holdings II, LLC, Venrock Healthcare Capital Partners EG, L.P., VHCP Management II, LLC, VHCP Management EG, LLC, Nimish Shah and Bong Koh are members of a group for the purposes of this Schedule 13G.</w:t>
      </w:r>
    </w:p>
    <w:p>
      <w:pPr>
        <w:spacing w:after="0" w:line="124" w:lineRule="exact"/>
        <w:rPr>
          <w:sz w:val="20"/>
          <w:szCs w:val="20"/>
          <w:color w:val="auto"/>
        </w:rPr>
      </w:pPr>
    </w:p>
    <w:p>
      <w:pPr>
        <w:ind w:left="340" w:right="80" w:hanging="332"/>
        <w:spacing w:after="0" w:line="269"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Consists of (i) 2,450,448 shares of common stock and 1,277,648 shares of common stock issuable upon conversion of shares of Series D preferred stock held by Venrock Healthcare Capital Partners II, L.P., (ii) 993,096 shares of common stock and 517,785 shares of common stock issuable upon conversion of shares of Series D preferred stock held by VHCP Co-Investment Holdings II, LLC and (iii) 5,916,456 shares of common stock and 3,084,804 shares of common stock issuable upon conversion of shares of Series D preferred stock held by Venrock Healthcare Capital Partners EG, L.P. The share numbers in the preceding sentence represent the maximum number of shares of common stock issuable upon the voluntary conversion of the Reporting Persons’ Series D preferred stock pursuant to the Certificate of Designation for the Series D preferred stock as a result of the blocker provision of the Certificate of Designation described in the following sentence. The Certificate of Designation provides that the holder of Series D preferred stock will not have a right to convert, subject to certain exceptions, the Series D preferred stock for common stock if, as a result of such conversion, the holder, together with its affiliates and other attribution parties, would own more than 9.99% of the total number of shares of common stock then outstanding or, upon 61 days’ notice, 19.99% of the total number of shares of common stock then outstanding. Without giving effect to this blocker provision, the Series D preferred stock owned by the Reporting Persons would be convertible into an aggregate of 6,942,596 shares of common stock.</w:t>
      </w:r>
    </w:p>
    <w:p>
      <w:pPr>
        <w:spacing w:after="0" w:line="179" w:lineRule="exact"/>
        <w:rPr>
          <w:sz w:val="20"/>
          <w:szCs w:val="20"/>
          <w:color w:val="auto"/>
        </w:rPr>
      </w:pPr>
    </w:p>
    <w:p>
      <w:pPr>
        <w:ind w:left="340" w:right="26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percentage is calculated based upon (i) 137,664,676 shares of common stock outstanding after the offering described in the Issuer’s prospectus supplement filed with the Securities and Exchange Commission on December 21, 2020, plus (ii) 4,880,237 shares of common stock issuable upon conversion of the Reporting Persons’ Series 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16"/>
        </w:trPr>
        <w:tc>
          <w:tcPr>
            <w:tcW w:w="1800" w:type="dxa"/>
            <w:vAlign w:val="bottom"/>
            <w:tcBorders>
              <w:left w:val="single" w:sz="8" w:color="FEFEFE"/>
            </w:tcBorders>
            <w:gridSpan w:val="5"/>
            <w:shd w:val="clear" w:color="auto" w:fill="FEFEFE"/>
          </w:tcPr>
          <w:p>
            <w:pPr>
              <w:spacing w:after="0"/>
              <w:rPr>
                <w:sz w:val="20"/>
                <w:szCs w:val="20"/>
                <w:color w:val="auto"/>
              </w:rPr>
            </w:pPr>
            <w:r>
              <w:rPr>
                <w:rFonts w:ascii="Arial" w:cs="Arial" w:eastAsia="Arial" w:hAnsi="Arial"/>
                <w:sz w:val="18"/>
                <w:szCs w:val="18"/>
                <w:b w:val="1"/>
                <w:bCs w:val="1"/>
                <w:color w:val="auto"/>
                <w:w w:val="95"/>
              </w:rPr>
              <w:t>CUSIP No. 92840H202</w:t>
            </w:r>
          </w:p>
        </w:tc>
        <w:tc>
          <w:tcPr>
            <w:tcW w:w="9440" w:type="dxa"/>
            <w:vAlign w:val="bottom"/>
            <w:tcBorders>
              <w:right w:val="single" w:sz="8" w:color="FEFEFE"/>
            </w:tcBorders>
            <w:shd w:val="clear" w:color="auto" w:fill="FEFEFE"/>
          </w:tcPr>
          <w:p>
            <w:pPr>
              <w:ind w:left="8540"/>
              <w:spacing w:after="0"/>
              <w:rPr>
                <w:sz w:val="20"/>
                <w:szCs w:val="20"/>
                <w:color w:val="auto"/>
              </w:rPr>
            </w:pPr>
            <w:r>
              <w:rPr>
                <w:rFonts w:ascii="Arial" w:cs="Arial" w:eastAsia="Arial" w:hAnsi="Arial"/>
                <w:sz w:val="18"/>
                <w:szCs w:val="18"/>
                <w:color w:val="auto"/>
                <w:w w:val="84"/>
              </w:rPr>
              <w:t>Page 4 of 14</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Venrock Healthcare Capital Partners EG, L.P.</w:t>
            </w: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180" w:type="dxa"/>
            <w:vAlign w:val="bottom"/>
            <w:gridSpan w:val="3"/>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6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5.</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6.</w:t>
            </w:r>
          </w:p>
        </w:tc>
        <w:tc>
          <w:tcPr>
            <w:tcW w:w="180" w:type="dxa"/>
            <w:vAlign w:val="bottom"/>
          </w:tcPr>
          <w:p>
            <w:pPr>
              <w:spacing w:after="0"/>
              <w:rPr>
                <w:sz w:val="22"/>
                <w:szCs w:val="22"/>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14,240,237</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4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76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92"/>
              </w:rPr>
              <w:t>7.</w:t>
            </w:r>
          </w:p>
        </w:tc>
        <w:tc>
          <w:tcPr>
            <w:tcW w:w="180" w:type="dxa"/>
            <w:vAlign w:val="bottom"/>
          </w:tcPr>
          <w:p>
            <w:pPr>
              <w:spacing w:after="0"/>
              <w:rPr>
                <w:sz w:val="16"/>
                <w:szCs w:val="16"/>
                <w:color w:val="auto"/>
              </w:rPr>
            </w:pPr>
          </w:p>
        </w:tc>
        <w:tc>
          <w:tcPr>
            <w:tcW w:w="94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1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3"/>
            <w:vMerge w:val="continue"/>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8.</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14,240,237</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14,240,237</w:t>
            </w:r>
            <w:r>
              <w:rPr>
                <w:rFonts w:ascii="Arial" w:cs="Arial" w:eastAsia="Arial" w:hAnsi="Arial"/>
                <w:sz w:val="29"/>
                <w:szCs w:val="29"/>
                <w:color w:val="auto"/>
                <w:w w:val="95"/>
                <w:vertAlign w:val="superscript"/>
              </w:rPr>
              <w:t>2</w:t>
            </w: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9.99%</w:t>
            </w:r>
            <w:r>
              <w:rPr>
                <w:rFonts w:ascii="Arial" w:cs="Arial" w:eastAsia="Arial" w:hAnsi="Arial"/>
                <w:sz w:val="29"/>
                <w:szCs w:val="29"/>
                <w:color w:val="auto"/>
                <w:w w:val="84"/>
                <w:vertAlign w:val="superscript"/>
              </w:rPr>
              <w:t>3</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2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Venrock Healthcare Capital Partners II, L.P., VHCP Co-Investment Holdings II, LLC, Venrock Healthcare Capital Partners EG, L.P., VHCP Management II, LLC, VHCP Management EG, LLC, Nimish Shah and Bong Koh are members of a group for the purposes of this Schedule 13G.</w:t>
      </w:r>
    </w:p>
    <w:p>
      <w:pPr>
        <w:spacing w:after="0" w:line="124" w:lineRule="exact"/>
        <w:rPr>
          <w:sz w:val="20"/>
          <w:szCs w:val="20"/>
          <w:color w:val="auto"/>
        </w:rPr>
      </w:pPr>
    </w:p>
    <w:p>
      <w:pPr>
        <w:ind w:left="340" w:right="80" w:hanging="332"/>
        <w:spacing w:after="0" w:line="269"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Consists of (i) 2,450,448 shares of common stock and 1,277,648 shares of common stock issuable upon conversion of shares of Series D preferred stock held by Venrock Healthcare Capital Partners II, L.P., (ii) 993,096 shares of common stock and 517,785 shares of common stock issuable upon conversion of shares of Series D preferred stock held by VHCP Co-Investment Holdings II, LLC and (iii) 5,916,456 shares of common stock and 3,084,804 shares of common stock issuable upon conversion of shares of Series D preferred stock held by Venrock Healthcare Capital Partners EG, L.P. The share numbers in the preceding sentence represent the maximum number of shares of common stock issuable upon the voluntary conversion of the Reporting Persons’ Series D preferred stock pursuant to the Certificate of Designation for the Series D preferred stock as a result of the blocker provision of the Certificate of Designation described in the following sentence. The Certificate of Designation provides that the holder of Series D preferred stock will not have a right to convert, subject to certain exceptions, the Series D preferred stock for common stock if, as a result of such conversion, the holder, together with its affiliates and other attribution parties, would own more than 9.99% of the total number of shares of common stock then outstanding or, upon 61 days’ notice, 19.99% of the total number of shares of common stock then outstanding. Without giving effect to this blocker provision, the Series D preferred stock owned by the Reporting Persons would be convertible into an aggregate of 6,942,596 shares of common stock.</w:t>
      </w:r>
    </w:p>
    <w:p>
      <w:pPr>
        <w:spacing w:after="0" w:line="179" w:lineRule="exact"/>
        <w:rPr>
          <w:sz w:val="20"/>
          <w:szCs w:val="20"/>
          <w:color w:val="auto"/>
        </w:rPr>
      </w:pPr>
    </w:p>
    <w:p>
      <w:pPr>
        <w:ind w:left="340" w:right="26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percentage is calculated based upon (i) 137,664,676 shares of common stock outstanding after the offering described in the Issuer’s prospectus supplement filed with the Securities and Exchange Commission on December 21, 2020, plus (ii) 4,880,237 shares of common stock issuable upon conversion of the Reporting Persons’ Series 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 w:name="page5"/>
    <w:bookmarkEnd w:id="4"/>
    <w:p>
      <w:pPr>
        <w:ind w:left="52"/>
        <w:spacing w:after="0"/>
        <w:tabs>
          <w:tab w:leader="none" w:pos="10312"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5"/>
          <w:szCs w:val="15"/>
          <w:color w:val="auto"/>
        </w:rPr>
        <w:t>Page 5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132320" cy="5563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56323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832" w:right="8340" w:hanging="643"/>
        <w:spacing w:after="0" w:line="440" w:lineRule="auto"/>
        <w:tabs>
          <w:tab w:leader="none" w:pos="8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Name of reporting persons VHCP Management II, LLC</w:t>
      </w:r>
    </w:p>
    <w:p>
      <w:pPr>
        <w:ind w:left="832" w:hanging="643"/>
        <w:spacing w:after="0"/>
        <w:tabs>
          <w:tab w:leader="none" w:pos="8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072" w:hanging="235"/>
        <w:spacing w:after="0" w:line="334" w:lineRule="exact"/>
        <w:tabs>
          <w:tab w:leader="none" w:pos="1072"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51" w:lineRule="exact"/>
        <w:rPr>
          <w:rFonts w:ascii="Arial" w:cs="Arial" w:eastAsia="Arial" w:hAnsi="Arial"/>
          <w:sz w:val="18"/>
          <w:szCs w:val="18"/>
          <w:color w:val="auto"/>
        </w:rPr>
      </w:pPr>
    </w:p>
    <w:p>
      <w:pPr>
        <w:ind w:left="832" w:hanging="643"/>
        <w:spacing w:after="0"/>
        <w:tabs>
          <w:tab w:leader="none" w:pos="8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832" w:right="7760" w:hanging="643"/>
        <w:spacing w:after="0" w:line="391" w:lineRule="auto"/>
        <w:tabs>
          <w:tab w:leader="none" w:pos="8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2252" w:hanging="713"/>
        <w:spacing w:after="0"/>
        <w:tabs>
          <w:tab w:leader="none" w:pos="2252"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332" w:type="dxa"/>
        <w:tblCellMar>
          <w:top w:w="0" w:type="dxa"/>
          <w:left w:w="0" w:type="dxa"/>
          <w:bottom w:w="0" w:type="dxa"/>
          <w:right w:w="0" w:type="dxa"/>
        </w:tblCellMar>
      </w:tblPr>
      <w:tr>
        <w:trPr>
          <w:trHeight w:val="237"/>
        </w:trPr>
        <w:tc>
          <w:tcPr>
            <w:tcW w:w="1160" w:type="dxa"/>
            <w:vAlign w:val="bottom"/>
          </w:tcPr>
          <w:p>
            <w:pPr>
              <w:jc w:val="center"/>
              <w:ind w:right="210"/>
              <w:spacing w:after="0"/>
              <w:rPr>
                <w:sz w:val="20"/>
                <w:szCs w:val="20"/>
                <w:color w:val="auto"/>
              </w:rPr>
            </w:pPr>
            <w:r>
              <w:rPr>
                <w:rFonts w:ascii="Arial" w:cs="Arial" w:eastAsia="Arial" w:hAnsi="Arial"/>
                <w:sz w:val="18"/>
                <w:szCs w:val="18"/>
                <w:color w:val="auto"/>
                <w:w w:val="92"/>
              </w:rPr>
              <w:t>Number of</w:t>
            </w:r>
          </w:p>
        </w:tc>
        <w:tc>
          <w:tcPr>
            <w:tcW w:w="480" w:type="dxa"/>
            <w:vAlign w:val="bottom"/>
            <w:tcBorders>
              <w:bottom w:val="single" w:sz="8" w:color="auto"/>
            </w:tcBorders>
          </w:tcPr>
          <w:p>
            <w:pPr>
              <w:spacing w:after="0"/>
              <w:rPr>
                <w:sz w:val="20"/>
                <w:szCs w:val="20"/>
                <w:color w:val="auto"/>
              </w:rPr>
            </w:pPr>
          </w:p>
        </w:tc>
        <w:tc>
          <w:tcPr>
            <w:tcW w:w="92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84"/>
              </w:rPr>
              <w:t>Shares</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9260" w:type="dxa"/>
            <w:vAlign w:val="bottom"/>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8"/>
                <w:szCs w:val="18"/>
                <w:color w:val="auto"/>
              </w:rPr>
            </w:pPr>
          </w:p>
        </w:tc>
        <w:tc>
          <w:tcPr>
            <w:tcW w:w="9260" w:type="dxa"/>
            <w:vAlign w:val="bottom"/>
            <w:vMerge w:val="restart"/>
          </w:tcPr>
          <w:p>
            <w:pPr>
              <w:ind w:left="280"/>
              <w:spacing w:after="0"/>
              <w:rPr>
                <w:sz w:val="20"/>
                <w:szCs w:val="20"/>
                <w:color w:val="auto"/>
              </w:rPr>
            </w:pPr>
            <w:r>
              <w:rPr>
                <w:rFonts w:ascii="Arial" w:cs="Arial" w:eastAsia="Arial" w:hAnsi="Arial"/>
                <w:sz w:val="18"/>
                <w:szCs w:val="18"/>
                <w:color w:val="auto"/>
              </w:rPr>
              <w:t>14,240,237</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160" w:type="dxa"/>
            <w:vAlign w:val="bottom"/>
          </w:tcPr>
          <w:p>
            <w:pPr>
              <w:jc w:val="center"/>
              <w:ind w:right="21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60" w:type="dxa"/>
            <w:vAlign w:val="bottom"/>
          </w:tcPr>
          <w:p>
            <w:pPr>
              <w:jc w:val="center"/>
              <w:ind w:right="190"/>
              <w:spacing w:after="0" w:line="189" w:lineRule="exact"/>
              <w:rPr>
                <w:sz w:val="20"/>
                <w:szCs w:val="20"/>
                <w:color w:val="auto"/>
              </w:rPr>
            </w:pPr>
            <w:r>
              <w:rPr>
                <w:rFonts w:ascii="Arial" w:cs="Arial" w:eastAsia="Arial" w:hAnsi="Arial"/>
                <w:sz w:val="18"/>
                <w:szCs w:val="18"/>
                <w:color w:val="auto"/>
                <w:w w:val="87"/>
              </w:rPr>
              <w:t>Each</w:t>
            </w:r>
          </w:p>
        </w:tc>
        <w:tc>
          <w:tcPr>
            <w:tcW w:w="480" w:type="dxa"/>
            <w:vAlign w:val="bottom"/>
          </w:tcPr>
          <w:p>
            <w:pPr>
              <w:jc w:val="right"/>
              <w:ind w:right="210"/>
              <w:spacing w:after="0" w:line="189" w:lineRule="exact"/>
              <w:rPr>
                <w:sz w:val="20"/>
                <w:szCs w:val="20"/>
                <w:color w:val="auto"/>
              </w:rPr>
            </w:pPr>
            <w:r>
              <w:rPr>
                <w:rFonts w:ascii="Arial" w:cs="Arial" w:eastAsia="Arial" w:hAnsi="Arial"/>
                <w:sz w:val="18"/>
                <w:szCs w:val="18"/>
                <w:color w:val="auto"/>
              </w:rPr>
              <w:t>7.</w:t>
            </w:r>
          </w:p>
        </w:tc>
        <w:tc>
          <w:tcPr>
            <w:tcW w:w="9260" w:type="dxa"/>
            <w:vAlign w:val="bottom"/>
          </w:tcPr>
          <w:p>
            <w:pPr>
              <w:ind w:left="28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92"/>
              </w:rPr>
              <w:t>Reporting</w:t>
            </w:r>
          </w:p>
        </w:tc>
        <w:tc>
          <w:tcPr>
            <w:tcW w:w="4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26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160" w:type="dxa"/>
            <w:vAlign w:val="bottom"/>
            <w:vMerge w:val="restart"/>
          </w:tcPr>
          <w:p>
            <w:pPr>
              <w:jc w:val="center"/>
              <w:ind w:right="190"/>
              <w:spacing w:after="0"/>
              <w:rPr>
                <w:sz w:val="20"/>
                <w:szCs w:val="20"/>
                <w:color w:val="auto"/>
              </w:rPr>
            </w:pPr>
            <w:r>
              <w:rPr>
                <w:rFonts w:ascii="Arial" w:cs="Arial" w:eastAsia="Arial" w:hAnsi="Arial"/>
                <w:sz w:val="18"/>
                <w:szCs w:val="18"/>
                <w:color w:val="auto"/>
                <w:w w:val="97"/>
              </w:rPr>
              <w:t>With:</w:t>
            </w:r>
          </w:p>
        </w:tc>
        <w:tc>
          <w:tcPr>
            <w:tcW w:w="480" w:type="dxa"/>
            <w:vAlign w:val="bottom"/>
            <w:tcBorders>
              <w:bottom w:val="single" w:sz="8" w:color="auto"/>
            </w:tcBorders>
          </w:tcPr>
          <w:p>
            <w:pPr>
              <w:spacing w:after="0"/>
              <w:rPr>
                <w:sz w:val="3"/>
                <w:szCs w:val="3"/>
                <w:color w:val="auto"/>
              </w:rPr>
            </w:pPr>
          </w:p>
        </w:tc>
        <w:tc>
          <w:tcPr>
            <w:tcW w:w="9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20"/>
                <w:szCs w:val="20"/>
                <w:color w:val="auto"/>
              </w:rPr>
            </w:pP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9260" w:type="dxa"/>
            <w:vAlign w:val="bottom"/>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252"/>
        <w:spacing w:after="0"/>
        <w:rPr>
          <w:sz w:val="20"/>
          <w:szCs w:val="20"/>
          <w:color w:val="auto"/>
        </w:rPr>
      </w:pPr>
      <w:r>
        <w:rPr>
          <w:rFonts w:ascii="Arial" w:cs="Arial" w:eastAsia="Arial" w:hAnsi="Arial"/>
          <w:sz w:val="18"/>
          <w:szCs w:val="18"/>
          <w:color w:val="auto"/>
        </w:rPr>
        <w:t>14,240,237</w:t>
      </w:r>
      <w:r>
        <w:rPr>
          <w:rFonts w:ascii="Arial" w:cs="Arial" w:eastAsia="Arial" w:hAnsi="Arial"/>
          <w:sz w:val="29"/>
          <w:szCs w:val="29"/>
          <w:color w:val="auto"/>
          <w:vertAlign w:val="superscript"/>
        </w:rPr>
        <w:t>2</w:t>
      </w:r>
    </w:p>
    <w:p>
      <w:pPr>
        <w:ind w:left="832" w:right="5600" w:hanging="643"/>
        <w:spacing w:after="0" w:line="317" w:lineRule="auto"/>
        <w:tabs>
          <w:tab w:leader="none" w:pos="8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14,240,237</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color w:val="auto"/>
        </w:rPr>
      </w:pPr>
    </w:p>
    <w:p>
      <w:pPr>
        <w:ind w:left="832" w:hanging="643"/>
        <w:spacing w:after="0" w:line="207" w:lineRule="exact"/>
        <w:tabs>
          <w:tab w:leader="none" w:pos="8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36" w:lineRule="exact"/>
        <w:rPr>
          <w:rFonts w:ascii="Arial" w:cs="Arial" w:eastAsia="Arial" w:hAnsi="Arial"/>
          <w:sz w:val="18"/>
          <w:szCs w:val="18"/>
          <w:color w:val="auto"/>
        </w:rPr>
      </w:pPr>
    </w:p>
    <w:p>
      <w:pPr>
        <w:ind w:left="832" w:right="6600" w:hanging="643"/>
        <w:spacing w:after="0" w:line="324" w:lineRule="auto"/>
        <w:tabs>
          <w:tab w:leader="none" w:pos="8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9.99%</w:t>
      </w:r>
      <w:r>
        <w:rPr>
          <w:rFonts w:ascii="Arial" w:cs="Arial" w:eastAsia="Arial" w:hAnsi="Arial"/>
          <w:sz w:val="29"/>
          <w:szCs w:val="29"/>
          <w:color w:val="auto"/>
          <w:vertAlign w:val="superscript"/>
        </w:rPr>
        <w:t>3</w:t>
      </w:r>
    </w:p>
    <w:p>
      <w:pPr>
        <w:spacing w:after="0" w:line="1" w:lineRule="exact"/>
        <w:rPr>
          <w:rFonts w:ascii="Arial" w:cs="Arial" w:eastAsia="Arial" w:hAnsi="Arial"/>
          <w:sz w:val="18"/>
          <w:szCs w:val="18"/>
          <w:color w:val="auto"/>
        </w:rPr>
      </w:pPr>
    </w:p>
    <w:p>
      <w:pPr>
        <w:ind w:left="832" w:hanging="643"/>
        <w:spacing w:after="0"/>
        <w:tabs>
          <w:tab w:leader="none" w:pos="8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83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2" w:lineRule="exact"/>
        <w:rPr>
          <w:sz w:val="20"/>
          <w:szCs w:val="20"/>
          <w:color w:val="auto"/>
        </w:rPr>
      </w:pPr>
    </w:p>
    <w:p>
      <w:pPr>
        <w:ind w:left="332" w:right="420" w:hanging="332"/>
        <w:spacing w:after="0" w:line="342" w:lineRule="auto"/>
        <w:tabs>
          <w:tab w:leader="none" w:pos="3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Venrock Healthcare Capital Partners II, L.P., VHCP Co-Investment Holdings II, LLC, Venrock Healthcare Capital Partners EG, L.P., VHCP Management II, LLC, VHCP Management EG, LLC, Nimish Shah and Bong Koh are members of a group for the purposes of this Schedule 13G.</w:t>
      </w:r>
    </w:p>
    <w:p>
      <w:pPr>
        <w:spacing w:after="0" w:line="124" w:lineRule="exact"/>
        <w:rPr>
          <w:sz w:val="20"/>
          <w:szCs w:val="20"/>
          <w:color w:val="auto"/>
        </w:rPr>
      </w:pPr>
    </w:p>
    <w:p>
      <w:pPr>
        <w:ind w:left="332" w:right="80" w:hanging="332"/>
        <w:spacing w:after="0" w:line="269" w:lineRule="auto"/>
        <w:tabs>
          <w:tab w:leader="none" w:pos="332"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(i) 2,450,448 shares of common stock and 1,277,648 shares of common stock issuable upon conversion of shares of Series D preferred stock held by Venrock Healthcare Capital Partners II, L.P., (ii) 993,096 shares of common stock and 517,785 shares of common stock issuable upon conversion of shares of Series D preferred stock held by VHCP Co-Investment Holdings II, LLC and (iii) 5,916,456 shares of common stock and 3,084,804 shares of common stock issuable upon conversion of shares of Series D preferred stock held by Venrock Healthcare Capital Partners EG, L.P. The share numbers in the preceding sentence represent the maximum number of shares of common stock issuable upon the voluntary conversion of the Reporting Persons’ Series D preferred stock pursuant to the Certificate of Designation for the Series D preferred stock as a result of the blocker provision of the Certificate of Designation described in the following sentence. The Certificate of Designation provides that the holder of Series D preferred stock will not have a right to convert, subject to certain exceptions, the Series D preferred stock for common stock if, as a result of such conversion, the holder, together with its affiliates and other attribution parties, would own more than 9.99% of the total number of shares of common stock then outstanding or, upon 61 days’ notice, 19.99% of the total number of shares of common stock then outstanding. Without giving effect to this blocker provision, the Series D preferred stock owned by the Reporting Persons would be convertible into an aggregate of 6,942,596 shares of common stock.</w:t>
      </w:r>
    </w:p>
    <w:p>
      <w:pPr>
        <w:spacing w:after="0" w:line="179" w:lineRule="exact"/>
        <w:rPr>
          <w:sz w:val="20"/>
          <w:szCs w:val="20"/>
          <w:color w:val="auto"/>
        </w:rPr>
      </w:pPr>
    </w:p>
    <w:p>
      <w:pPr>
        <w:ind w:left="332" w:right="260" w:hanging="332"/>
        <w:spacing w:after="0" w:line="263" w:lineRule="auto"/>
        <w:tabs>
          <w:tab w:leader="none" w:pos="3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percentage is calculated based upon (i) 137,664,676 shares of common stock outstanding after the offering described in the Issuer’s prospectus supplement filed with the Securities and Exchange Commission on December 21, 2020, plus (ii) 4,880,237 shares of common stock issuable upon conversion of the Reporting Persons’ Series 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6"/>
        </w:trPr>
        <w:tc>
          <w:tcPr>
            <w:tcW w:w="1800" w:type="dxa"/>
            <w:vAlign w:val="bottom"/>
            <w:tcBorders>
              <w:left w:val="single" w:sz="8" w:color="FEFEFE"/>
            </w:tcBorders>
            <w:gridSpan w:val="5"/>
            <w:shd w:val="clear" w:color="auto" w:fill="FEFEFE"/>
          </w:tcPr>
          <w:p>
            <w:pPr>
              <w:spacing w:after="0"/>
              <w:rPr>
                <w:sz w:val="20"/>
                <w:szCs w:val="20"/>
                <w:color w:val="auto"/>
              </w:rPr>
            </w:pPr>
            <w:r>
              <w:rPr>
                <w:rFonts w:ascii="Arial" w:cs="Arial" w:eastAsia="Arial" w:hAnsi="Arial"/>
                <w:sz w:val="18"/>
                <w:szCs w:val="18"/>
                <w:b w:val="1"/>
                <w:bCs w:val="1"/>
                <w:color w:val="auto"/>
                <w:w w:val="95"/>
              </w:rPr>
              <w:t>CUSIP No. 92840H202</w:t>
            </w:r>
          </w:p>
        </w:tc>
        <w:tc>
          <w:tcPr>
            <w:tcW w:w="9440" w:type="dxa"/>
            <w:vAlign w:val="bottom"/>
            <w:tcBorders>
              <w:right w:val="single" w:sz="8" w:color="FEFEFE"/>
            </w:tcBorders>
            <w:shd w:val="clear" w:color="auto" w:fill="FEFEFE"/>
          </w:tcPr>
          <w:p>
            <w:pPr>
              <w:ind w:left="8540"/>
              <w:spacing w:after="0"/>
              <w:rPr>
                <w:sz w:val="20"/>
                <w:szCs w:val="20"/>
                <w:color w:val="auto"/>
              </w:rPr>
            </w:pPr>
            <w:r>
              <w:rPr>
                <w:rFonts w:ascii="Arial" w:cs="Arial" w:eastAsia="Arial" w:hAnsi="Arial"/>
                <w:sz w:val="18"/>
                <w:szCs w:val="18"/>
                <w:color w:val="auto"/>
                <w:w w:val="84"/>
              </w:rPr>
              <w:t>Page 6 of 14</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VHCP Management EG, LLC</w:t>
            </w: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180" w:type="dxa"/>
            <w:vAlign w:val="bottom"/>
            <w:gridSpan w:val="3"/>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6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5.</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6.</w:t>
            </w:r>
          </w:p>
        </w:tc>
        <w:tc>
          <w:tcPr>
            <w:tcW w:w="180" w:type="dxa"/>
            <w:vAlign w:val="bottom"/>
          </w:tcPr>
          <w:p>
            <w:pPr>
              <w:spacing w:after="0"/>
              <w:rPr>
                <w:sz w:val="22"/>
                <w:szCs w:val="22"/>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14,240,237</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4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76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92"/>
              </w:rPr>
              <w:t>7.</w:t>
            </w:r>
          </w:p>
        </w:tc>
        <w:tc>
          <w:tcPr>
            <w:tcW w:w="180" w:type="dxa"/>
            <w:vAlign w:val="bottom"/>
          </w:tcPr>
          <w:p>
            <w:pPr>
              <w:spacing w:after="0"/>
              <w:rPr>
                <w:sz w:val="16"/>
                <w:szCs w:val="16"/>
                <w:color w:val="auto"/>
              </w:rPr>
            </w:pPr>
          </w:p>
        </w:tc>
        <w:tc>
          <w:tcPr>
            <w:tcW w:w="94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1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3"/>
            <w:vMerge w:val="continue"/>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8.</w:t>
            </w:r>
          </w:p>
        </w:tc>
        <w:tc>
          <w:tcPr>
            <w:tcW w:w="180" w:type="dxa"/>
            <w:vAlign w:val="bottom"/>
          </w:tcPr>
          <w:p>
            <w:pPr>
              <w:spacing w:after="0"/>
              <w:rPr>
                <w:sz w:val="20"/>
                <w:szCs w:val="20"/>
                <w:color w:val="auto"/>
              </w:rPr>
            </w:pPr>
          </w:p>
        </w:tc>
        <w:tc>
          <w:tcPr>
            <w:tcW w:w="9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14,240,237</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14,240,237</w:t>
            </w:r>
            <w:r>
              <w:rPr>
                <w:rFonts w:ascii="Arial" w:cs="Arial" w:eastAsia="Arial" w:hAnsi="Arial"/>
                <w:sz w:val="29"/>
                <w:szCs w:val="29"/>
                <w:color w:val="auto"/>
                <w:w w:val="95"/>
                <w:vertAlign w:val="superscript"/>
              </w:rPr>
              <w:t>2</w:t>
            </w: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9.99%</w:t>
            </w:r>
            <w:r>
              <w:rPr>
                <w:rFonts w:ascii="Arial" w:cs="Arial" w:eastAsia="Arial" w:hAnsi="Arial"/>
                <w:sz w:val="29"/>
                <w:szCs w:val="29"/>
                <w:color w:val="auto"/>
                <w:w w:val="84"/>
                <w:vertAlign w:val="superscript"/>
              </w:rPr>
              <w:t>3</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Venrock Healthcare Capital Partners II, L.P., VHCP Co-Investment Holdings II, LLC, Venrock Healthcare Capital Partners EG, L.P., VHCP Management II, LLC, VHCP Management EG, LLC, Nimish Shah and Bong Koh are members of a group for the purposes of this Schedule 13G.</w:t>
      </w:r>
    </w:p>
    <w:p>
      <w:pPr>
        <w:spacing w:after="0" w:line="124" w:lineRule="exact"/>
        <w:rPr>
          <w:sz w:val="20"/>
          <w:szCs w:val="20"/>
          <w:color w:val="auto"/>
        </w:rPr>
      </w:pPr>
    </w:p>
    <w:p>
      <w:pPr>
        <w:ind w:left="340" w:right="80" w:hanging="332"/>
        <w:spacing w:after="0" w:line="269"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(i) 2,450,448 shares of common stock and 1,277,648 shares of common stock issuable upon conversion of shares of Series D preferred stock held by Venrock Healthcare Capital Partners II, L.P., (ii) 993,096 shares of common stock and 517,785 shares of common stock issuable upon conversion of shares of Series D preferred stock held by VHCP Co-Investment Holdings II, LLC and (iii) 5,916,456 shares of common stock and 3,084,804 shares of common stock issuable upon conversion of shares of Series D preferred stock held by Venrock Healthcare Capital Partners EG, L.P. The share numbers in the preceding sentence represent the maximum number of shares of common stock issuable upon the voluntary conversion of the Reporting Persons’ Series D preferred stock pursuant to the Certificate of Designation for the Series D preferred stock as a result of the blocker provision of the Certificate of Designation described in the following sentence. The Certificate of Designation provides that the holder of Series D preferred stock will not have a right to convert, subject to certain exceptions, the Series D preferred stock for common stock if, as a result of such conversion, the holder, together with its affiliates and other attribution parties, would own more than 9.99% of the total number of shares of common stock then outstanding or, upon 61 days’ notice, 19.99% of the total number of shares of common stock then outstanding. Without giving effect to this blocker provision, the Series D preferred stock owned by the Reporting Persons would be convertible into an aggregate of 6,942,596 shares of common stock.</w:t>
      </w:r>
    </w:p>
    <w:p>
      <w:pPr>
        <w:spacing w:after="0" w:line="179" w:lineRule="exact"/>
        <w:rPr>
          <w:sz w:val="20"/>
          <w:szCs w:val="20"/>
          <w:color w:val="auto"/>
        </w:rPr>
      </w:pPr>
    </w:p>
    <w:p>
      <w:pPr>
        <w:ind w:left="340" w:right="26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percentage is calculated based upon (i) 137,664,676 shares of common stock outstanding after the offering described in the Issuer’s prospectus supplement filed with the Securities and Exchange Commission on December 21, 2020, plus (ii) 4,880,237 shares of common stock issuable upon conversion of the Reporting Persons’ Series 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16"/>
        </w:trPr>
        <w:tc>
          <w:tcPr>
            <w:tcW w:w="8700" w:type="dxa"/>
            <w:vAlign w:val="bottom"/>
            <w:tcBorders>
              <w:left w:val="single" w:sz="8" w:color="FEFEFE"/>
            </w:tcBorders>
            <w:gridSpan w:val="5"/>
            <w:shd w:val="clear" w:color="auto" w:fill="FEFEFE"/>
          </w:tcPr>
          <w:p>
            <w:pPr>
              <w:spacing w:after="0"/>
              <w:rPr>
                <w:sz w:val="20"/>
                <w:szCs w:val="20"/>
                <w:color w:val="auto"/>
              </w:rPr>
            </w:pPr>
            <w:r>
              <w:rPr>
                <w:rFonts w:ascii="Arial" w:cs="Arial" w:eastAsia="Arial" w:hAnsi="Arial"/>
                <w:sz w:val="18"/>
                <w:szCs w:val="18"/>
                <w:b w:val="1"/>
                <w:bCs w:val="1"/>
                <w:color w:val="auto"/>
              </w:rPr>
              <w:t>CUSIP No. 92840H202</w:t>
            </w:r>
          </w:p>
        </w:tc>
        <w:tc>
          <w:tcPr>
            <w:tcW w:w="2540" w:type="dxa"/>
            <w:vAlign w:val="bottom"/>
            <w:tcBorders>
              <w:right w:val="single" w:sz="8" w:color="FEFEFE"/>
            </w:tcBorders>
            <w:shd w:val="clear" w:color="auto" w:fill="FEFEFE"/>
          </w:tcPr>
          <w:p>
            <w:pPr>
              <w:ind w:left="1640"/>
              <w:spacing w:after="0"/>
              <w:rPr>
                <w:sz w:val="20"/>
                <w:szCs w:val="20"/>
                <w:color w:val="auto"/>
              </w:rPr>
            </w:pPr>
            <w:r>
              <w:rPr>
                <w:rFonts w:ascii="Arial" w:cs="Arial" w:eastAsia="Arial" w:hAnsi="Arial"/>
                <w:sz w:val="18"/>
                <w:szCs w:val="18"/>
                <w:color w:val="auto"/>
                <w:w w:val="84"/>
              </w:rPr>
              <w:t>Page 7 of 14</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520" w:type="dxa"/>
            <w:vAlign w:val="bottom"/>
            <w:tcBorders>
              <w:bottom w:val="single" w:sz="8" w:color="auto"/>
            </w:tcBorders>
            <w:gridSpan w:val="2"/>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vMerge w:val="restart"/>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520" w:type="dxa"/>
            <w:vAlign w:val="bottom"/>
            <w:gridSpan w:val="2"/>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continue"/>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Name of Reporting Persons</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Shah, Nimish</w:t>
            </w:r>
          </w:p>
        </w:tc>
        <w:tc>
          <w:tcPr>
            <w:tcW w:w="7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8080" w:type="dxa"/>
            <w:vAlign w:val="bottom"/>
            <w:gridSpan w:val="3"/>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00" w:type="dxa"/>
            <w:vAlign w:val="bottom"/>
            <w:gridSpan w:val="2"/>
          </w:tcPr>
          <w:p>
            <w:pPr>
              <w:spacing w:after="0" w:line="334"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29"/>
                <w:szCs w:val="29"/>
                <w:color w:val="auto"/>
                <w:w w:val="90"/>
                <w:vertAlign w:val="superscript"/>
              </w:rPr>
              <w:t>1</w:t>
            </w:r>
            <w:r>
              <w:rPr>
                <w:rFonts w:ascii="Arial" w:cs="Arial" w:eastAsia="Arial" w:hAnsi="Arial"/>
                <w:sz w:val="18"/>
                <w:szCs w:val="18"/>
                <w:color w:val="auto"/>
                <w:w w:val="90"/>
              </w:rPr>
              <w:t xml:space="preserve"> (b) </w:t>
            </w:r>
            <w:r>
              <w:rPr>
                <w:rFonts w:ascii="MS PGothic" w:cs="MS PGothic" w:eastAsia="MS PGothic" w:hAnsi="MS PGothic"/>
                <w:sz w:val="18"/>
                <w:szCs w:val="18"/>
                <w:color w:val="auto"/>
                <w:w w:val="90"/>
              </w:rPr>
              <w:t>☐</w:t>
            </w:r>
          </w:p>
        </w:tc>
        <w:tc>
          <w:tcPr>
            <w:tcW w:w="7080" w:type="dxa"/>
            <w:vAlign w:val="bottom"/>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520" w:type="dxa"/>
            <w:vAlign w:val="bottom"/>
            <w:tcBorders>
              <w:bottom w:val="single" w:sz="8" w:color="auto"/>
            </w:tcBorders>
            <w:gridSpan w:val="2"/>
          </w:tcPr>
          <w:p>
            <w:pPr>
              <w:spacing w:after="0"/>
              <w:rPr>
                <w:sz w:val="8"/>
                <w:szCs w:val="8"/>
                <w:color w:val="auto"/>
              </w:rPr>
            </w:pPr>
          </w:p>
        </w:tc>
        <w:tc>
          <w:tcPr>
            <w:tcW w:w="2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520" w:type="dxa"/>
            <w:vAlign w:val="bottom"/>
            <w:tcBorders>
              <w:bottom w:val="single" w:sz="8" w:color="auto"/>
            </w:tcBorders>
            <w:gridSpan w:val="2"/>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United States</w:t>
            </w:r>
          </w:p>
        </w:tc>
        <w:tc>
          <w:tcPr>
            <w:tcW w:w="7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5.</w:t>
            </w:r>
          </w:p>
        </w:tc>
        <w:tc>
          <w:tcPr>
            <w:tcW w:w="70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7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6.</w:t>
            </w:r>
          </w:p>
        </w:tc>
        <w:tc>
          <w:tcPr>
            <w:tcW w:w="70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25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7080" w:type="dxa"/>
            <w:vAlign w:val="bottom"/>
            <w:vMerge w:val="restart"/>
          </w:tcPr>
          <w:p>
            <w:pPr>
              <w:ind w:left="80"/>
              <w:spacing w:after="0"/>
              <w:rPr>
                <w:sz w:val="20"/>
                <w:szCs w:val="20"/>
                <w:color w:val="auto"/>
              </w:rPr>
            </w:pPr>
            <w:r>
              <w:rPr>
                <w:rFonts w:ascii="Arial" w:cs="Arial" w:eastAsia="Arial" w:hAnsi="Arial"/>
                <w:sz w:val="18"/>
                <w:szCs w:val="18"/>
                <w:color w:val="auto"/>
              </w:rPr>
              <w:t>14,240,237</w:t>
            </w:r>
            <w:r>
              <w:rPr>
                <w:rFonts w:ascii="Arial" w:cs="Arial" w:eastAsia="Arial" w:hAnsi="Arial"/>
                <w:sz w:val="29"/>
                <w:szCs w:val="29"/>
                <w:color w:val="auto"/>
                <w:vertAlign w:val="superscript"/>
              </w:rPr>
              <w:t>2</w:t>
            </w: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Owned by</w:t>
            </w:r>
          </w:p>
        </w:tc>
        <w:tc>
          <w:tcPr>
            <w:tcW w:w="440" w:type="dxa"/>
            <w:vAlign w:val="bottom"/>
            <w:tcBorders>
              <w:bottom w:val="single" w:sz="8" w:color="auto"/>
              <w:right w:val="single" w:sz="8" w:color="auto"/>
            </w:tcBorders>
          </w:tcPr>
          <w:p>
            <w:pPr>
              <w:spacing w:after="0"/>
              <w:rPr>
                <w:sz w:val="19"/>
                <w:szCs w:val="19"/>
                <w:color w:val="auto"/>
              </w:rPr>
            </w:pPr>
          </w:p>
        </w:tc>
        <w:tc>
          <w:tcPr>
            <w:tcW w:w="7080" w:type="dxa"/>
            <w:vAlign w:val="bottom"/>
            <w:tcBorders>
              <w:bottom w:val="single" w:sz="8" w:color="auto"/>
            </w:tcBorders>
            <w:vMerge w:val="continue"/>
          </w:tcPr>
          <w:p>
            <w:pPr>
              <w:spacing w:after="0"/>
              <w:rPr>
                <w:sz w:val="19"/>
                <w:szCs w:val="19"/>
                <w:color w:val="auto"/>
              </w:rPr>
            </w:pPr>
          </w:p>
        </w:tc>
        <w:tc>
          <w:tcPr>
            <w:tcW w:w="2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76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92"/>
              </w:rPr>
              <w:t>7.</w:t>
            </w:r>
          </w:p>
        </w:tc>
        <w:tc>
          <w:tcPr>
            <w:tcW w:w="7080" w:type="dxa"/>
            <w:vAlign w:val="bottom"/>
          </w:tcPr>
          <w:p>
            <w:pPr>
              <w:ind w:left="80"/>
              <w:spacing w:after="0" w:line="189" w:lineRule="exact"/>
              <w:rPr>
                <w:sz w:val="20"/>
                <w:szCs w:val="20"/>
                <w:color w:val="auto"/>
              </w:rPr>
            </w:pPr>
            <w:r>
              <w:rPr>
                <w:rFonts w:ascii="Arial" w:cs="Arial" w:eastAsia="Arial" w:hAnsi="Arial"/>
                <w:sz w:val="18"/>
                <w:szCs w:val="18"/>
                <w:color w:val="auto"/>
              </w:rPr>
              <w:t>Sole Dispositive Power</w:t>
            </w:r>
          </w:p>
        </w:tc>
        <w:tc>
          <w:tcPr>
            <w:tcW w:w="2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708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Person</w:t>
            </w:r>
          </w:p>
        </w:tc>
        <w:tc>
          <w:tcPr>
            <w:tcW w:w="440" w:type="dxa"/>
            <w:vAlign w:val="bottom"/>
            <w:tcBorders>
              <w:right w:val="single" w:sz="8" w:color="auto"/>
            </w:tcBorders>
          </w:tcPr>
          <w:p>
            <w:pPr>
              <w:spacing w:after="0"/>
              <w:rPr>
                <w:sz w:val="18"/>
                <w:szCs w:val="18"/>
                <w:color w:val="auto"/>
              </w:rPr>
            </w:pPr>
          </w:p>
        </w:tc>
        <w:tc>
          <w:tcPr>
            <w:tcW w:w="7080" w:type="dxa"/>
            <w:vAlign w:val="bottom"/>
          </w:tcPr>
          <w:p>
            <w:pPr>
              <w:ind w:left="80"/>
              <w:spacing w:after="0"/>
              <w:rPr>
                <w:sz w:val="20"/>
                <w:szCs w:val="20"/>
                <w:color w:val="auto"/>
              </w:rPr>
            </w:pPr>
            <w:r>
              <w:rPr>
                <w:rFonts w:ascii="Arial" w:cs="Arial" w:eastAsia="Arial" w:hAnsi="Arial"/>
                <w:sz w:val="18"/>
                <w:szCs w:val="18"/>
                <w:color w:val="auto"/>
              </w:rPr>
              <w:t>0</w:t>
            </w: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1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With:</w:t>
            </w:r>
          </w:p>
        </w:tc>
        <w:tc>
          <w:tcPr>
            <w:tcW w:w="440" w:type="dxa"/>
            <w:vAlign w:val="bottom"/>
            <w:tcBorders>
              <w:bottom w:val="single" w:sz="8" w:color="auto"/>
              <w:right w:val="single" w:sz="8" w:color="auto"/>
            </w:tcBorders>
          </w:tcPr>
          <w:p>
            <w:pPr>
              <w:spacing w:after="0"/>
              <w:rPr>
                <w:sz w:val="3"/>
                <w:szCs w:val="3"/>
                <w:color w:val="auto"/>
              </w:rPr>
            </w:pPr>
          </w:p>
        </w:tc>
        <w:tc>
          <w:tcPr>
            <w:tcW w:w="7080" w:type="dxa"/>
            <w:vAlign w:val="bottom"/>
            <w:tcBorders>
              <w:bottom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3"/>
            <w:vMerge w:val="continue"/>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8.</w:t>
            </w:r>
          </w:p>
        </w:tc>
        <w:tc>
          <w:tcPr>
            <w:tcW w:w="70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7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14,240,237</w:t>
            </w:r>
            <w:r>
              <w:rPr>
                <w:rFonts w:ascii="Arial" w:cs="Arial" w:eastAsia="Arial" w:hAnsi="Arial"/>
                <w:sz w:val="29"/>
                <w:szCs w:val="29"/>
                <w:color w:val="auto"/>
                <w:vertAlign w:val="superscript"/>
              </w:rPr>
              <w:t>2</w:t>
            </w: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14,240,237</w:t>
            </w:r>
            <w:r>
              <w:rPr>
                <w:rFonts w:ascii="Arial" w:cs="Arial" w:eastAsia="Arial" w:hAnsi="Arial"/>
                <w:sz w:val="29"/>
                <w:szCs w:val="29"/>
                <w:color w:val="auto"/>
                <w:w w:val="95"/>
                <w:vertAlign w:val="superscript"/>
              </w:rPr>
              <w:t>2</w:t>
            </w:r>
          </w:p>
        </w:tc>
        <w:tc>
          <w:tcPr>
            <w:tcW w:w="7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808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80" w:type="dxa"/>
            <w:vAlign w:val="bottom"/>
            <w:tcBorders>
              <w:bottom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9.99%</w:t>
            </w:r>
            <w:r>
              <w:rPr>
                <w:rFonts w:ascii="Arial" w:cs="Arial" w:eastAsia="Arial" w:hAnsi="Arial"/>
                <w:sz w:val="29"/>
                <w:szCs w:val="29"/>
                <w:color w:val="auto"/>
                <w:w w:val="84"/>
                <w:vertAlign w:val="superscript"/>
              </w:rPr>
              <w:t>3</w:t>
            </w:r>
          </w:p>
        </w:tc>
        <w:tc>
          <w:tcPr>
            <w:tcW w:w="44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44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2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Venrock Healthcare Capital Partners II, L.P., VHCP Co-Investment Holdings II, LLC, Venrock Healthcare Capital Partners EG, L.P., VHCP Management II, LLC, VHCP Management EG, LLC, Nimish Shah and Bong Koh are members of a group for the purposes of this Schedule 13G.</w:t>
      </w:r>
    </w:p>
    <w:p>
      <w:pPr>
        <w:spacing w:after="0" w:line="124" w:lineRule="exact"/>
        <w:rPr>
          <w:sz w:val="20"/>
          <w:szCs w:val="20"/>
          <w:color w:val="auto"/>
        </w:rPr>
      </w:pPr>
    </w:p>
    <w:p>
      <w:pPr>
        <w:ind w:left="340" w:right="80" w:hanging="332"/>
        <w:spacing w:after="0" w:line="269"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Consists of (i) 2,450,448 shares of common stock and 1,277,648 shares of common stock issuable upon conversion of shares of Series D preferred stock held by Venrock Healthcare Capital Partners II, L.P., (ii) 993,096 shares of common stock and 517,785 shares of common stock issuable upon conversion of shares of Series D preferred stock held by VHCP Co-Investment Holdings II, LLC and (iii) 5,916,456 shares of common stock and 3,084,804 shares of common stock issuable upon conversion of shares of Series D preferred stock held by Venrock Healthcare Capital Partners EG, L.P. The share numbers in the preceding sentence represent the maximum number of shares of common stock issuable upon the voluntary conversion of the Reporting Persons’ Series D preferred stock pursuant to the Certificate of Designation for the Series D preferred stock as a result of the blocker provision of the Certificate of Designation described in the following sentence. The Certificate of Designation provides that the holder of Series D preferred stock will not have a right to convert, subject to certain exceptions, the Series D preferred stock for common stock if, as a result of such conversion, the holder, together with its affiliates and other attribution parties, would own more than 9.99% of the total number of shares of common stock then outstanding or, upon 61 days’ notice, 19.99% of the total number of shares of common stock then outstanding. Without giving effect to this blocker provision, the Series D preferred stock owned by the Reporting Persons would be convertible into an aggregate of 6,942,596 shares of common stock.</w:t>
      </w:r>
    </w:p>
    <w:p>
      <w:pPr>
        <w:spacing w:after="0" w:line="179" w:lineRule="exact"/>
        <w:rPr>
          <w:sz w:val="20"/>
          <w:szCs w:val="20"/>
          <w:color w:val="auto"/>
        </w:rPr>
      </w:pPr>
    </w:p>
    <w:p>
      <w:pPr>
        <w:ind w:left="340" w:right="26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percentage is calculated based upon (i) 137,664,676 shares of common stock outstanding after the offering described in the Issuer’s prospectus supplement filed with the Securities and Exchange Commission on December 21, 2020, plus (ii) 4,880,237 shares of common stock issuable upon conversion of the Reporting Persons’ Series 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16"/>
        </w:trPr>
        <w:tc>
          <w:tcPr>
            <w:tcW w:w="8700" w:type="dxa"/>
            <w:vAlign w:val="bottom"/>
            <w:tcBorders>
              <w:left w:val="single" w:sz="8" w:color="FEFEFE"/>
            </w:tcBorders>
            <w:gridSpan w:val="5"/>
            <w:shd w:val="clear" w:color="auto" w:fill="FEFEFE"/>
          </w:tcPr>
          <w:p>
            <w:pPr>
              <w:spacing w:after="0"/>
              <w:rPr>
                <w:sz w:val="20"/>
                <w:szCs w:val="20"/>
                <w:color w:val="auto"/>
              </w:rPr>
            </w:pPr>
            <w:r>
              <w:rPr>
                <w:rFonts w:ascii="Arial" w:cs="Arial" w:eastAsia="Arial" w:hAnsi="Arial"/>
                <w:sz w:val="18"/>
                <w:szCs w:val="18"/>
                <w:b w:val="1"/>
                <w:bCs w:val="1"/>
                <w:color w:val="auto"/>
              </w:rPr>
              <w:t>CUSIP No. 92840H202</w:t>
            </w:r>
          </w:p>
        </w:tc>
        <w:tc>
          <w:tcPr>
            <w:tcW w:w="2540" w:type="dxa"/>
            <w:vAlign w:val="bottom"/>
            <w:tcBorders>
              <w:right w:val="single" w:sz="8" w:color="FEFEFE"/>
            </w:tcBorders>
            <w:shd w:val="clear" w:color="auto" w:fill="FEFEFE"/>
          </w:tcPr>
          <w:p>
            <w:pPr>
              <w:ind w:left="1640"/>
              <w:spacing w:after="0"/>
              <w:rPr>
                <w:sz w:val="20"/>
                <w:szCs w:val="20"/>
                <w:color w:val="auto"/>
              </w:rPr>
            </w:pPr>
            <w:r>
              <w:rPr>
                <w:rFonts w:ascii="Arial" w:cs="Arial" w:eastAsia="Arial" w:hAnsi="Arial"/>
                <w:sz w:val="18"/>
                <w:szCs w:val="18"/>
                <w:color w:val="auto"/>
                <w:w w:val="84"/>
              </w:rPr>
              <w:t>Page 8 of 14</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520" w:type="dxa"/>
            <w:vAlign w:val="bottom"/>
            <w:tcBorders>
              <w:bottom w:val="single" w:sz="8" w:color="auto"/>
            </w:tcBorders>
            <w:gridSpan w:val="2"/>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vMerge w:val="restart"/>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520" w:type="dxa"/>
            <w:vAlign w:val="bottom"/>
            <w:gridSpan w:val="2"/>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vMerge w:val="continue"/>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Name of Reporting Persons</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Koh, Bong</w:t>
            </w:r>
          </w:p>
        </w:tc>
        <w:tc>
          <w:tcPr>
            <w:tcW w:w="7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8080" w:type="dxa"/>
            <w:vAlign w:val="bottom"/>
            <w:gridSpan w:val="3"/>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00" w:type="dxa"/>
            <w:vAlign w:val="bottom"/>
            <w:gridSpan w:val="2"/>
          </w:tcPr>
          <w:p>
            <w:pPr>
              <w:spacing w:after="0" w:line="334"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29"/>
                <w:szCs w:val="29"/>
                <w:color w:val="auto"/>
                <w:w w:val="90"/>
                <w:vertAlign w:val="superscript"/>
              </w:rPr>
              <w:t>1</w:t>
            </w:r>
            <w:r>
              <w:rPr>
                <w:rFonts w:ascii="Arial" w:cs="Arial" w:eastAsia="Arial" w:hAnsi="Arial"/>
                <w:sz w:val="18"/>
                <w:szCs w:val="18"/>
                <w:color w:val="auto"/>
                <w:w w:val="90"/>
              </w:rPr>
              <w:t xml:space="preserve"> (b) </w:t>
            </w:r>
            <w:r>
              <w:rPr>
                <w:rFonts w:ascii="MS PGothic" w:cs="MS PGothic" w:eastAsia="MS PGothic" w:hAnsi="MS PGothic"/>
                <w:sz w:val="18"/>
                <w:szCs w:val="18"/>
                <w:color w:val="auto"/>
                <w:w w:val="90"/>
              </w:rPr>
              <w:t>☐</w:t>
            </w:r>
          </w:p>
        </w:tc>
        <w:tc>
          <w:tcPr>
            <w:tcW w:w="7080" w:type="dxa"/>
            <w:vAlign w:val="bottom"/>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520" w:type="dxa"/>
            <w:vAlign w:val="bottom"/>
            <w:tcBorders>
              <w:bottom w:val="single" w:sz="8" w:color="auto"/>
            </w:tcBorders>
            <w:gridSpan w:val="2"/>
          </w:tcPr>
          <w:p>
            <w:pPr>
              <w:spacing w:after="0"/>
              <w:rPr>
                <w:sz w:val="8"/>
                <w:szCs w:val="8"/>
                <w:color w:val="auto"/>
              </w:rPr>
            </w:pPr>
          </w:p>
        </w:tc>
        <w:tc>
          <w:tcPr>
            <w:tcW w:w="2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520" w:type="dxa"/>
            <w:vAlign w:val="bottom"/>
            <w:tcBorders>
              <w:bottom w:val="single" w:sz="8" w:color="auto"/>
            </w:tcBorders>
            <w:gridSpan w:val="2"/>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United States</w:t>
            </w:r>
          </w:p>
        </w:tc>
        <w:tc>
          <w:tcPr>
            <w:tcW w:w="7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5.</w:t>
            </w:r>
          </w:p>
        </w:tc>
        <w:tc>
          <w:tcPr>
            <w:tcW w:w="70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7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6.</w:t>
            </w:r>
          </w:p>
        </w:tc>
        <w:tc>
          <w:tcPr>
            <w:tcW w:w="70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25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7080" w:type="dxa"/>
            <w:vAlign w:val="bottom"/>
            <w:vMerge w:val="restart"/>
          </w:tcPr>
          <w:p>
            <w:pPr>
              <w:ind w:left="80"/>
              <w:spacing w:after="0"/>
              <w:rPr>
                <w:sz w:val="20"/>
                <w:szCs w:val="20"/>
                <w:color w:val="auto"/>
              </w:rPr>
            </w:pPr>
            <w:r>
              <w:rPr>
                <w:rFonts w:ascii="Arial" w:cs="Arial" w:eastAsia="Arial" w:hAnsi="Arial"/>
                <w:sz w:val="18"/>
                <w:szCs w:val="18"/>
                <w:color w:val="auto"/>
              </w:rPr>
              <w:t>14,240,237</w:t>
            </w:r>
            <w:r>
              <w:rPr>
                <w:rFonts w:ascii="Arial" w:cs="Arial" w:eastAsia="Arial" w:hAnsi="Arial"/>
                <w:sz w:val="29"/>
                <w:szCs w:val="29"/>
                <w:color w:val="auto"/>
                <w:vertAlign w:val="superscript"/>
              </w:rPr>
              <w:t>2</w:t>
            </w: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Owned by</w:t>
            </w:r>
          </w:p>
        </w:tc>
        <w:tc>
          <w:tcPr>
            <w:tcW w:w="440" w:type="dxa"/>
            <w:vAlign w:val="bottom"/>
            <w:tcBorders>
              <w:bottom w:val="single" w:sz="8" w:color="auto"/>
              <w:right w:val="single" w:sz="8" w:color="auto"/>
            </w:tcBorders>
          </w:tcPr>
          <w:p>
            <w:pPr>
              <w:spacing w:after="0"/>
              <w:rPr>
                <w:sz w:val="19"/>
                <w:szCs w:val="19"/>
                <w:color w:val="auto"/>
              </w:rPr>
            </w:pPr>
          </w:p>
        </w:tc>
        <w:tc>
          <w:tcPr>
            <w:tcW w:w="7080" w:type="dxa"/>
            <w:vAlign w:val="bottom"/>
            <w:tcBorders>
              <w:bottom w:val="single" w:sz="8" w:color="auto"/>
            </w:tcBorders>
            <w:vMerge w:val="continue"/>
          </w:tcPr>
          <w:p>
            <w:pPr>
              <w:spacing w:after="0"/>
              <w:rPr>
                <w:sz w:val="19"/>
                <w:szCs w:val="19"/>
                <w:color w:val="auto"/>
              </w:rPr>
            </w:pPr>
          </w:p>
        </w:tc>
        <w:tc>
          <w:tcPr>
            <w:tcW w:w="2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76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92"/>
              </w:rPr>
              <w:t>7.</w:t>
            </w:r>
          </w:p>
        </w:tc>
        <w:tc>
          <w:tcPr>
            <w:tcW w:w="7080" w:type="dxa"/>
            <w:vAlign w:val="bottom"/>
          </w:tcPr>
          <w:p>
            <w:pPr>
              <w:ind w:left="80"/>
              <w:spacing w:after="0" w:line="189" w:lineRule="exact"/>
              <w:rPr>
                <w:sz w:val="20"/>
                <w:szCs w:val="20"/>
                <w:color w:val="auto"/>
              </w:rPr>
            </w:pPr>
            <w:r>
              <w:rPr>
                <w:rFonts w:ascii="Arial" w:cs="Arial" w:eastAsia="Arial" w:hAnsi="Arial"/>
                <w:sz w:val="18"/>
                <w:szCs w:val="18"/>
                <w:color w:val="auto"/>
              </w:rPr>
              <w:t>Sole Dispositive Power</w:t>
            </w:r>
          </w:p>
        </w:tc>
        <w:tc>
          <w:tcPr>
            <w:tcW w:w="2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708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Person</w:t>
            </w:r>
          </w:p>
        </w:tc>
        <w:tc>
          <w:tcPr>
            <w:tcW w:w="440" w:type="dxa"/>
            <w:vAlign w:val="bottom"/>
            <w:tcBorders>
              <w:right w:val="single" w:sz="8" w:color="auto"/>
            </w:tcBorders>
          </w:tcPr>
          <w:p>
            <w:pPr>
              <w:spacing w:after="0"/>
              <w:rPr>
                <w:sz w:val="18"/>
                <w:szCs w:val="18"/>
                <w:color w:val="auto"/>
              </w:rPr>
            </w:pPr>
          </w:p>
        </w:tc>
        <w:tc>
          <w:tcPr>
            <w:tcW w:w="7080" w:type="dxa"/>
            <w:vAlign w:val="bottom"/>
          </w:tcPr>
          <w:p>
            <w:pPr>
              <w:ind w:left="80"/>
              <w:spacing w:after="0"/>
              <w:rPr>
                <w:sz w:val="20"/>
                <w:szCs w:val="20"/>
                <w:color w:val="auto"/>
              </w:rPr>
            </w:pPr>
            <w:r>
              <w:rPr>
                <w:rFonts w:ascii="Arial" w:cs="Arial" w:eastAsia="Arial" w:hAnsi="Arial"/>
                <w:sz w:val="18"/>
                <w:szCs w:val="18"/>
                <w:color w:val="auto"/>
              </w:rPr>
              <w:t>0</w:t>
            </w: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1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With:</w:t>
            </w:r>
          </w:p>
        </w:tc>
        <w:tc>
          <w:tcPr>
            <w:tcW w:w="440" w:type="dxa"/>
            <w:vAlign w:val="bottom"/>
            <w:tcBorders>
              <w:bottom w:val="single" w:sz="8" w:color="auto"/>
              <w:right w:val="single" w:sz="8" w:color="auto"/>
            </w:tcBorders>
          </w:tcPr>
          <w:p>
            <w:pPr>
              <w:spacing w:after="0"/>
              <w:rPr>
                <w:sz w:val="3"/>
                <w:szCs w:val="3"/>
                <w:color w:val="auto"/>
              </w:rPr>
            </w:pPr>
          </w:p>
        </w:tc>
        <w:tc>
          <w:tcPr>
            <w:tcW w:w="7080" w:type="dxa"/>
            <w:vAlign w:val="bottom"/>
            <w:tcBorders>
              <w:bottom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gridSpan w:val="3"/>
            <w:vMerge w:val="continue"/>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8.</w:t>
            </w:r>
          </w:p>
        </w:tc>
        <w:tc>
          <w:tcPr>
            <w:tcW w:w="70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7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14,240,237</w:t>
            </w:r>
            <w:r>
              <w:rPr>
                <w:rFonts w:ascii="Arial" w:cs="Arial" w:eastAsia="Arial" w:hAnsi="Arial"/>
                <w:sz w:val="29"/>
                <w:szCs w:val="29"/>
                <w:color w:val="auto"/>
                <w:vertAlign w:val="superscript"/>
              </w:rPr>
              <w:t>2</w:t>
            </w: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14,240,237</w:t>
            </w:r>
            <w:r>
              <w:rPr>
                <w:rFonts w:ascii="Arial" w:cs="Arial" w:eastAsia="Arial" w:hAnsi="Arial"/>
                <w:sz w:val="29"/>
                <w:szCs w:val="29"/>
                <w:color w:val="auto"/>
                <w:w w:val="95"/>
                <w:vertAlign w:val="superscript"/>
              </w:rPr>
              <w:t>2</w:t>
            </w:r>
          </w:p>
        </w:tc>
        <w:tc>
          <w:tcPr>
            <w:tcW w:w="7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808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80" w:type="dxa"/>
            <w:vAlign w:val="bottom"/>
            <w:tcBorders>
              <w:bottom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9.99%</w:t>
            </w:r>
            <w:r>
              <w:rPr>
                <w:rFonts w:ascii="Arial" w:cs="Arial" w:eastAsia="Arial" w:hAnsi="Arial"/>
                <w:sz w:val="29"/>
                <w:szCs w:val="29"/>
                <w:color w:val="auto"/>
                <w:w w:val="84"/>
                <w:vertAlign w:val="superscript"/>
              </w:rPr>
              <w:t>3</w:t>
            </w:r>
          </w:p>
        </w:tc>
        <w:tc>
          <w:tcPr>
            <w:tcW w:w="44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44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2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Venrock Healthcare Capital Partners II, L.P., VHCP Co-Investment Holdings II, LLC, Venrock Healthcare Capital Partners EG, L.P., VHCP Management II, LLC, VHCP Management EG, LLC, Nimish Shah and Bong Koh are members of a group for the purposes of this Schedule 13G.</w:t>
      </w:r>
    </w:p>
    <w:p>
      <w:pPr>
        <w:spacing w:after="0" w:line="124" w:lineRule="exact"/>
        <w:rPr>
          <w:sz w:val="20"/>
          <w:szCs w:val="20"/>
          <w:color w:val="auto"/>
        </w:rPr>
      </w:pPr>
    </w:p>
    <w:p>
      <w:pPr>
        <w:ind w:left="340" w:right="80" w:hanging="332"/>
        <w:spacing w:after="0" w:line="269"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Consists of (i) 2,450,448 shares of common stock and 1,277,648 shares of common stock issuable upon conversion of shares of Series D preferred stock held by Venrock Healthcare Capital Partners II, L.P., (ii) 993,096 shares of common stock and 517,785 shares of common stock issuable upon conversion of shares of Series D preferred stock held by VHCP Co-Investment Holdings II, LLC and (iii) 5,916,456 shares of common stock and 3,084,804 shares of common stock issuable upon conversion of shares of Series D preferred stock held by Venrock Healthcare Capital Partners EG, L.P. The share numbers in the preceding sentence represent the maximum number of shares of common stock issuable upon the voluntary conversion of the Reporting Persons’ Series D preferred stock pursuant to the Certificate of Designation for the Series D preferred stock as a result of the blocker provision of the Certificate of Designation described in the following sentence. The Certificate of Designation provides that the holder of Series D preferred stock will not have a right to convert, subject to certain exceptions, the Series D preferred stock for common stock if, as a result of such conversion, the holder, together with its affiliates and other attribution parties, would own more than 9.99% of the total number of shares of common stock then outstanding or, upon 61 days’ notice, 19.99% of the total number of shares of common stock then outstanding. Without giving effect to this blocker provision, the Series D preferred stock owned by the Reporting Persons would be convertible into an aggregate of 6,942,596 shares of common stock.</w:t>
      </w:r>
    </w:p>
    <w:p>
      <w:pPr>
        <w:spacing w:after="0" w:line="179" w:lineRule="exact"/>
        <w:rPr>
          <w:sz w:val="20"/>
          <w:szCs w:val="20"/>
          <w:color w:val="auto"/>
        </w:rPr>
      </w:pPr>
    </w:p>
    <w:p>
      <w:pPr>
        <w:ind w:left="340" w:right="26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percentage is calculated based upon (i) 137,664,676 shares of common stock outstanding after the offering described in the Issuer’s prospectus supplement filed with the Securities and Exchange Commission on December 21, 2020, plus (ii) 4,880,237 shares of common stock issuable upon conversion of the Reporting Persons’ Series 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 w:name="page9"/>
    <w:bookmarkEnd w:id="8"/>
    <w:p>
      <w:pPr>
        <w:spacing w:after="0"/>
        <w:tabs>
          <w:tab w:leader="none" w:pos="1032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5"/>
          <w:szCs w:val="15"/>
          <w:color w:val="auto"/>
        </w:rPr>
        <w:t>Page 9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Introductory Note: This Schedule 13G is filed on behalf of Venrock Healthcare Capital Partners II, L.P., a limited partnership organized under the laws of the State of Delaware (“VHCP II LP”), VHCP Co-Investment Holdings II, LLC, a limited liability company organized under the laws of the State of Delaware (“VHCP Co-Investment II”), Venrock Healthcare Capital Partners EG, L.P., a limited partnership organized under the laws of the State of Delaware (“VHCP EG”), VHCP Management II, LLC, a limited liability company organized under the laws of the State of Delaware (“VHCP Management II”), VHCP Management EG, LLC, a limited liability company organized under the laws of the State of Delaware (“VHCP Management EG” and collectively with VHCP II LP, VHCP Co-Investment II, VHCP EG and VHCP Management II, the “Venrock Entities”), Nimish Shah (“Shah”) and Bong Koh (“Koh”) in respect of Common Stock of VistaGen Therapeutics,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Address of Issuer’s Principal Executive Offices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94090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Person Filing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Venrock Healthcare Capital Partners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VHCP Co-Investment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Venrock Healthcare Capital Partners EG,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Management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Management EG,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Nimish Shah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Bong Koh</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Address of Principal Business Office or, if none, Residence</w:t>
      </w:r>
    </w:p>
    <w:p>
      <w:pPr>
        <w:spacing w:after="0" w:line="225" w:lineRule="exact"/>
        <w:rPr>
          <w:sz w:val="20"/>
          <w:szCs w:val="20"/>
          <w:color w:val="auto"/>
        </w:rPr>
      </w:pPr>
    </w:p>
    <w:p>
      <w:pPr>
        <w:ind w:left="1620"/>
        <w:spacing w:after="0"/>
        <w:tabs>
          <w:tab w:leader="none" w:pos="5560" w:val="left"/>
        </w:tabs>
        <w:rPr>
          <w:sz w:val="20"/>
          <w:szCs w:val="20"/>
          <w:color w:val="auto"/>
        </w:rPr>
      </w:pPr>
      <w:r>
        <w:rPr>
          <w:rFonts w:ascii="Arial" w:cs="Arial" w:eastAsia="Arial" w:hAnsi="Arial"/>
          <w:sz w:val="18"/>
          <w:szCs w:val="18"/>
          <w:color w:val="auto"/>
        </w:rPr>
        <w:t>New York Office:</w:t>
      </w:r>
      <w:r>
        <w:rPr>
          <w:sz w:val="20"/>
          <w:szCs w:val="20"/>
          <w:color w:val="auto"/>
        </w:rPr>
        <w:tab/>
      </w:r>
      <w:r>
        <w:rPr>
          <w:rFonts w:ascii="Arial" w:cs="Arial" w:eastAsia="Arial" w:hAnsi="Arial"/>
          <w:sz w:val="17"/>
          <w:szCs w:val="17"/>
          <w:color w:val="auto"/>
        </w:rPr>
        <w:t>Palo Alto Office:</w:t>
      </w:r>
    </w:p>
    <w:p>
      <w:pPr>
        <w:spacing w:after="0" w:line="225" w:lineRule="exact"/>
        <w:rPr>
          <w:sz w:val="20"/>
          <w:szCs w:val="20"/>
          <w:color w:val="auto"/>
        </w:rPr>
      </w:pPr>
    </w:p>
    <w:p>
      <w:pPr>
        <w:ind w:left="1620"/>
        <w:spacing w:after="0"/>
        <w:tabs>
          <w:tab w:leader="none" w:pos="5560" w:val="left"/>
        </w:tabs>
        <w:rPr>
          <w:sz w:val="20"/>
          <w:szCs w:val="20"/>
          <w:color w:val="auto"/>
        </w:rPr>
      </w:pPr>
      <w:r>
        <w:rPr>
          <w:rFonts w:ascii="Arial" w:cs="Arial" w:eastAsia="Arial" w:hAnsi="Arial"/>
          <w:sz w:val="18"/>
          <w:szCs w:val="18"/>
          <w:color w:val="auto"/>
        </w:rPr>
        <w:t>7 Bryant Park</w:t>
      </w:r>
      <w:r>
        <w:rPr>
          <w:sz w:val="20"/>
          <w:szCs w:val="20"/>
          <w:color w:val="auto"/>
        </w:rPr>
        <w:tab/>
      </w:r>
      <w:r>
        <w:rPr>
          <w:rFonts w:ascii="Arial" w:cs="Arial" w:eastAsia="Arial" w:hAnsi="Arial"/>
          <w:sz w:val="16"/>
          <w:szCs w:val="16"/>
          <w:color w:val="auto"/>
        </w:rPr>
        <w:t>3340 Hillview Avenue</w:t>
      </w:r>
    </w:p>
    <w:p>
      <w:pPr>
        <w:spacing w:after="0" w:line="23" w:lineRule="exact"/>
        <w:rPr>
          <w:sz w:val="20"/>
          <w:szCs w:val="20"/>
          <w:color w:val="auto"/>
        </w:rPr>
      </w:pPr>
    </w:p>
    <w:p>
      <w:pPr>
        <w:ind w:left="1620"/>
        <w:spacing w:after="0"/>
        <w:tabs>
          <w:tab w:leader="none" w:pos="5560" w:val="left"/>
        </w:tabs>
        <w:rPr>
          <w:sz w:val="20"/>
          <w:szCs w:val="20"/>
          <w:color w:val="auto"/>
        </w:rPr>
      </w:pPr>
      <w:r>
        <w:rPr>
          <w:rFonts w:ascii="Arial" w:cs="Arial" w:eastAsia="Arial" w:hAnsi="Arial"/>
          <w:sz w:val="18"/>
          <w:szCs w:val="18"/>
          <w:color w:val="auto"/>
        </w:rPr>
        <w:t>23rd Floor</w:t>
      </w:r>
      <w:r>
        <w:rPr>
          <w:sz w:val="20"/>
          <w:szCs w:val="20"/>
          <w:color w:val="auto"/>
        </w:rPr>
        <w:tab/>
      </w:r>
      <w:r>
        <w:rPr>
          <w:rFonts w:ascii="Arial" w:cs="Arial" w:eastAsia="Arial" w:hAnsi="Arial"/>
          <w:sz w:val="16"/>
          <w:szCs w:val="16"/>
          <w:color w:val="auto"/>
        </w:rPr>
        <w:t>Palo Alto, CA 94304</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New York, NY 10018</w:t>
      </w:r>
    </w:p>
    <w:p>
      <w:pPr>
        <w:spacing w:after="0" w:line="211"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Citizenship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of the Venrock Entities were organized in Delaware. The individuals are both United States citizens.</w:t>
      </w:r>
    </w:p>
    <w:p>
      <w:pPr>
        <w:spacing w:after="0" w:line="225" w:lineRule="exact"/>
        <w:rPr>
          <w:sz w:val="20"/>
          <w:szCs w:val="20"/>
          <w:color w:val="auto"/>
        </w:rPr>
      </w:pPr>
    </w:p>
    <w:p>
      <w:pPr>
        <w:ind w:right="8120" w:firstLine="345"/>
        <w:spacing w:after="0" w:line="563" w:lineRule="auto"/>
        <w:tabs>
          <w:tab w:leader="none" w:pos="6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Title of Class of Securities Common Stock, par value $0.001 per share</w:t>
      </w:r>
    </w:p>
    <w:p>
      <w:pPr>
        <w:ind w:left="680" w:hanging="335"/>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92840H202</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9" w:name="page10"/>
    <w:bookmarkEnd w:id="9"/>
    <w:p>
      <w:pPr>
        <w:spacing w:after="0"/>
        <w:tabs>
          <w:tab w:leader="none" w:pos="1022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6"/>
          <w:szCs w:val="16"/>
          <w:color w:val="auto"/>
        </w:rPr>
        <w:t>Page 10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6080" w:type="dxa"/>
            <w:vAlign w:val="bottom"/>
          </w:tcPr>
          <w:p>
            <w:pPr>
              <w:ind w:left="180"/>
              <w:spacing w:after="0"/>
              <w:rPr>
                <w:sz w:val="20"/>
                <w:szCs w:val="20"/>
                <w:color w:val="auto"/>
              </w:rPr>
            </w:pPr>
            <w:r>
              <w:rPr>
                <w:rFonts w:ascii="Arial" w:cs="Arial" w:eastAsia="Arial" w:hAnsi="Arial"/>
                <w:sz w:val="18"/>
                <w:szCs w:val="18"/>
                <w:b w:val="1"/>
                <w:bCs w:val="1"/>
                <w:color w:val="auto"/>
              </w:rPr>
              <w:t>Ownership</w:t>
            </w:r>
          </w:p>
        </w:tc>
        <w:tc>
          <w:tcPr>
            <w:tcW w:w="4420" w:type="dxa"/>
            <w:vAlign w:val="bottom"/>
          </w:tcPr>
          <w:p>
            <w:pPr>
              <w:spacing w:after="0"/>
              <w:rPr>
                <w:sz w:val="20"/>
                <w:szCs w:val="20"/>
                <w:color w:val="auto"/>
              </w:rPr>
            </w:pPr>
          </w:p>
        </w:tc>
      </w:tr>
      <w:tr>
        <w:trPr>
          <w:trHeight w:val="432"/>
        </w:trPr>
        <w:tc>
          <w:tcPr>
            <w:tcW w:w="6820" w:type="dxa"/>
            <w:vAlign w:val="bottom"/>
            <w:gridSpan w:val="2"/>
          </w:tcPr>
          <w:p>
            <w:pPr>
              <w:ind w:left="340"/>
              <w:spacing w:after="0"/>
              <w:rPr>
                <w:sz w:val="20"/>
                <w:szCs w:val="20"/>
                <w:color w:val="auto"/>
              </w:rPr>
            </w:pPr>
            <w:r>
              <w:rPr>
                <w:rFonts w:ascii="Arial" w:cs="Arial" w:eastAsia="Arial" w:hAnsi="Arial"/>
                <w:sz w:val="18"/>
                <w:szCs w:val="18"/>
                <w:color w:val="auto"/>
              </w:rPr>
              <w:t>(a)  Amount Beneficially Owned as of December 31, 2020:</w:t>
            </w:r>
          </w:p>
        </w:tc>
        <w:tc>
          <w:tcPr>
            <w:tcW w:w="4420" w:type="dxa"/>
            <w:vAlign w:val="bottom"/>
          </w:tcPr>
          <w:p>
            <w:pPr>
              <w:spacing w:after="0"/>
              <w:rPr>
                <w:sz w:val="24"/>
                <w:szCs w:val="24"/>
                <w:color w:val="auto"/>
              </w:rPr>
            </w:pPr>
          </w:p>
        </w:tc>
      </w:tr>
      <w:tr>
        <w:trPr>
          <w:trHeight w:val="418"/>
        </w:trPr>
        <w:tc>
          <w:tcPr>
            <w:tcW w:w="740" w:type="dxa"/>
            <w:vAlign w:val="bottom"/>
          </w:tcPr>
          <w:p>
            <w:pPr>
              <w:spacing w:after="0"/>
              <w:rPr>
                <w:sz w:val="24"/>
                <w:szCs w:val="24"/>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Venrock Healthcare Capital Partners II, L.P.</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14,240,237(1)</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Co-Investment Holdings II, LLC</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14,240,237(1)</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Venrock Healthcare Capital Partners EG, L.P.</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14,240,237(1)</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Management II, LLC</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14,240,237(1)</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Management EG, LLC</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14,240,237(1)</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Nimish Shah</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14,240,237(1)</w:t>
            </w:r>
          </w:p>
        </w:tc>
      </w:tr>
      <w:tr>
        <w:trPr>
          <w:trHeight w:val="230"/>
        </w:trPr>
        <w:tc>
          <w:tcPr>
            <w:tcW w:w="740" w:type="dxa"/>
            <w:vAlign w:val="bottom"/>
          </w:tcPr>
          <w:p>
            <w:pPr>
              <w:spacing w:after="0"/>
              <w:rPr>
                <w:sz w:val="20"/>
                <w:szCs w:val="20"/>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Bong Koh</w:t>
            </w:r>
          </w:p>
        </w:tc>
        <w:tc>
          <w:tcPr>
            <w:tcW w:w="4420" w:type="dxa"/>
            <w:vAlign w:val="bottom"/>
          </w:tcPr>
          <w:p>
            <w:pPr>
              <w:jc w:val="right"/>
              <w:ind w:right="2330"/>
              <w:spacing w:after="0"/>
              <w:rPr>
                <w:sz w:val="20"/>
                <w:szCs w:val="20"/>
                <w:color w:val="auto"/>
              </w:rPr>
            </w:pPr>
            <w:r>
              <w:rPr>
                <w:rFonts w:ascii="Arial" w:cs="Arial" w:eastAsia="Arial" w:hAnsi="Arial"/>
                <w:sz w:val="18"/>
                <w:szCs w:val="18"/>
                <w:color w:val="auto"/>
              </w:rPr>
              <w:t>14,240,237(1)</w:t>
            </w:r>
          </w:p>
        </w:tc>
      </w:tr>
      <w:tr>
        <w:trPr>
          <w:trHeight w:val="432"/>
        </w:trPr>
        <w:tc>
          <w:tcPr>
            <w:tcW w:w="6820" w:type="dxa"/>
            <w:vAlign w:val="bottom"/>
            <w:gridSpan w:val="2"/>
          </w:tcPr>
          <w:p>
            <w:pPr>
              <w:ind w:left="340"/>
              <w:spacing w:after="0"/>
              <w:rPr>
                <w:sz w:val="20"/>
                <w:szCs w:val="20"/>
                <w:color w:val="auto"/>
              </w:rPr>
            </w:pPr>
            <w:r>
              <w:rPr>
                <w:rFonts w:ascii="Arial" w:cs="Arial" w:eastAsia="Arial" w:hAnsi="Arial"/>
                <w:sz w:val="18"/>
                <w:szCs w:val="18"/>
                <w:color w:val="auto"/>
              </w:rPr>
              <w:t>(b)  Percent of Class as of December 31, 2020:</w:t>
            </w:r>
          </w:p>
        </w:tc>
        <w:tc>
          <w:tcPr>
            <w:tcW w:w="4420" w:type="dxa"/>
            <w:vAlign w:val="bottom"/>
          </w:tcPr>
          <w:p>
            <w:pPr>
              <w:spacing w:after="0"/>
              <w:rPr>
                <w:sz w:val="24"/>
                <w:szCs w:val="24"/>
                <w:color w:val="auto"/>
              </w:rPr>
            </w:pPr>
          </w:p>
        </w:tc>
      </w:tr>
      <w:tr>
        <w:trPr>
          <w:trHeight w:val="418"/>
        </w:trPr>
        <w:tc>
          <w:tcPr>
            <w:tcW w:w="740" w:type="dxa"/>
            <w:vAlign w:val="bottom"/>
          </w:tcPr>
          <w:p>
            <w:pPr>
              <w:spacing w:after="0"/>
              <w:rPr>
                <w:sz w:val="24"/>
                <w:szCs w:val="24"/>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Venrock Healthcare Capital Partners II, L.P.</w:t>
            </w:r>
          </w:p>
        </w:tc>
        <w:tc>
          <w:tcPr>
            <w:tcW w:w="4420" w:type="dxa"/>
            <w:vAlign w:val="bottom"/>
          </w:tcPr>
          <w:p>
            <w:pPr>
              <w:jc w:val="right"/>
              <w:ind w:right="2410"/>
              <w:spacing w:after="0"/>
              <w:rPr>
                <w:sz w:val="20"/>
                <w:szCs w:val="20"/>
                <w:color w:val="auto"/>
              </w:rPr>
            </w:pPr>
            <w:r>
              <w:rPr>
                <w:rFonts w:ascii="Arial" w:cs="Arial" w:eastAsia="Arial" w:hAnsi="Arial"/>
                <w:sz w:val="18"/>
                <w:szCs w:val="18"/>
                <w:color w:val="auto"/>
              </w:rPr>
              <w:t>9.99%(2)</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Co-Investment Holdings II, LLC</w:t>
            </w:r>
          </w:p>
        </w:tc>
        <w:tc>
          <w:tcPr>
            <w:tcW w:w="4420" w:type="dxa"/>
            <w:vAlign w:val="bottom"/>
          </w:tcPr>
          <w:p>
            <w:pPr>
              <w:jc w:val="right"/>
              <w:ind w:right="2410"/>
              <w:spacing w:after="0"/>
              <w:rPr>
                <w:sz w:val="20"/>
                <w:szCs w:val="20"/>
                <w:color w:val="auto"/>
              </w:rPr>
            </w:pPr>
            <w:r>
              <w:rPr>
                <w:rFonts w:ascii="Arial" w:cs="Arial" w:eastAsia="Arial" w:hAnsi="Arial"/>
                <w:sz w:val="18"/>
                <w:szCs w:val="18"/>
                <w:color w:val="auto"/>
              </w:rPr>
              <w:t>9.99%(2)</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Venrock Healthcare Capital Partners EG, L.P.</w:t>
            </w:r>
          </w:p>
        </w:tc>
        <w:tc>
          <w:tcPr>
            <w:tcW w:w="4420" w:type="dxa"/>
            <w:vAlign w:val="bottom"/>
          </w:tcPr>
          <w:p>
            <w:pPr>
              <w:jc w:val="right"/>
              <w:ind w:right="2410"/>
              <w:spacing w:after="0"/>
              <w:rPr>
                <w:sz w:val="20"/>
                <w:szCs w:val="20"/>
                <w:color w:val="auto"/>
              </w:rPr>
            </w:pPr>
            <w:r>
              <w:rPr>
                <w:rFonts w:ascii="Arial" w:cs="Arial" w:eastAsia="Arial" w:hAnsi="Arial"/>
                <w:sz w:val="18"/>
                <w:szCs w:val="18"/>
                <w:color w:val="auto"/>
              </w:rPr>
              <w:t>9.99%(2)</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Management II, LLC</w:t>
            </w:r>
          </w:p>
        </w:tc>
        <w:tc>
          <w:tcPr>
            <w:tcW w:w="4420" w:type="dxa"/>
            <w:vAlign w:val="bottom"/>
          </w:tcPr>
          <w:p>
            <w:pPr>
              <w:jc w:val="right"/>
              <w:ind w:right="2410"/>
              <w:spacing w:after="0"/>
              <w:rPr>
                <w:sz w:val="20"/>
                <w:szCs w:val="20"/>
                <w:color w:val="auto"/>
              </w:rPr>
            </w:pPr>
            <w:r>
              <w:rPr>
                <w:rFonts w:ascii="Arial" w:cs="Arial" w:eastAsia="Arial" w:hAnsi="Arial"/>
                <w:sz w:val="18"/>
                <w:szCs w:val="18"/>
                <w:color w:val="auto"/>
              </w:rPr>
              <w:t>9.99%(2)</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Management EG, LLC</w:t>
            </w:r>
          </w:p>
        </w:tc>
        <w:tc>
          <w:tcPr>
            <w:tcW w:w="4420" w:type="dxa"/>
            <w:vAlign w:val="bottom"/>
          </w:tcPr>
          <w:p>
            <w:pPr>
              <w:jc w:val="right"/>
              <w:ind w:right="2410"/>
              <w:spacing w:after="0"/>
              <w:rPr>
                <w:sz w:val="20"/>
                <w:szCs w:val="20"/>
                <w:color w:val="auto"/>
              </w:rPr>
            </w:pPr>
            <w:r>
              <w:rPr>
                <w:rFonts w:ascii="Arial" w:cs="Arial" w:eastAsia="Arial" w:hAnsi="Arial"/>
                <w:sz w:val="18"/>
                <w:szCs w:val="18"/>
                <w:color w:val="auto"/>
              </w:rPr>
              <w:t>9.99%(2)</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Nimish Shah</w:t>
            </w:r>
          </w:p>
        </w:tc>
        <w:tc>
          <w:tcPr>
            <w:tcW w:w="4420" w:type="dxa"/>
            <w:vAlign w:val="bottom"/>
          </w:tcPr>
          <w:p>
            <w:pPr>
              <w:jc w:val="right"/>
              <w:ind w:right="2410"/>
              <w:spacing w:after="0"/>
              <w:rPr>
                <w:sz w:val="20"/>
                <w:szCs w:val="20"/>
                <w:color w:val="auto"/>
              </w:rPr>
            </w:pPr>
            <w:r>
              <w:rPr>
                <w:rFonts w:ascii="Arial" w:cs="Arial" w:eastAsia="Arial" w:hAnsi="Arial"/>
                <w:sz w:val="18"/>
                <w:szCs w:val="18"/>
                <w:color w:val="auto"/>
              </w:rPr>
              <w:t>9.99%(2)</w:t>
            </w:r>
          </w:p>
        </w:tc>
      </w:tr>
      <w:tr>
        <w:trPr>
          <w:trHeight w:val="230"/>
        </w:trPr>
        <w:tc>
          <w:tcPr>
            <w:tcW w:w="740" w:type="dxa"/>
            <w:vAlign w:val="bottom"/>
          </w:tcPr>
          <w:p>
            <w:pPr>
              <w:spacing w:after="0"/>
              <w:rPr>
                <w:sz w:val="20"/>
                <w:szCs w:val="20"/>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Bong Koh</w:t>
            </w:r>
          </w:p>
        </w:tc>
        <w:tc>
          <w:tcPr>
            <w:tcW w:w="4420" w:type="dxa"/>
            <w:vAlign w:val="bottom"/>
          </w:tcPr>
          <w:p>
            <w:pPr>
              <w:jc w:val="right"/>
              <w:ind w:right="2410"/>
              <w:spacing w:after="0"/>
              <w:rPr>
                <w:sz w:val="20"/>
                <w:szCs w:val="20"/>
                <w:color w:val="auto"/>
              </w:rPr>
            </w:pPr>
            <w:r>
              <w:rPr>
                <w:rFonts w:ascii="Arial" w:cs="Arial" w:eastAsia="Arial" w:hAnsi="Arial"/>
                <w:sz w:val="18"/>
                <w:szCs w:val="18"/>
                <w:color w:val="auto"/>
              </w:rPr>
              <w:t>9.99%(2)</w:t>
            </w:r>
          </w:p>
        </w:tc>
      </w:tr>
      <w:tr>
        <w:trPr>
          <w:trHeight w:val="432"/>
        </w:trPr>
        <w:tc>
          <w:tcPr>
            <w:tcW w:w="6820" w:type="dxa"/>
            <w:vAlign w:val="bottom"/>
            <w:gridSpan w:val="2"/>
          </w:tcPr>
          <w:p>
            <w:pPr>
              <w:ind w:left="340"/>
              <w:spacing w:after="0"/>
              <w:rPr>
                <w:sz w:val="20"/>
                <w:szCs w:val="20"/>
                <w:color w:val="auto"/>
              </w:rPr>
            </w:pPr>
            <w:r>
              <w:rPr>
                <w:rFonts w:ascii="Arial" w:cs="Arial" w:eastAsia="Arial" w:hAnsi="Arial"/>
                <w:sz w:val="18"/>
                <w:szCs w:val="18"/>
                <w:color w:val="auto"/>
              </w:rPr>
              <w:t>(c)  Number of shares as to which the person has, as of December 31, 2020:</w:t>
            </w:r>
          </w:p>
        </w:tc>
        <w:tc>
          <w:tcPr>
            <w:tcW w:w="4420" w:type="dxa"/>
            <w:vAlign w:val="bottom"/>
          </w:tcPr>
          <w:p>
            <w:pPr>
              <w:spacing w:after="0"/>
              <w:rPr>
                <w:sz w:val="24"/>
                <w:szCs w:val="24"/>
                <w:color w:val="auto"/>
              </w:rPr>
            </w:pPr>
          </w:p>
        </w:tc>
      </w:tr>
      <w:tr>
        <w:trPr>
          <w:trHeight w:val="432"/>
        </w:trPr>
        <w:tc>
          <w:tcPr>
            <w:tcW w:w="6820" w:type="dxa"/>
            <w:vAlign w:val="bottom"/>
            <w:gridSpan w:val="2"/>
          </w:tcPr>
          <w:p>
            <w:pPr>
              <w:ind w:left="340"/>
              <w:spacing w:after="0"/>
              <w:rPr>
                <w:sz w:val="20"/>
                <w:szCs w:val="20"/>
                <w:color w:val="auto"/>
              </w:rPr>
            </w:pPr>
            <w:r>
              <w:rPr>
                <w:rFonts w:ascii="Arial" w:cs="Arial" w:eastAsia="Arial" w:hAnsi="Arial"/>
                <w:sz w:val="18"/>
                <w:szCs w:val="18"/>
                <w:color w:val="auto"/>
              </w:rPr>
              <w:t>(i)  Sole power to vote or to direct the vote</w:t>
            </w:r>
          </w:p>
        </w:tc>
        <w:tc>
          <w:tcPr>
            <w:tcW w:w="4420" w:type="dxa"/>
            <w:vAlign w:val="bottom"/>
          </w:tcPr>
          <w:p>
            <w:pPr>
              <w:spacing w:after="0"/>
              <w:rPr>
                <w:sz w:val="24"/>
                <w:szCs w:val="24"/>
                <w:color w:val="auto"/>
              </w:rPr>
            </w:pPr>
          </w:p>
        </w:tc>
      </w:tr>
      <w:tr>
        <w:trPr>
          <w:trHeight w:val="418"/>
        </w:trPr>
        <w:tc>
          <w:tcPr>
            <w:tcW w:w="740" w:type="dxa"/>
            <w:vAlign w:val="bottom"/>
          </w:tcPr>
          <w:p>
            <w:pPr>
              <w:spacing w:after="0"/>
              <w:rPr>
                <w:sz w:val="24"/>
                <w:szCs w:val="24"/>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Venrock Healthcare Capital Partners II, L.P.</w:t>
            </w:r>
          </w:p>
        </w:tc>
        <w:tc>
          <w:tcPr>
            <w:tcW w:w="4420" w:type="dxa"/>
            <w:vAlign w:val="bottom"/>
          </w:tcPr>
          <w:p>
            <w:pPr>
              <w:jc w:val="right"/>
              <w:ind w:right="2610"/>
              <w:spacing w:after="0"/>
              <w:rPr>
                <w:sz w:val="20"/>
                <w:szCs w:val="20"/>
                <w:color w:val="auto"/>
              </w:rPr>
            </w:pPr>
            <w:r>
              <w:rPr>
                <w:rFonts w:ascii="Arial" w:cs="Arial" w:eastAsia="Arial" w:hAnsi="Arial"/>
                <w:sz w:val="18"/>
                <w:szCs w:val="18"/>
                <w:color w:val="auto"/>
              </w:rPr>
              <w:t>0</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Co-Investment Holdings II, LLC</w:t>
            </w:r>
          </w:p>
        </w:tc>
        <w:tc>
          <w:tcPr>
            <w:tcW w:w="4420" w:type="dxa"/>
            <w:vAlign w:val="bottom"/>
          </w:tcPr>
          <w:p>
            <w:pPr>
              <w:jc w:val="right"/>
              <w:ind w:right="2610"/>
              <w:spacing w:after="0"/>
              <w:rPr>
                <w:sz w:val="20"/>
                <w:szCs w:val="20"/>
                <w:color w:val="auto"/>
              </w:rPr>
            </w:pPr>
            <w:r>
              <w:rPr>
                <w:rFonts w:ascii="Arial" w:cs="Arial" w:eastAsia="Arial" w:hAnsi="Arial"/>
                <w:sz w:val="18"/>
                <w:szCs w:val="18"/>
                <w:color w:val="auto"/>
              </w:rPr>
              <w:t>0</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Venrock Healthcare Capital Partners EG, L.P.</w:t>
            </w:r>
          </w:p>
        </w:tc>
        <w:tc>
          <w:tcPr>
            <w:tcW w:w="4420" w:type="dxa"/>
            <w:vAlign w:val="bottom"/>
          </w:tcPr>
          <w:p>
            <w:pPr>
              <w:jc w:val="right"/>
              <w:ind w:right="2610"/>
              <w:spacing w:after="0"/>
              <w:rPr>
                <w:sz w:val="20"/>
                <w:szCs w:val="20"/>
                <w:color w:val="auto"/>
              </w:rPr>
            </w:pPr>
            <w:r>
              <w:rPr>
                <w:rFonts w:ascii="Arial" w:cs="Arial" w:eastAsia="Arial" w:hAnsi="Arial"/>
                <w:sz w:val="18"/>
                <w:szCs w:val="18"/>
                <w:color w:val="auto"/>
              </w:rPr>
              <w:t>0</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Management II, LLC</w:t>
            </w:r>
          </w:p>
        </w:tc>
        <w:tc>
          <w:tcPr>
            <w:tcW w:w="4420" w:type="dxa"/>
            <w:vAlign w:val="bottom"/>
          </w:tcPr>
          <w:p>
            <w:pPr>
              <w:jc w:val="right"/>
              <w:ind w:right="2610"/>
              <w:spacing w:after="0"/>
              <w:rPr>
                <w:sz w:val="20"/>
                <w:szCs w:val="20"/>
                <w:color w:val="auto"/>
              </w:rPr>
            </w:pPr>
            <w:r>
              <w:rPr>
                <w:rFonts w:ascii="Arial" w:cs="Arial" w:eastAsia="Arial" w:hAnsi="Arial"/>
                <w:sz w:val="18"/>
                <w:szCs w:val="18"/>
                <w:color w:val="auto"/>
              </w:rPr>
              <w:t>0</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VHCP Management EG, LLC</w:t>
            </w:r>
          </w:p>
        </w:tc>
        <w:tc>
          <w:tcPr>
            <w:tcW w:w="4420" w:type="dxa"/>
            <w:vAlign w:val="bottom"/>
          </w:tcPr>
          <w:p>
            <w:pPr>
              <w:jc w:val="right"/>
              <w:ind w:right="2610"/>
              <w:spacing w:after="0"/>
              <w:rPr>
                <w:sz w:val="20"/>
                <w:szCs w:val="20"/>
                <w:color w:val="auto"/>
              </w:rPr>
            </w:pPr>
            <w:r>
              <w:rPr>
                <w:rFonts w:ascii="Arial" w:cs="Arial" w:eastAsia="Arial" w:hAnsi="Arial"/>
                <w:sz w:val="18"/>
                <w:szCs w:val="18"/>
                <w:color w:val="auto"/>
              </w:rPr>
              <w:t>0</w:t>
            </w:r>
          </w:p>
        </w:tc>
      </w:tr>
      <w:tr>
        <w:trPr>
          <w:trHeight w:val="216"/>
        </w:trPr>
        <w:tc>
          <w:tcPr>
            <w:tcW w:w="740" w:type="dxa"/>
            <w:vAlign w:val="bottom"/>
          </w:tcPr>
          <w:p>
            <w:pPr>
              <w:spacing w:after="0"/>
              <w:rPr>
                <w:sz w:val="18"/>
                <w:szCs w:val="18"/>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Nimish Shah</w:t>
            </w:r>
          </w:p>
        </w:tc>
        <w:tc>
          <w:tcPr>
            <w:tcW w:w="4420" w:type="dxa"/>
            <w:vAlign w:val="bottom"/>
          </w:tcPr>
          <w:p>
            <w:pPr>
              <w:jc w:val="right"/>
              <w:ind w:right="2610"/>
              <w:spacing w:after="0"/>
              <w:rPr>
                <w:sz w:val="20"/>
                <w:szCs w:val="20"/>
                <w:color w:val="auto"/>
              </w:rPr>
            </w:pPr>
            <w:r>
              <w:rPr>
                <w:rFonts w:ascii="Arial" w:cs="Arial" w:eastAsia="Arial" w:hAnsi="Arial"/>
                <w:sz w:val="18"/>
                <w:szCs w:val="18"/>
                <w:color w:val="auto"/>
              </w:rPr>
              <w:t>0</w:t>
            </w:r>
          </w:p>
        </w:tc>
      </w:tr>
      <w:tr>
        <w:trPr>
          <w:trHeight w:val="230"/>
        </w:trPr>
        <w:tc>
          <w:tcPr>
            <w:tcW w:w="740" w:type="dxa"/>
            <w:vAlign w:val="bottom"/>
          </w:tcPr>
          <w:p>
            <w:pPr>
              <w:spacing w:after="0"/>
              <w:rPr>
                <w:sz w:val="20"/>
                <w:szCs w:val="20"/>
                <w:color w:val="auto"/>
              </w:rPr>
            </w:pPr>
          </w:p>
        </w:tc>
        <w:tc>
          <w:tcPr>
            <w:tcW w:w="6080" w:type="dxa"/>
            <w:vAlign w:val="bottom"/>
          </w:tcPr>
          <w:p>
            <w:pPr>
              <w:ind w:left="1520"/>
              <w:spacing w:after="0"/>
              <w:rPr>
                <w:sz w:val="20"/>
                <w:szCs w:val="20"/>
                <w:color w:val="auto"/>
              </w:rPr>
            </w:pPr>
            <w:r>
              <w:rPr>
                <w:rFonts w:ascii="Arial" w:cs="Arial" w:eastAsia="Arial" w:hAnsi="Arial"/>
                <w:sz w:val="18"/>
                <w:szCs w:val="18"/>
                <w:color w:val="auto"/>
              </w:rPr>
              <w:t>Bong Koh</w:t>
            </w:r>
          </w:p>
        </w:tc>
        <w:tc>
          <w:tcPr>
            <w:tcW w:w="4420" w:type="dxa"/>
            <w:vAlign w:val="bottom"/>
          </w:tcPr>
          <w:p>
            <w:pPr>
              <w:jc w:val="right"/>
              <w:ind w:right="2610"/>
              <w:spacing w:after="0"/>
              <w:rPr>
                <w:sz w:val="20"/>
                <w:szCs w:val="20"/>
                <w:color w:val="auto"/>
              </w:rPr>
            </w:pPr>
            <w:r>
              <w:rPr>
                <w:rFonts w:ascii="Arial" w:cs="Arial" w:eastAsia="Arial" w:hAnsi="Arial"/>
                <w:sz w:val="18"/>
                <w:szCs w:val="18"/>
                <w:color w:val="auto"/>
              </w:rPr>
              <w:t>0</w:t>
            </w:r>
          </w:p>
        </w:tc>
      </w:tr>
      <w:tr>
        <w:trPr>
          <w:trHeight w:val="675"/>
        </w:trPr>
        <w:tc>
          <w:tcPr>
            <w:tcW w:w="74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0" w:name="page11"/>
    <w:bookmarkEnd w:id="10"/>
    <w:p>
      <w:pPr>
        <w:spacing w:after="0"/>
        <w:tabs>
          <w:tab w:leader="none" w:pos="1024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5"/>
          <w:szCs w:val="15"/>
          <w:color w:val="auto"/>
        </w:rPr>
        <w:t>Page 11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(ii)  Shared power to vote or to direct the vote</w:t>
            </w:r>
          </w:p>
        </w:tc>
        <w:tc>
          <w:tcPr>
            <w:tcW w:w="2160" w:type="dxa"/>
            <w:vAlign w:val="bottom"/>
          </w:tcPr>
          <w:p>
            <w:pPr>
              <w:spacing w:after="0"/>
              <w:rPr>
                <w:sz w:val="20"/>
                <w:szCs w:val="20"/>
                <w:color w:val="auto"/>
              </w:rPr>
            </w:pPr>
          </w:p>
        </w:tc>
      </w:tr>
      <w:tr>
        <w:trPr>
          <w:trHeight w:val="418"/>
        </w:trPr>
        <w:tc>
          <w:tcPr>
            <w:tcW w:w="6320" w:type="dxa"/>
            <w:vAlign w:val="bottom"/>
          </w:tcPr>
          <w:p>
            <w:pPr>
              <w:ind w:left="1920"/>
              <w:spacing w:after="0"/>
              <w:rPr>
                <w:sz w:val="20"/>
                <w:szCs w:val="20"/>
                <w:color w:val="auto"/>
              </w:rPr>
            </w:pPr>
            <w:r>
              <w:rPr>
                <w:rFonts w:ascii="Arial" w:cs="Arial" w:eastAsia="Arial" w:hAnsi="Arial"/>
                <w:sz w:val="18"/>
                <w:szCs w:val="18"/>
                <w:color w:val="auto"/>
              </w:rPr>
              <w:t>Venrock Healthcare Capital Partners II, L.P.</w:t>
            </w:r>
          </w:p>
        </w:tc>
        <w:tc>
          <w:tcPr>
            <w:tcW w:w="2160" w:type="dxa"/>
            <w:vAlign w:val="bottom"/>
          </w:tcPr>
          <w:p>
            <w:pPr>
              <w:jc w:val="right"/>
              <w:spacing w:after="0"/>
              <w:rPr>
                <w:sz w:val="20"/>
                <w:szCs w:val="20"/>
                <w:color w:val="auto"/>
              </w:rPr>
            </w:pPr>
            <w:r>
              <w:rPr>
                <w:rFonts w:ascii="Arial" w:cs="Arial" w:eastAsia="Arial" w:hAnsi="Arial"/>
                <w:sz w:val="18"/>
                <w:szCs w:val="18"/>
                <w:color w:val="auto"/>
              </w:rPr>
              <w:t>14,240,237(1)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VHCP Co-Investment Holdings II, LLC</w:t>
            </w:r>
          </w:p>
        </w:tc>
        <w:tc>
          <w:tcPr>
            <w:tcW w:w="2160" w:type="dxa"/>
            <w:vAlign w:val="bottom"/>
          </w:tcPr>
          <w:p>
            <w:pPr>
              <w:jc w:val="right"/>
              <w:spacing w:after="0"/>
              <w:rPr>
                <w:sz w:val="20"/>
                <w:szCs w:val="20"/>
                <w:color w:val="auto"/>
              </w:rPr>
            </w:pPr>
            <w:r>
              <w:rPr>
                <w:rFonts w:ascii="Arial" w:cs="Arial" w:eastAsia="Arial" w:hAnsi="Arial"/>
                <w:sz w:val="18"/>
                <w:szCs w:val="18"/>
                <w:color w:val="auto"/>
              </w:rPr>
              <w:t>14,240,237(1)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Venrock Healthcare Capital Partners EG, L.P.</w:t>
            </w:r>
          </w:p>
        </w:tc>
        <w:tc>
          <w:tcPr>
            <w:tcW w:w="2160" w:type="dxa"/>
            <w:vAlign w:val="bottom"/>
          </w:tcPr>
          <w:p>
            <w:pPr>
              <w:jc w:val="right"/>
              <w:spacing w:after="0"/>
              <w:rPr>
                <w:sz w:val="20"/>
                <w:szCs w:val="20"/>
                <w:color w:val="auto"/>
              </w:rPr>
            </w:pPr>
            <w:r>
              <w:rPr>
                <w:rFonts w:ascii="Arial" w:cs="Arial" w:eastAsia="Arial" w:hAnsi="Arial"/>
                <w:sz w:val="18"/>
                <w:szCs w:val="18"/>
                <w:color w:val="auto"/>
              </w:rPr>
              <w:t>14,240,237(1)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VHCP Management II, LLC</w:t>
            </w:r>
          </w:p>
        </w:tc>
        <w:tc>
          <w:tcPr>
            <w:tcW w:w="2160" w:type="dxa"/>
            <w:vAlign w:val="bottom"/>
          </w:tcPr>
          <w:p>
            <w:pPr>
              <w:jc w:val="right"/>
              <w:spacing w:after="0"/>
              <w:rPr>
                <w:sz w:val="20"/>
                <w:szCs w:val="20"/>
                <w:color w:val="auto"/>
              </w:rPr>
            </w:pPr>
            <w:r>
              <w:rPr>
                <w:rFonts w:ascii="Arial" w:cs="Arial" w:eastAsia="Arial" w:hAnsi="Arial"/>
                <w:sz w:val="18"/>
                <w:szCs w:val="18"/>
                <w:color w:val="auto"/>
              </w:rPr>
              <w:t>14,240,237(1)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VHCP Management EG, LLC</w:t>
            </w:r>
          </w:p>
        </w:tc>
        <w:tc>
          <w:tcPr>
            <w:tcW w:w="2160" w:type="dxa"/>
            <w:vAlign w:val="bottom"/>
          </w:tcPr>
          <w:p>
            <w:pPr>
              <w:jc w:val="right"/>
              <w:spacing w:after="0"/>
              <w:rPr>
                <w:sz w:val="20"/>
                <w:szCs w:val="20"/>
                <w:color w:val="auto"/>
              </w:rPr>
            </w:pPr>
            <w:r>
              <w:rPr>
                <w:rFonts w:ascii="Arial" w:cs="Arial" w:eastAsia="Arial" w:hAnsi="Arial"/>
                <w:sz w:val="18"/>
                <w:szCs w:val="18"/>
                <w:color w:val="auto"/>
              </w:rPr>
              <w:t>14,240,237(1)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Nimish Shah</w:t>
            </w:r>
          </w:p>
        </w:tc>
        <w:tc>
          <w:tcPr>
            <w:tcW w:w="2160" w:type="dxa"/>
            <w:vAlign w:val="bottom"/>
          </w:tcPr>
          <w:p>
            <w:pPr>
              <w:jc w:val="right"/>
              <w:spacing w:after="0"/>
              <w:rPr>
                <w:sz w:val="20"/>
                <w:szCs w:val="20"/>
                <w:color w:val="auto"/>
              </w:rPr>
            </w:pPr>
            <w:r>
              <w:rPr>
                <w:rFonts w:ascii="Arial" w:cs="Arial" w:eastAsia="Arial" w:hAnsi="Arial"/>
                <w:sz w:val="18"/>
                <w:szCs w:val="18"/>
                <w:color w:val="auto"/>
              </w:rPr>
              <w:t>14,240,237(1)</w:t>
            </w:r>
          </w:p>
        </w:tc>
      </w:tr>
      <w:tr>
        <w:trPr>
          <w:trHeight w:val="230"/>
        </w:trPr>
        <w:tc>
          <w:tcPr>
            <w:tcW w:w="6320" w:type="dxa"/>
            <w:vAlign w:val="bottom"/>
          </w:tcPr>
          <w:p>
            <w:pPr>
              <w:ind w:left="1920"/>
              <w:spacing w:after="0"/>
              <w:rPr>
                <w:sz w:val="20"/>
                <w:szCs w:val="20"/>
                <w:color w:val="auto"/>
              </w:rPr>
            </w:pPr>
            <w:r>
              <w:rPr>
                <w:rFonts w:ascii="Arial" w:cs="Arial" w:eastAsia="Arial" w:hAnsi="Arial"/>
                <w:sz w:val="18"/>
                <w:szCs w:val="18"/>
                <w:color w:val="auto"/>
              </w:rPr>
              <w:t>Bong Koh</w:t>
            </w:r>
          </w:p>
        </w:tc>
        <w:tc>
          <w:tcPr>
            <w:tcW w:w="2160" w:type="dxa"/>
            <w:vAlign w:val="bottom"/>
          </w:tcPr>
          <w:p>
            <w:pPr>
              <w:jc w:val="right"/>
              <w:spacing w:after="0"/>
              <w:rPr>
                <w:sz w:val="20"/>
                <w:szCs w:val="20"/>
                <w:color w:val="auto"/>
              </w:rPr>
            </w:pPr>
            <w:r>
              <w:rPr>
                <w:rFonts w:ascii="Arial" w:cs="Arial" w:eastAsia="Arial" w:hAnsi="Arial"/>
                <w:sz w:val="18"/>
                <w:szCs w:val="18"/>
                <w:color w:val="auto"/>
              </w:rPr>
              <w:t>14,240,237(1)</w:t>
            </w:r>
          </w:p>
        </w:tc>
      </w:tr>
    </w:tbl>
    <w:p>
      <w:pPr>
        <w:spacing w:after="0" w:line="200" w:lineRule="exact"/>
        <w:rPr>
          <w:sz w:val="20"/>
          <w:szCs w:val="20"/>
          <w:color w:val="auto"/>
        </w:rPr>
      </w:pP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(iii)  Sole power to dispose or to direct the disposition of</w:t>
            </w:r>
          </w:p>
        </w:tc>
        <w:tc>
          <w:tcPr>
            <w:tcW w:w="1560" w:type="dxa"/>
            <w:vAlign w:val="bottom"/>
          </w:tcPr>
          <w:p>
            <w:pPr>
              <w:spacing w:after="0"/>
              <w:rPr>
                <w:sz w:val="20"/>
                <w:szCs w:val="20"/>
                <w:color w:val="auto"/>
              </w:rPr>
            </w:pPr>
          </w:p>
        </w:tc>
      </w:tr>
      <w:tr>
        <w:trPr>
          <w:trHeight w:val="418"/>
        </w:trPr>
        <w:tc>
          <w:tcPr>
            <w:tcW w:w="6640" w:type="dxa"/>
            <w:vAlign w:val="bottom"/>
          </w:tcPr>
          <w:p>
            <w:pPr>
              <w:ind w:left="1920"/>
              <w:spacing w:after="0"/>
              <w:rPr>
                <w:sz w:val="20"/>
                <w:szCs w:val="20"/>
                <w:color w:val="auto"/>
              </w:rPr>
            </w:pPr>
            <w:r>
              <w:rPr>
                <w:rFonts w:ascii="Arial" w:cs="Arial" w:eastAsia="Arial" w:hAnsi="Arial"/>
                <w:sz w:val="18"/>
                <w:szCs w:val="18"/>
                <w:color w:val="auto"/>
              </w:rPr>
              <w:t>Venrock Healthcare Capital Partners II, L.P.</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640" w:type="dxa"/>
            <w:vAlign w:val="bottom"/>
          </w:tcPr>
          <w:p>
            <w:pPr>
              <w:ind w:left="1920"/>
              <w:spacing w:after="0"/>
              <w:rPr>
                <w:sz w:val="20"/>
                <w:szCs w:val="20"/>
                <w:color w:val="auto"/>
              </w:rPr>
            </w:pPr>
            <w:r>
              <w:rPr>
                <w:rFonts w:ascii="Arial" w:cs="Arial" w:eastAsia="Arial" w:hAnsi="Arial"/>
                <w:sz w:val="18"/>
                <w:szCs w:val="18"/>
                <w:color w:val="auto"/>
              </w:rPr>
              <w:t>VHCP Co-Investment Holdings II, LLC</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640" w:type="dxa"/>
            <w:vAlign w:val="bottom"/>
          </w:tcPr>
          <w:p>
            <w:pPr>
              <w:ind w:left="1920"/>
              <w:spacing w:after="0"/>
              <w:rPr>
                <w:sz w:val="20"/>
                <w:szCs w:val="20"/>
                <w:color w:val="auto"/>
              </w:rPr>
            </w:pPr>
            <w:r>
              <w:rPr>
                <w:rFonts w:ascii="Arial" w:cs="Arial" w:eastAsia="Arial" w:hAnsi="Arial"/>
                <w:sz w:val="18"/>
                <w:szCs w:val="18"/>
                <w:color w:val="auto"/>
              </w:rPr>
              <w:t>Venrock Healthcare Capital Partners EG, L.P.</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640" w:type="dxa"/>
            <w:vAlign w:val="bottom"/>
          </w:tcPr>
          <w:p>
            <w:pPr>
              <w:ind w:left="1920"/>
              <w:spacing w:after="0"/>
              <w:rPr>
                <w:sz w:val="20"/>
                <w:szCs w:val="20"/>
                <w:color w:val="auto"/>
              </w:rPr>
            </w:pPr>
            <w:r>
              <w:rPr>
                <w:rFonts w:ascii="Arial" w:cs="Arial" w:eastAsia="Arial" w:hAnsi="Arial"/>
                <w:sz w:val="18"/>
                <w:szCs w:val="18"/>
                <w:color w:val="auto"/>
              </w:rPr>
              <w:t>VHCP Management II, LLC</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640" w:type="dxa"/>
            <w:vAlign w:val="bottom"/>
          </w:tcPr>
          <w:p>
            <w:pPr>
              <w:ind w:left="1920"/>
              <w:spacing w:after="0"/>
              <w:rPr>
                <w:sz w:val="20"/>
                <w:szCs w:val="20"/>
                <w:color w:val="auto"/>
              </w:rPr>
            </w:pPr>
            <w:r>
              <w:rPr>
                <w:rFonts w:ascii="Arial" w:cs="Arial" w:eastAsia="Arial" w:hAnsi="Arial"/>
                <w:sz w:val="18"/>
                <w:szCs w:val="18"/>
                <w:color w:val="auto"/>
              </w:rPr>
              <w:t>VHCP Management EG, LLC</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640" w:type="dxa"/>
            <w:vAlign w:val="bottom"/>
          </w:tcPr>
          <w:p>
            <w:pPr>
              <w:ind w:left="1920"/>
              <w:spacing w:after="0"/>
              <w:rPr>
                <w:sz w:val="20"/>
                <w:szCs w:val="20"/>
                <w:color w:val="auto"/>
              </w:rPr>
            </w:pPr>
            <w:r>
              <w:rPr>
                <w:rFonts w:ascii="Arial" w:cs="Arial" w:eastAsia="Arial" w:hAnsi="Arial"/>
                <w:sz w:val="18"/>
                <w:szCs w:val="18"/>
                <w:color w:val="auto"/>
              </w:rPr>
              <w:t>Nimish Shah</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6640" w:type="dxa"/>
            <w:vAlign w:val="bottom"/>
          </w:tcPr>
          <w:p>
            <w:pPr>
              <w:ind w:left="1920"/>
              <w:spacing w:after="0"/>
              <w:rPr>
                <w:sz w:val="20"/>
                <w:szCs w:val="20"/>
                <w:color w:val="auto"/>
              </w:rPr>
            </w:pPr>
            <w:r>
              <w:rPr>
                <w:rFonts w:ascii="Arial" w:cs="Arial" w:eastAsia="Arial" w:hAnsi="Arial"/>
                <w:sz w:val="18"/>
                <w:szCs w:val="18"/>
                <w:color w:val="auto"/>
              </w:rPr>
              <w:t>Bong Koh</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(iv) Shared power to dispose or to direct the disposition of</w:t>
            </w:r>
          </w:p>
        </w:tc>
        <w:tc>
          <w:tcPr>
            <w:tcW w:w="2160" w:type="dxa"/>
            <w:vAlign w:val="bottom"/>
          </w:tcPr>
          <w:p>
            <w:pPr>
              <w:spacing w:after="0"/>
              <w:rPr>
                <w:sz w:val="20"/>
                <w:szCs w:val="20"/>
                <w:color w:val="auto"/>
              </w:rPr>
            </w:pPr>
          </w:p>
        </w:tc>
      </w:tr>
      <w:tr>
        <w:trPr>
          <w:trHeight w:val="418"/>
        </w:trPr>
        <w:tc>
          <w:tcPr>
            <w:tcW w:w="6320" w:type="dxa"/>
            <w:vAlign w:val="bottom"/>
          </w:tcPr>
          <w:p>
            <w:pPr>
              <w:ind w:left="1920"/>
              <w:spacing w:after="0"/>
              <w:rPr>
                <w:sz w:val="20"/>
                <w:szCs w:val="20"/>
                <w:color w:val="auto"/>
              </w:rPr>
            </w:pPr>
            <w:r>
              <w:rPr>
                <w:rFonts w:ascii="Arial" w:cs="Arial" w:eastAsia="Arial" w:hAnsi="Arial"/>
                <w:sz w:val="18"/>
                <w:szCs w:val="18"/>
                <w:color w:val="auto"/>
              </w:rPr>
              <w:t>Venrock Healthcare Capital Partners II, L.P.</w:t>
            </w:r>
          </w:p>
        </w:tc>
        <w:tc>
          <w:tcPr>
            <w:tcW w:w="2160" w:type="dxa"/>
            <w:vAlign w:val="bottom"/>
          </w:tcPr>
          <w:p>
            <w:pPr>
              <w:jc w:val="right"/>
              <w:spacing w:after="0"/>
              <w:rPr>
                <w:sz w:val="20"/>
                <w:szCs w:val="20"/>
                <w:color w:val="auto"/>
              </w:rPr>
            </w:pPr>
            <w:r>
              <w:rPr>
                <w:rFonts w:ascii="Arial" w:cs="Arial" w:eastAsia="Arial" w:hAnsi="Arial"/>
                <w:sz w:val="18"/>
                <w:szCs w:val="18"/>
                <w:color w:val="auto"/>
              </w:rPr>
              <w:t>14,240,237(1)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VHCP Co-Investment Holdings II, LLC</w:t>
            </w:r>
          </w:p>
        </w:tc>
        <w:tc>
          <w:tcPr>
            <w:tcW w:w="2160" w:type="dxa"/>
            <w:vAlign w:val="bottom"/>
          </w:tcPr>
          <w:p>
            <w:pPr>
              <w:jc w:val="right"/>
              <w:spacing w:after="0"/>
              <w:rPr>
                <w:sz w:val="20"/>
                <w:szCs w:val="20"/>
                <w:color w:val="auto"/>
              </w:rPr>
            </w:pPr>
            <w:r>
              <w:rPr>
                <w:rFonts w:ascii="Arial" w:cs="Arial" w:eastAsia="Arial" w:hAnsi="Arial"/>
                <w:sz w:val="18"/>
                <w:szCs w:val="18"/>
                <w:color w:val="auto"/>
              </w:rPr>
              <w:t>14,240,237(1)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Venrock Healthcare Capital Partners EG, L.P.</w:t>
            </w:r>
          </w:p>
        </w:tc>
        <w:tc>
          <w:tcPr>
            <w:tcW w:w="2160" w:type="dxa"/>
            <w:vAlign w:val="bottom"/>
          </w:tcPr>
          <w:p>
            <w:pPr>
              <w:jc w:val="right"/>
              <w:spacing w:after="0"/>
              <w:rPr>
                <w:sz w:val="20"/>
                <w:szCs w:val="20"/>
                <w:color w:val="auto"/>
              </w:rPr>
            </w:pPr>
            <w:r>
              <w:rPr>
                <w:rFonts w:ascii="Arial" w:cs="Arial" w:eastAsia="Arial" w:hAnsi="Arial"/>
                <w:sz w:val="18"/>
                <w:szCs w:val="18"/>
                <w:color w:val="auto"/>
              </w:rPr>
              <w:t>14,240,237(1)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VHCP Management II, LLC</w:t>
            </w:r>
          </w:p>
        </w:tc>
        <w:tc>
          <w:tcPr>
            <w:tcW w:w="2160" w:type="dxa"/>
            <w:vAlign w:val="bottom"/>
          </w:tcPr>
          <w:p>
            <w:pPr>
              <w:jc w:val="right"/>
              <w:spacing w:after="0"/>
              <w:rPr>
                <w:sz w:val="20"/>
                <w:szCs w:val="20"/>
                <w:color w:val="auto"/>
              </w:rPr>
            </w:pPr>
            <w:r>
              <w:rPr>
                <w:rFonts w:ascii="Arial" w:cs="Arial" w:eastAsia="Arial" w:hAnsi="Arial"/>
                <w:sz w:val="18"/>
                <w:szCs w:val="18"/>
                <w:color w:val="auto"/>
              </w:rPr>
              <w:t>14,240,237(1)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VHCP Management EG, LLC</w:t>
            </w:r>
          </w:p>
        </w:tc>
        <w:tc>
          <w:tcPr>
            <w:tcW w:w="2160" w:type="dxa"/>
            <w:vAlign w:val="bottom"/>
          </w:tcPr>
          <w:p>
            <w:pPr>
              <w:jc w:val="right"/>
              <w:spacing w:after="0"/>
              <w:rPr>
                <w:sz w:val="20"/>
                <w:szCs w:val="20"/>
                <w:color w:val="auto"/>
              </w:rPr>
            </w:pPr>
            <w:r>
              <w:rPr>
                <w:rFonts w:ascii="Arial" w:cs="Arial" w:eastAsia="Arial" w:hAnsi="Arial"/>
                <w:sz w:val="18"/>
                <w:szCs w:val="18"/>
                <w:color w:val="auto"/>
              </w:rPr>
              <w:t>14,240,237(1)</w:t>
            </w:r>
          </w:p>
        </w:tc>
      </w:tr>
      <w:tr>
        <w:trPr>
          <w:trHeight w:val="216"/>
        </w:trPr>
        <w:tc>
          <w:tcPr>
            <w:tcW w:w="6320" w:type="dxa"/>
            <w:vAlign w:val="bottom"/>
          </w:tcPr>
          <w:p>
            <w:pPr>
              <w:ind w:left="1920"/>
              <w:spacing w:after="0"/>
              <w:rPr>
                <w:sz w:val="20"/>
                <w:szCs w:val="20"/>
                <w:color w:val="auto"/>
              </w:rPr>
            </w:pPr>
            <w:r>
              <w:rPr>
                <w:rFonts w:ascii="Arial" w:cs="Arial" w:eastAsia="Arial" w:hAnsi="Arial"/>
                <w:sz w:val="18"/>
                <w:szCs w:val="18"/>
                <w:color w:val="auto"/>
              </w:rPr>
              <w:t>Nimish Shah</w:t>
            </w:r>
          </w:p>
        </w:tc>
        <w:tc>
          <w:tcPr>
            <w:tcW w:w="2160" w:type="dxa"/>
            <w:vAlign w:val="bottom"/>
          </w:tcPr>
          <w:p>
            <w:pPr>
              <w:jc w:val="right"/>
              <w:spacing w:after="0"/>
              <w:rPr>
                <w:sz w:val="20"/>
                <w:szCs w:val="20"/>
                <w:color w:val="auto"/>
              </w:rPr>
            </w:pPr>
            <w:r>
              <w:rPr>
                <w:rFonts w:ascii="Arial" w:cs="Arial" w:eastAsia="Arial" w:hAnsi="Arial"/>
                <w:sz w:val="18"/>
                <w:szCs w:val="18"/>
                <w:color w:val="auto"/>
              </w:rPr>
              <w:t>14,240,237(1)</w:t>
            </w:r>
          </w:p>
        </w:tc>
      </w:tr>
      <w:tr>
        <w:trPr>
          <w:trHeight w:val="230"/>
        </w:trPr>
        <w:tc>
          <w:tcPr>
            <w:tcW w:w="6320" w:type="dxa"/>
            <w:vAlign w:val="bottom"/>
          </w:tcPr>
          <w:p>
            <w:pPr>
              <w:ind w:left="1920"/>
              <w:spacing w:after="0"/>
              <w:rPr>
                <w:sz w:val="20"/>
                <w:szCs w:val="20"/>
                <w:color w:val="auto"/>
              </w:rPr>
            </w:pPr>
            <w:r>
              <w:rPr>
                <w:rFonts w:ascii="Arial" w:cs="Arial" w:eastAsia="Arial" w:hAnsi="Arial"/>
                <w:sz w:val="18"/>
                <w:szCs w:val="18"/>
                <w:color w:val="auto"/>
              </w:rPr>
              <w:t>Bong Koh</w:t>
            </w:r>
          </w:p>
        </w:tc>
        <w:tc>
          <w:tcPr>
            <w:tcW w:w="2160" w:type="dxa"/>
            <w:vAlign w:val="bottom"/>
          </w:tcPr>
          <w:p>
            <w:pPr>
              <w:jc w:val="right"/>
              <w:spacing w:after="0"/>
              <w:rPr>
                <w:sz w:val="20"/>
                <w:szCs w:val="20"/>
                <w:color w:val="auto"/>
              </w:rPr>
            </w:pPr>
            <w:r>
              <w:rPr>
                <w:rFonts w:ascii="Arial" w:cs="Arial" w:eastAsia="Arial" w:hAnsi="Arial"/>
                <w:sz w:val="18"/>
                <w:szCs w:val="18"/>
                <w:color w:val="auto"/>
              </w:rPr>
              <w:t>14,240,237(1)</w:t>
            </w:r>
          </w:p>
        </w:tc>
      </w:tr>
    </w:tbl>
    <w:p>
      <w:pPr>
        <w:spacing w:after="0" w:line="202" w:lineRule="exact"/>
        <w:rPr>
          <w:sz w:val="20"/>
          <w:szCs w:val="20"/>
          <w:color w:val="auto"/>
        </w:rPr>
      </w:pPr>
    </w:p>
    <w:p>
      <w:pPr>
        <w:ind w:left="340" w:right="80" w:hanging="332"/>
        <w:spacing w:after="0" w:line="28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(i) 2,450,448 shares of common stock and 1,277,648 shares of common stock issuable upon conversion of shares of Series D preferred stock held by Venrock Healthcare Capital Partners II, L.P., (ii) 993,096 shares of common stock and 517,785 shares of common stock issuable upon conversion of shares of Series D preferred stock held by VHCP Co-Investment Holdings II, LLC and (iii) 5,916,456 shares of common stock and 3,084,804 shares of common stock issuable upon conversion of shares of Series D preferred stock held by Venrock Healthcare Capital Partners EG, L.P. The share numbers in the preceding sentence represent the maximum number of shares of common stock issuable upon the voluntary conversion of the Reporting Persons’ Series D preferred stock pursuant to the Certificate of Designation for the Series D preferred stock as a result of the blocker provision of the Certificate of Designation described in the following sentence. The Certificate of Designation provides that the holder of Series D preferred stock will not have a right to convert, subject to certain exceptions, the Series D preferred stock for common stock if, as a result of such conversion, the holder, together with its affiliates and other attribution parties, would own more than 9.99% of the total number of shares of common stock then outstanding or, upon 61 days’ notice, 19.99% of the total number of shares of common stock then outstanding. Without giving effect to this blocker provision, the Series D preferred stock owned by the Reporting Persons would be convertible into an aggregate of 6,942,596 shares of common stock. VHCP Management II, LLC is the general partner of Venrock Healthcare Capital Partners II, L.P. and the manager of VHCP Co-Investment Holdings II, LLC. VHCP Management EG, LLC is the general partner of Venrock Healthcare Capital Partners EG, L.P. Messrs. Shah and Koh are the voting members of VHCP Management II, LLC and VHCP Management EG, LLC.</w:t>
      </w:r>
    </w:p>
    <w:p>
      <w:pPr>
        <w:spacing w:after="0" w:line="170" w:lineRule="exact"/>
        <w:rPr>
          <w:rFonts w:ascii="Arial" w:cs="Arial" w:eastAsia="Arial" w:hAnsi="Arial"/>
          <w:sz w:val="16"/>
          <w:szCs w:val="16"/>
          <w:color w:val="auto"/>
        </w:rPr>
      </w:pPr>
    </w:p>
    <w:p>
      <w:pPr>
        <w:ind w:left="340" w:right="26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percentage is calculated based upon (i) 137,664,676 shares of common stock outstanding after the offering described in the Issuer’s prospectus supplement filed with the Securities and Exchange Commission on December 21, 2020, plus (ii) 4,880,237 shares of common stock issuable upon conversion of the Reporting Persons’ Series 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1" w:name="page12"/>
    <w:bookmarkEnd w:id="11"/>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29" w:lineRule="exact"/>
        <w:rPr>
          <w:sz w:val="20"/>
          <w:szCs w:val="20"/>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20" w:right="20" w:hanging="903"/>
        <w:spacing w:after="0" w:line="282"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12" w:name="page13"/>
    <w:bookmarkEnd w:id="12"/>
    <w:p>
      <w:pPr>
        <w:spacing w:after="0"/>
        <w:tabs>
          <w:tab w:leader="none" w:pos="1022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6"/>
          <w:szCs w:val="16"/>
          <w:color w:val="auto"/>
        </w:rPr>
        <w:t>Page 13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180"/>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February 16, 2021</w:t>
      </w:r>
    </w:p>
    <w:p>
      <w:pPr>
        <w:spacing w:after="0" w:line="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b w:val="1"/>
          <w:bCs w:val="1"/>
          <w:color w:val="auto"/>
        </w:rPr>
        <w:t>Venrock Healthcare Capital Partners II, L.P.</w:t>
      </w:r>
      <w:r>
        <w:rPr>
          <w:sz w:val="20"/>
          <w:szCs w:val="20"/>
          <w:color w:val="auto"/>
        </w:rPr>
        <w:tab/>
      </w:r>
      <w:r>
        <w:rPr>
          <w:rFonts w:ascii="Arial" w:cs="Arial" w:eastAsia="Arial" w:hAnsi="Arial"/>
          <w:sz w:val="17"/>
          <w:szCs w:val="17"/>
          <w:b w:val="1"/>
          <w:bCs w:val="1"/>
          <w:color w:val="auto"/>
        </w:rPr>
        <w:t>VHCP Management II,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VHCP Management 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ectPr>
          <w:pgSz w:w="11900" w:h="16838" w:orient="portrait"/>
          <w:cols w:equalWidth="0" w:num="1">
            <w:col w:w="11240"/>
          </w:cols>
          <w:pgMar w:left="320" w:top="904"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604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David L. Stepp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Its: Authorized Signatory</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VHCP Co-Investment Holdings II, LLC</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 VHCP Management II,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Its: Manager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14605</wp:posOffset>
            </wp:positionV>
            <wp:extent cx="33515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David L. Stepp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Its: Authorized Signatory</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VHCP Management EG, LLC</w:t>
      </w:r>
    </w:p>
    <w:p>
      <w:pPr>
        <w:spacing w:after="0" w:line="944" w:lineRule="exact"/>
        <w:rPr>
          <w:sz w:val="20"/>
          <w:szCs w:val="20"/>
          <w:color w:val="auto"/>
        </w:rPr>
      </w:pPr>
    </w:p>
    <w:p>
      <w:pPr>
        <w:sectPr>
          <w:pgSz w:w="11900" w:h="16838" w:orient="portrait"/>
          <w:cols w:equalWidth="0" w:num="2">
            <w:col w:w="4900" w:space="720"/>
            <w:col w:w="5620"/>
          </w:cols>
          <w:pgMar w:left="320" w:top="904"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By: /s/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604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David L. Stepp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Its: Authorized Signatory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Venrock Healthcare Capital Partners EG,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VHCP Management EG,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David L. Stepp</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Nimish Shah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L. Stepp, Attorney-in-fact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14605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David L. Stepp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Its: Authorized Signatory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Bong Koh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David L. Stepp,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1726565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900" w:space="720"/>
            <w:col w:w="5620"/>
          </w:cols>
          <w:pgMar w:left="320" w:top="904" w:right="339" w:bottom="1440" w:gutter="0" w:footer="0" w:header="0"/>
          <w:type w:val="continuous"/>
        </w:sectPr>
      </w:pPr>
    </w:p>
    <w:bookmarkStart w:id="13" w:name="page14"/>
    <w:bookmarkEnd w:id="13"/>
    <w:p>
      <w:pPr>
        <w:spacing w:after="0"/>
        <w:tabs>
          <w:tab w:leader="none" w:pos="1022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6"/>
          <w:szCs w:val="16"/>
          <w:color w:val="auto"/>
        </w:rPr>
        <w:t>Page 14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Power of Attorney for Nimish Shah</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Power of Attorney for Bong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80" w:firstLine="441"/>
        <w:spacing w:after="0" w:line="301"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agree to the joint filing on behalf of each of them of a statement on Schedule 13G (including amendments thereto) with respect to the Common Stock of VistaGen Therapeutics, Inc.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evidence whereof, the undersigned have caused this Agreement to be executed on their behalf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5"/>
          </w:tcPr>
          <w:p>
            <w:pPr>
              <w:spacing w:after="0"/>
              <w:rPr>
                <w:sz w:val="20"/>
                <w:szCs w:val="20"/>
                <w:color w:val="auto"/>
              </w:rPr>
            </w:pPr>
            <w:r>
              <w:rPr>
                <w:rFonts w:ascii="Arial" w:cs="Arial" w:eastAsia="Arial" w:hAnsi="Arial"/>
                <w:sz w:val="18"/>
                <w:szCs w:val="18"/>
                <w:b w:val="1"/>
                <w:bCs w:val="1"/>
                <w:color w:val="auto"/>
              </w:rPr>
              <w:t>Venrock Healthcare Capital Partners II, L.P.</w:t>
            </w:r>
          </w:p>
        </w:tc>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VHCP Management II, LLC</w:t>
            </w: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rPr>
              <w:t>VHCP Management II, LLC</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Its:</w:t>
            </w: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rPr>
              <w:t>General Partner</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rPr>
              <w:t>/s/ David L. Stepp</w:t>
            </w:r>
          </w:p>
        </w:tc>
        <w:tc>
          <w:tcPr>
            <w:tcW w:w="5180" w:type="dxa"/>
            <w:vAlign w:val="bottom"/>
            <w:gridSpan w:val="3"/>
          </w:tcPr>
          <w:p>
            <w:pPr>
              <w:spacing w:after="0"/>
              <w:rPr>
                <w:sz w:val="20"/>
                <w:szCs w:val="20"/>
                <w:color w:val="auto"/>
              </w:rPr>
            </w:pPr>
            <w:r>
              <w:rPr>
                <w:rFonts w:ascii="Arial" w:cs="Arial" w:eastAsia="Arial" w:hAnsi="Arial"/>
                <w:sz w:val="18"/>
                <w:szCs w:val="18"/>
                <w:color w:val="auto"/>
              </w:rPr>
              <w:t>By: /s/ David L. Stepp</w:t>
            </w:r>
          </w:p>
        </w:tc>
      </w:tr>
      <w:tr>
        <w:trPr>
          <w:trHeight w:val="195"/>
        </w:trPr>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David L. Stepp</w:t>
            </w:r>
          </w:p>
        </w:tc>
      </w:tr>
      <w:tr>
        <w:trPr>
          <w:trHeight w:val="230"/>
        </w:trPr>
        <w:tc>
          <w:tcPr>
            <w:tcW w:w="320" w:type="dxa"/>
            <w:vAlign w:val="bottom"/>
          </w:tcPr>
          <w:p>
            <w:pPr>
              <w:spacing w:after="0"/>
              <w:rPr>
                <w:sz w:val="20"/>
                <w:szCs w:val="20"/>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Its:</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Authorized Signatory</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340" w:type="dxa"/>
            <w:vAlign w:val="bottom"/>
          </w:tcPr>
          <w:p>
            <w:pPr>
              <w:ind w:left="40"/>
              <w:spacing w:after="0"/>
              <w:rPr>
                <w:sz w:val="20"/>
                <w:szCs w:val="20"/>
                <w:color w:val="auto"/>
              </w:rPr>
            </w:pPr>
            <w:r>
              <w:rPr>
                <w:rFonts w:ascii="Arial" w:cs="Arial" w:eastAsia="Arial" w:hAnsi="Arial"/>
                <w:sz w:val="18"/>
                <w:szCs w:val="18"/>
                <w:color w:val="auto"/>
              </w:rPr>
              <w:t>Authorized Signatory</w:t>
            </w:r>
          </w:p>
        </w:tc>
      </w:tr>
      <w:tr>
        <w:trPr>
          <w:trHeight w:val="432"/>
        </w:trPr>
        <w:tc>
          <w:tcPr>
            <w:tcW w:w="6060" w:type="dxa"/>
            <w:vAlign w:val="bottom"/>
            <w:gridSpan w:val="5"/>
          </w:tcPr>
          <w:p>
            <w:pPr>
              <w:spacing w:after="0"/>
              <w:rPr>
                <w:sz w:val="20"/>
                <w:szCs w:val="20"/>
                <w:color w:val="auto"/>
              </w:rPr>
            </w:pPr>
            <w:r>
              <w:rPr>
                <w:rFonts w:ascii="Arial" w:cs="Arial" w:eastAsia="Arial" w:hAnsi="Arial"/>
                <w:sz w:val="18"/>
                <w:szCs w:val="18"/>
                <w:b w:val="1"/>
                <w:bCs w:val="1"/>
                <w:color w:val="auto"/>
              </w:rPr>
              <w:t>VHCP Co-Investment Holdings II, LLC</w:t>
            </w:r>
          </w:p>
        </w:tc>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VHCP Management EG, LLC</w:t>
            </w: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rPr>
              <w:t>VHCP Management II, LLC</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Its:</w:t>
            </w: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rPr>
              <w:t>Manager</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5740" w:type="dxa"/>
            <w:vAlign w:val="bottom"/>
            <w:gridSpan w:val="4"/>
          </w:tcPr>
          <w:p>
            <w:pPr>
              <w:ind w:left="260"/>
              <w:spacing w:after="0"/>
              <w:rPr>
                <w:sz w:val="20"/>
                <w:szCs w:val="20"/>
                <w:color w:val="auto"/>
              </w:rPr>
            </w:pPr>
            <w:r>
              <w:rPr>
                <w:rFonts w:ascii="Arial" w:cs="Arial" w:eastAsia="Arial" w:hAnsi="Arial"/>
                <w:sz w:val="18"/>
                <w:szCs w:val="18"/>
                <w:color w:val="auto"/>
              </w:rPr>
              <w:t>/s/ David L. Stepp</w:t>
            </w:r>
          </w:p>
        </w:tc>
        <w:tc>
          <w:tcPr>
            <w:tcW w:w="5180" w:type="dxa"/>
            <w:vAlign w:val="bottom"/>
            <w:gridSpan w:val="3"/>
          </w:tcPr>
          <w:p>
            <w:pPr>
              <w:spacing w:after="0"/>
              <w:rPr>
                <w:sz w:val="20"/>
                <w:szCs w:val="20"/>
                <w:color w:val="auto"/>
              </w:rPr>
            </w:pPr>
            <w:r>
              <w:rPr>
                <w:rFonts w:ascii="Arial" w:cs="Arial" w:eastAsia="Arial" w:hAnsi="Arial"/>
                <w:sz w:val="18"/>
                <w:szCs w:val="18"/>
                <w:color w:val="auto"/>
              </w:rPr>
              <w:t>By: /s/ David L. Stepp</w:t>
            </w:r>
          </w:p>
        </w:tc>
      </w:tr>
      <w:tr>
        <w:trPr>
          <w:trHeight w:val="195"/>
        </w:trPr>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David L. Stepp</w:t>
            </w:r>
          </w:p>
        </w:tc>
      </w:tr>
      <w:tr>
        <w:trPr>
          <w:trHeight w:val="230"/>
        </w:trPr>
        <w:tc>
          <w:tcPr>
            <w:tcW w:w="320" w:type="dxa"/>
            <w:vAlign w:val="bottom"/>
          </w:tcPr>
          <w:p>
            <w:pPr>
              <w:spacing w:after="0"/>
              <w:rPr>
                <w:sz w:val="20"/>
                <w:szCs w:val="20"/>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Its:</w:t>
            </w: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Authorized Signatory</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340" w:type="dxa"/>
            <w:vAlign w:val="bottom"/>
          </w:tcPr>
          <w:p>
            <w:pPr>
              <w:ind w:left="40"/>
              <w:spacing w:after="0"/>
              <w:rPr>
                <w:sz w:val="20"/>
                <w:szCs w:val="20"/>
                <w:color w:val="auto"/>
              </w:rPr>
            </w:pPr>
            <w:r>
              <w:rPr>
                <w:rFonts w:ascii="Arial" w:cs="Arial" w:eastAsia="Arial" w:hAnsi="Arial"/>
                <w:sz w:val="18"/>
                <w:szCs w:val="18"/>
                <w:color w:val="auto"/>
              </w:rPr>
              <w:t>Authorized Signatory</w:t>
            </w:r>
          </w:p>
        </w:tc>
      </w:tr>
      <w:tr>
        <w:trPr>
          <w:trHeight w:val="432"/>
        </w:trPr>
        <w:tc>
          <w:tcPr>
            <w:tcW w:w="6060" w:type="dxa"/>
            <w:vAlign w:val="bottom"/>
            <w:gridSpan w:val="5"/>
          </w:tcPr>
          <w:p>
            <w:pPr>
              <w:spacing w:after="0"/>
              <w:rPr>
                <w:sz w:val="20"/>
                <w:szCs w:val="20"/>
                <w:color w:val="auto"/>
              </w:rPr>
            </w:pPr>
            <w:r>
              <w:rPr>
                <w:rFonts w:ascii="Arial" w:cs="Arial" w:eastAsia="Arial" w:hAnsi="Arial"/>
                <w:sz w:val="18"/>
                <w:szCs w:val="18"/>
                <w:b w:val="1"/>
                <w:bCs w:val="1"/>
                <w:color w:val="auto"/>
              </w:rPr>
              <w:t>Venrock Healthcare Capital Partners EG, L.P.</w:t>
            </w: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w w:val="95"/>
              </w:rPr>
              <w:t>Bong Koh</w:t>
            </w:r>
          </w:p>
        </w:tc>
        <w:tc>
          <w:tcPr>
            <w:tcW w:w="4340" w:type="dxa"/>
            <w:vAlign w:val="bottom"/>
          </w:tcPr>
          <w:p>
            <w:pPr>
              <w:spacing w:after="0"/>
              <w:rPr>
                <w:sz w:val="24"/>
                <w:szCs w:val="24"/>
                <w:color w:val="auto"/>
              </w:rPr>
            </w:pPr>
          </w:p>
        </w:tc>
      </w:tr>
      <w:tr>
        <w:trPr>
          <w:trHeight w:val="432"/>
        </w:trPr>
        <w:tc>
          <w:tcPr>
            <w:tcW w:w="6060" w:type="dxa"/>
            <w:vAlign w:val="bottom"/>
            <w:gridSpan w:val="5"/>
          </w:tcPr>
          <w:p>
            <w:pPr>
              <w:spacing w:after="0"/>
              <w:rPr>
                <w:sz w:val="20"/>
                <w:szCs w:val="20"/>
                <w:color w:val="auto"/>
              </w:rPr>
            </w:pPr>
            <w:r>
              <w:rPr>
                <w:rFonts w:ascii="Arial" w:cs="Arial" w:eastAsia="Arial" w:hAnsi="Arial"/>
                <w:sz w:val="18"/>
                <w:szCs w:val="18"/>
                <w:color w:val="auto"/>
              </w:rPr>
              <w:t>By: VHCP Management EG, LLC</w:t>
            </w:r>
          </w:p>
        </w:tc>
        <w:tc>
          <w:tcPr>
            <w:tcW w:w="5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L. Stepp</w:t>
            </w:r>
          </w:p>
        </w:tc>
      </w:tr>
      <w:tr>
        <w:trPr>
          <w:trHeight w:val="224"/>
        </w:trPr>
        <w:tc>
          <w:tcPr>
            <w:tcW w:w="320" w:type="dxa"/>
            <w:vAlign w:val="bottom"/>
          </w:tcPr>
          <w:p>
            <w:pPr>
              <w:spacing w:after="0"/>
              <w:rPr>
                <w:sz w:val="20"/>
                <w:szCs w:val="20"/>
                <w:color w:val="auto"/>
              </w:rPr>
            </w:pPr>
            <w:r>
              <w:rPr>
                <w:rFonts w:ascii="Arial" w:cs="Arial" w:eastAsia="Arial" w:hAnsi="Arial"/>
                <w:sz w:val="18"/>
                <w:szCs w:val="18"/>
                <w:color w:val="auto"/>
              </w:rPr>
              <w:t>Its:</w:t>
            </w:r>
          </w:p>
        </w:tc>
        <w:tc>
          <w:tcPr>
            <w:tcW w:w="5740" w:type="dxa"/>
            <w:vAlign w:val="bottom"/>
            <w:gridSpan w:val="4"/>
          </w:tcPr>
          <w:p>
            <w:pPr>
              <w:ind w:left="60"/>
              <w:spacing w:after="0"/>
              <w:rPr>
                <w:sz w:val="20"/>
                <w:szCs w:val="20"/>
                <w:color w:val="auto"/>
              </w:rPr>
            </w:pPr>
            <w:r>
              <w:rPr>
                <w:rFonts w:ascii="Arial" w:cs="Arial" w:eastAsia="Arial" w:hAnsi="Arial"/>
                <w:sz w:val="18"/>
                <w:szCs w:val="18"/>
                <w:color w:val="auto"/>
              </w:rPr>
              <w:t>General Partner</w:t>
            </w:r>
          </w:p>
        </w:tc>
        <w:tc>
          <w:tcPr>
            <w:tcW w:w="5180" w:type="dxa"/>
            <w:vAlign w:val="bottom"/>
            <w:gridSpan w:val="3"/>
          </w:tcPr>
          <w:p>
            <w:pPr>
              <w:spacing w:after="0"/>
              <w:rPr>
                <w:sz w:val="20"/>
                <w:szCs w:val="20"/>
                <w:color w:val="auto"/>
              </w:rPr>
            </w:pPr>
            <w:r>
              <w:rPr>
                <w:rFonts w:ascii="Arial" w:cs="Arial" w:eastAsia="Arial" w:hAnsi="Arial"/>
                <w:sz w:val="18"/>
                <w:szCs w:val="18"/>
                <w:color w:val="auto"/>
              </w:rPr>
              <w:t>David L. Stepp, Attorney-in-fact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7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David L. Stepp</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Nimish Shah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L. Stepp,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 FOR NIMISH SHAH</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KNOW ALL BY THESE PRESENTS, that the undersigned hereby constitutes and appoints each of David L. Stepp, Sherman G. Souther and Lisa 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Harris signing individually, the undersigned’s true and lawful attorney-in fact and agent to:</w:t>
      </w:r>
    </w:p>
    <w:p>
      <w:pPr>
        <w:spacing w:after="0" w:line="211" w:lineRule="exact"/>
        <w:rPr>
          <w:sz w:val="20"/>
          <w:szCs w:val="20"/>
          <w:color w:val="auto"/>
        </w:rPr>
      </w:pPr>
    </w:p>
    <w:p>
      <w:pPr>
        <w:ind w:left="1460" w:right="140" w:hanging="561"/>
        <w:spacing w:after="0" w:line="272" w:lineRule="auto"/>
        <w:tabs>
          <w:tab w:leader="none" w:pos="1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 and any amendments thereto in accordance with Section 13 of the Exchange Act and the rules thereunder, and (b) Forms 3, 4 and 5 and any amendments thereto in accordance with Section 16(a) of the Exchange Act and the rules thereunder; and</w:t>
      </w:r>
    </w:p>
    <w:p>
      <w:pPr>
        <w:spacing w:after="0" w:line="177" w:lineRule="exact"/>
        <w:rPr>
          <w:rFonts w:ascii="Arial" w:cs="Arial" w:eastAsia="Arial" w:hAnsi="Arial"/>
          <w:sz w:val="17"/>
          <w:szCs w:val="17"/>
          <w:color w:val="auto"/>
        </w:rPr>
      </w:pPr>
    </w:p>
    <w:p>
      <w:pPr>
        <w:ind w:left="1460" w:right="80" w:hanging="561"/>
        <w:spacing w:after="0" w:line="279" w:lineRule="auto"/>
        <w:tabs>
          <w:tab w:leader="none" w:pos="1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undersigned, is not assuming, nor is Venrock assuming, any of the undersigned’s responsibilities to comply with the Exchange Act, including without limitation Sections 13 and 16 of the Exchange Act.</w:t>
      </w:r>
    </w:p>
    <w:p>
      <w:pPr>
        <w:spacing w:after="0" w:line="19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VR Management, LLC (or its successor).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 this Power of Attorney to be executed as of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 Nimish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 FOR BONG KOH</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KNOW ALL BY THESE PRESENTS, that the undersigned hereby constitutes and appoints each of David L. Stepp, Sherman G. Souther and Lisa 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Harris signing individually, the undersigned’s true and lawful attorney-in fact and agent to:</w:t>
      </w:r>
    </w:p>
    <w:p>
      <w:pPr>
        <w:spacing w:after="0" w:line="211" w:lineRule="exact"/>
        <w:rPr>
          <w:sz w:val="20"/>
          <w:szCs w:val="20"/>
          <w:color w:val="auto"/>
        </w:rPr>
      </w:pPr>
    </w:p>
    <w:p>
      <w:pPr>
        <w:ind w:left="1460" w:right="140" w:hanging="561"/>
        <w:spacing w:after="0" w:line="272" w:lineRule="auto"/>
        <w:tabs>
          <w:tab w:leader="none" w:pos="1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 and any amendments thereto in accordance with Section 13 of the Exchange Act and the rules thereunder, and (b) Forms 3, 4 and 5 and any amendments thereto in accordance with Section 16(a) of the Exchange Act and the rules thereunder; and</w:t>
      </w:r>
    </w:p>
    <w:p>
      <w:pPr>
        <w:spacing w:after="0" w:line="177" w:lineRule="exact"/>
        <w:rPr>
          <w:rFonts w:ascii="Arial" w:cs="Arial" w:eastAsia="Arial" w:hAnsi="Arial"/>
          <w:sz w:val="17"/>
          <w:szCs w:val="17"/>
          <w:color w:val="auto"/>
        </w:rPr>
      </w:pPr>
    </w:p>
    <w:p>
      <w:pPr>
        <w:ind w:left="1460" w:right="80" w:hanging="561"/>
        <w:spacing w:after="0" w:line="279" w:lineRule="auto"/>
        <w:tabs>
          <w:tab w:leader="none" w:pos="1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undersigned, is not assuming, nor is Venrock assuming, any of the undersigned’s responsibilities to comply with the Exchange Act, including without limitation Sections 13 and 16 of the Exchange Act.</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VR Management, LLC (or its successor).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 this Power of Attorney to be executed as of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 Bong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bullet"/>
      <w:start w:val="1"/>
    </w:lvl>
  </w:abstractNum>
  <w:abstractNum w:abstractNumId="4">
    <w:nsid w:val="431BD7B7"/>
    <w:multiLevelType w:val="hybridMultilevel"/>
    <w:lvl w:ilvl="0">
      <w:lvlJc w:val="left"/>
      <w:lvlText w:val="2"/>
      <w:numFmt w:val="bullet"/>
      <w:start w:val="1"/>
    </w:lvl>
  </w:abstractNum>
  <w:abstractNum w:abstractNumId="5">
    <w:nsid w:val="3F2DBA31"/>
    <w:multiLevelType w:val="hybridMultilevel"/>
    <w:lvl w:ilvl="0">
      <w:lvlJc w:val="left"/>
      <w:lvlText w:val="3"/>
      <w:numFmt w:val="bullet"/>
      <w:start w:val="1"/>
    </w:lvl>
  </w:abstractNum>
  <w:abstractNum w:abstractNumId="6">
    <w:nsid w:val="7C83E458"/>
    <w:multiLevelType w:val="hybridMultilevel"/>
    <w:lvl w:ilvl="0">
      <w:lvlJc w:val="left"/>
      <w:lvlText w:val="1"/>
      <w:numFmt w:val="bullet"/>
      <w:start w:val="1"/>
    </w:lvl>
  </w:abstractNum>
  <w:abstractNum w:abstractNumId="7">
    <w:nsid w:val="257130A3"/>
    <w:multiLevelType w:val="hybridMultilevel"/>
    <w:lvl w:ilvl="0">
      <w:lvlJc w:val="left"/>
      <w:lvlText w:val="2"/>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1"/>
      <w:numFmt w:val="bullet"/>
      <w:start w:val="1"/>
    </w:lvl>
  </w:abstractNum>
  <w:abstractNum w:abstractNumId="10">
    <w:nsid w:val="628C895D"/>
    <w:multiLevelType w:val="hybridMultilevel"/>
    <w:lvl w:ilvl="0">
      <w:lvlJc w:val="left"/>
      <w:lvlText w:val="2"/>
      <w:numFmt w:val="bullet"/>
      <w:start w:val="1"/>
    </w:lvl>
  </w:abstractNum>
  <w:abstractNum w:abstractNumId="11">
    <w:nsid w:val="333AB105"/>
    <w:multiLevelType w:val="hybridMultilevel"/>
    <w:lvl w:ilvl="0">
      <w:lvlJc w:val="left"/>
      <w:lvlText w:val="3"/>
      <w:numFmt w:val="bullet"/>
      <w:start w:val="1"/>
    </w:lvl>
  </w:abstractNum>
  <w:abstractNum w:abstractNumId="12">
    <w:nsid w:val="721DA31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3">
    <w:nsid w:val="2443A858"/>
    <w:multiLevelType w:val="hybridMultilevel"/>
    <w:lvl w:ilvl="0">
      <w:lvlJc w:val="left"/>
      <w:lvlText w:val="%1."/>
      <w:numFmt w:val="decimal"/>
      <w:start w:val="9"/>
    </w:lvl>
  </w:abstractNum>
  <w:abstractNum w:abstractNumId="14">
    <w:nsid w:val="2D1D5AE9"/>
    <w:multiLevelType w:val="hybridMultilevel"/>
    <w:lvl w:ilvl="0">
      <w:lvlJc w:val="left"/>
      <w:lvlText w:val="1"/>
      <w:numFmt w:val="bullet"/>
      <w:start w:val="1"/>
    </w:lvl>
  </w:abstractNum>
  <w:abstractNum w:abstractNumId="15">
    <w:nsid w:val="6763845E"/>
    <w:multiLevelType w:val="hybridMultilevel"/>
    <w:lvl w:ilvl="0">
      <w:lvlJc w:val="left"/>
      <w:lvlText w:val="2"/>
      <w:numFmt w:val="bullet"/>
      <w:start w:val="1"/>
    </w:lvl>
  </w:abstractNum>
  <w:abstractNum w:abstractNumId="16">
    <w:nsid w:val="75A2A8D4"/>
    <w:multiLevelType w:val="hybridMultilevel"/>
    <w:lvl w:ilvl="0">
      <w:lvlJc w:val="left"/>
      <w:lvlText w:val="3"/>
      <w:numFmt w:val="bullet"/>
      <w:start w:val="1"/>
    </w:lvl>
  </w:abstractNum>
  <w:abstractNum w:abstractNumId="17">
    <w:nsid w:val="8EDBDAB"/>
    <w:multiLevelType w:val="hybridMultilevel"/>
    <w:lvl w:ilvl="0">
      <w:lvlJc w:val="left"/>
      <w:lvlText w:val="1"/>
      <w:numFmt w:val="bullet"/>
      <w:start w:val="1"/>
    </w:lvl>
  </w:abstractNum>
  <w:abstractNum w:abstractNumId="18">
    <w:nsid w:val="79838CB2"/>
    <w:multiLevelType w:val="hybridMultilevel"/>
    <w:lvl w:ilvl="0">
      <w:lvlJc w:val="left"/>
      <w:lvlText w:val="2"/>
      <w:numFmt w:val="bullet"/>
      <w:start w:val="1"/>
    </w:lvl>
  </w:abstractNum>
  <w:abstractNum w:abstractNumId="19">
    <w:nsid w:val="4353D0CD"/>
    <w:multiLevelType w:val="hybridMultilevel"/>
    <w:lvl w:ilvl="0">
      <w:lvlJc w:val="left"/>
      <w:lvlText w:val="3"/>
      <w:numFmt w:val="bullet"/>
      <w:start w:val="1"/>
    </w:lvl>
  </w:abstractNum>
  <w:abstractNum w:abstractNumId="20">
    <w:nsid w:val="B03E0C6"/>
    <w:multiLevelType w:val="hybridMultilevel"/>
    <w:lvl w:ilvl="0">
      <w:lvlJc w:val="left"/>
      <w:lvlText w:val="1"/>
      <w:numFmt w:val="bullet"/>
      <w:start w:val="1"/>
    </w:lvl>
  </w:abstractNum>
  <w:abstractNum w:abstractNumId="21">
    <w:nsid w:val="189A769B"/>
    <w:multiLevelType w:val="hybridMultilevel"/>
    <w:lvl w:ilvl="0">
      <w:lvlJc w:val="left"/>
      <w:lvlText w:val="2"/>
      <w:numFmt w:val="bullet"/>
      <w:start w:val="1"/>
    </w:lvl>
  </w:abstractNum>
  <w:abstractNum w:abstractNumId="22">
    <w:nsid w:val="54E49EB4"/>
    <w:multiLevelType w:val="hybridMultilevel"/>
    <w:lvl w:ilvl="0">
      <w:lvlJc w:val="left"/>
      <w:lvlText w:val="3"/>
      <w:numFmt w:val="bullet"/>
      <w:start w:val="1"/>
    </w:lvl>
  </w:abstractNum>
  <w:abstractNum w:abstractNumId="23">
    <w:nsid w:val="71F32454"/>
    <w:multiLevelType w:val="hybridMultilevel"/>
    <w:lvl w:ilvl="0">
      <w:lvlJc w:val="left"/>
      <w:lvlText w:val="1"/>
      <w:numFmt w:val="bullet"/>
      <w:start w:val="1"/>
    </w:lvl>
  </w:abstractNum>
  <w:abstractNum w:abstractNumId="24">
    <w:nsid w:val="2CA88611"/>
    <w:multiLevelType w:val="hybridMultilevel"/>
    <w:lvl w:ilvl="0">
      <w:lvlJc w:val="left"/>
      <w:lvlText w:val="2"/>
      <w:numFmt w:val="bullet"/>
      <w:start w:val="1"/>
    </w:lvl>
  </w:abstractNum>
  <w:abstractNum w:abstractNumId="25">
    <w:nsid w:val="836C40E"/>
    <w:multiLevelType w:val="hybridMultilevel"/>
    <w:lvl w:ilvl="0">
      <w:lvlJc w:val="left"/>
      <w:lvlText w:val="3"/>
      <w:numFmt w:val="bullet"/>
      <w:start w:val="1"/>
    </w:lvl>
  </w:abstractNum>
  <w:abstractNum w:abstractNumId="26">
    <w:nsid w:val="2901D82"/>
    <w:multiLevelType w:val="hybridMultilevel"/>
    <w:lvl w:ilvl="0">
      <w:lvlJc w:val="left"/>
      <w:lvlText w:val="(%1)"/>
      <w:numFmt w:val="lowerLetter"/>
      <w:start w:val="4"/>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upperLetter"/>
      <w:start w:val="1"/>
    </w:lvl>
  </w:abstractNum>
  <w:abstractNum w:abstractNumId="29">
    <w:nsid w:val="1E7FF521"/>
    <w:multiLevelType w:val="hybridMultilevel"/>
    <w:lvl w:ilvl="0">
      <w:lvlJc w:val="left"/>
      <w:lvlText w:val="(%1)"/>
      <w:numFmt w:val="lowerRoman"/>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2021-02-16T16:15:52Z</dcterms:created>
  <dcterms:modified xsi:type="dcterms:W3CDTF">2021-02-16T16:15:52Z</dcterms:modified>
</cp:coreProperties>
</file>