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b/>
          <w:caps w:val="false"/>
          <w:smallCaps w:val="false"/>
          <w:sz w:val="20"/>
        </w:rPr>
      </w:pPr>
      <w:bookmarkStart w:id="0" w:name="vtgn20240827_8k.htm"/>
      <w:bookmarkStart w:id="1" w:name="ksvtgn20240827_8k"/>
      <w:bookmarkEnd w:id="0"/>
      <w:bookmarkEnd w:id="1"/>
      <w:r>
        <w:rPr>
          <w:rFonts w:ascii="Times New Roman" w:hAnsi="Times New Roman"/>
          <w:b/>
          <w:caps w:val="false"/>
          <w:smallCaps w:val="false"/>
          <w:sz w:val="20"/>
        </w:rPr>
        <w:t xml:space="preserve">UNITED STATES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Date of Report (Date of earliest event reported): </w:t>
      </w:r>
      <w:r>
        <w:rPr>
          <w:rFonts w:ascii="Times New Roman" w:hAnsi="Times New Roman"/>
          <w:b/>
          <w:caps w:val="false"/>
          <w:smallCaps w:val="false"/>
          <w:sz w:val="20"/>
          <w:u w:val="single"/>
        </w:rPr>
        <w:t>August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2465"/>
        <w:gridCol w:w="2240"/>
        <w:gridCol w:w="1940"/>
      </w:tblGrid>
      <w:tr>
        <w:trPr/>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Nevada</w:t>
            </w:r>
          </w:p>
        </w:tc>
        <w:tc>
          <w:tcPr>
            <w:tcW w:w="22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000-54014</w:t>
            </w:r>
          </w:p>
        </w:tc>
        <w:tc>
          <w:tcPr>
            <w:tcW w:w="19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20-5093315</w:t>
            </w:r>
          </w:p>
        </w:tc>
      </w:tr>
      <w:tr>
        <w:trPr/>
        <w:tc>
          <w:tcPr>
            <w:tcW w:w="246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(State or other jurisdiction of </w:t>
            </w:r>
          </w:p>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incorporation)</w:t>
            </w:r>
          </w:p>
        </w:tc>
        <w:tc>
          <w:tcPr>
            <w:tcW w:w="224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(Commission File Number) </w:t>
            </w:r>
          </w:p>
        </w:tc>
        <w:tc>
          <w:tcPr>
            <w:tcW w:w="194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(IRS Employer </w:t>
            </w:r>
          </w:p>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Identification Number)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343 Allerton Ave.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South San Francisco, California 94080</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0"/>
        </w:rPr>
        <w:t>(650</w:t>
      </w:r>
      <w:r>
        <w:rPr>
          <w:rFonts w:ascii="Times New Roman" w:hAnsi="Times New Roman"/>
          <w:i/>
          <w:caps w:val="false"/>
          <w:smallCaps w:val="false"/>
          <w:sz w:val="20"/>
        </w:rPr>
        <w:t xml:space="preserve">) </w:t>
      </w:r>
      <w:r>
        <w:rPr>
          <w:rFonts w:ascii="Times New Roman" w:hAnsi="Times New Roman"/>
          <w:b/>
          <w:i/>
          <w:caps w:val="false"/>
          <w:smallCaps w:val="false"/>
          <w:sz w:val="20"/>
        </w:rPr>
        <w:t>577-3600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(Registrant</w:t>
      </w:r>
      <w:r>
        <w:rPr>
          <w:rFonts w:ascii="Times New Roman" w:hAnsi="Times New Roman"/>
          <w:caps w:val="false"/>
          <w:smallCaps w:val="false"/>
          <w:sz w:val="20"/>
        </w:rPr>
        <w:t>’</w:t>
      </w:r>
      <w:r>
        <w:rPr>
          <w:rFonts w:ascii="Times New Roman" w:hAnsi="Times New Roman"/>
          <w:i/>
          <w:caps w:val="false"/>
          <w:smallCaps w:val="false"/>
          <w:sz w:val="20"/>
        </w:rPr>
        <w: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585" w:type="dxa"/>
        <w:jc w:val="left"/>
        <w:tblInd w:w="0" w:type="dxa"/>
        <w:tblLayout w:type="fixed"/>
        <w:tblCellMar>
          <w:top w:w="0" w:type="dxa"/>
          <w:left w:w="0" w:type="dxa"/>
          <w:bottom w:w="0" w:type="dxa"/>
          <w:right w:w="0" w:type="dxa"/>
        </w:tblCellMar>
      </w:tblPr>
      <w:tblGrid>
        <w:gridCol w:w="230"/>
        <w:gridCol w:w="7355"/>
      </w:tblGrid>
      <w:tr>
        <w:trPr/>
        <w:tc>
          <w:tcPr>
            <w:tcW w:w="230" w:type="dxa"/>
            <w:tcBorders/>
            <w:vAlign w:val="center"/>
          </w:tcPr>
          <w:p>
            <w:pPr>
              <w:pStyle w:val="TableContents"/>
              <w:bidi w:val="0"/>
              <w:spacing w:before="0" w:after="0"/>
              <w:ind w:left="0" w:right="0" w:hanging="0"/>
              <w:jc w:val="left"/>
              <w:rPr/>
            </w:pPr>
            <w:r>
              <w:rPr/>
              <w:t>☐</w:t>
            </w:r>
          </w:p>
        </w:tc>
        <w:tc>
          <w:tcPr>
            <w:tcW w:w="73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 -12)</w:t>
            </w:r>
          </w:p>
        </w:tc>
      </w:tr>
    </w:tbl>
    <w:tbl>
      <w:tblPr>
        <w:tblW w:w="9325" w:type="dxa"/>
        <w:jc w:val="left"/>
        <w:tblInd w:w="0" w:type="dxa"/>
        <w:tblLayout w:type="fixed"/>
        <w:tblCellMar>
          <w:top w:w="0" w:type="dxa"/>
          <w:left w:w="0" w:type="dxa"/>
          <w:bottom w:w="0" w:type="dxa"/>
          <w:right w:w="0" w:type="dxa"/>
        </w:tblCellMar>
      </w:tblPr>
      <w:tblGrid>
        <w:gridCol w:w="230"/>
        <w:gridCol w:w="9095"/>
      </w:tblGrid>
      <w:tr>
        <w:trPr/>
        <w:tc>
          <w:tcPr>
            <w:tcW w:w="230" w:type="dxa"/>
            <w:tcBorders/>
            <w:vAlign w:val="center"/>
          </w:tcPr>
          <w:p>
            <w:pPr>
              <w:pStyle w:val="TableContents"/>
              <w:bidi w:val="0"/>
              <w:spacing w:before="0" w:after="0"/>
              <w:ind w:left="0" w:right="0" w:hanging="0"/>
              <w:jc w:val="left"/>
              <w:rPr/>
            </w:pPr>
            <w:r>
              <w:rPr/>
              <w:t>☐</w:t>
            </w:r>
          </w:p>
        </w:tc>
        <w:tc>
          <w:tcPr>
            <w:tcW w:w="9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 -2(b))</w:t>
            </w:r>
          </w:p>
        </w:tc>
      </w:tr>
    </w:tbl>
    <w:tbl>
      <w:tblPr>
        <w:tblW w:w="9265" w:type="dxa"/>
        <w:jc w:val="left"/>
        <w:tblInd w:w="0" w:type="dxa"/>
        <w:tblLayout w:type="fixed"/>
        <w:tblCellMar>
          <w:top w:w="0" w:type="dxa"/>
          <w:left w:w="0" w:type="dxa"/>
          <w:bottom w:w="0" w:type="dxa"/>
          <w:right w:w="0" w:type="dxa"/>
        </w:tblCellMar>
      </w:tblPr>
      <w:tblGrid>
        <w:gridCol w:w="230"/>
        <w:gridCol w:w="9035"/>
      </w:tblGrid>
      <w:tr>
        <w:trPr/>
        <w:tc>
          <w:tcPr>
            <w:tcW w:w="230"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 -4(c))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VTGN</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5.07</w:t>
      </w:r>
      <w:r>
        <w:rPr>
          <w:rFonts w:ascii="Times New Roman" w:hAnsi="Times New Roman"/>
          <w:caps w:val="false"/>
          <w:smallCaps w:val="false"/>
          <w:sz w:val="20"/>
        </w:rPr>
        <w:t xml:space="preserve">  </w:t>
      </w:r>
      <w:r>
        <w:rPr>
          <w:rFonts w:ascii="Times New Roman" w:hAnsi="Times New Roman"/>
          <w:b/>
          <w:caps w:val="false"/>
          <w:smallCaps w:val="false"/>
          <w:sz w:val="20"/>
        </w:rPr>
        <w:t>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26, 2024, Vistagen Therapeutics, Inc. (the “</w:t>
      </w:r>
      <w:r>
        <w:rPr>
          <w:rFonts w:ascii="Times New Roman" w:hAnsi="Times New Roman"/>
          <w:i/>
          <w:caps w:val="false"/>
          <w:smallCaps w:val="false"/>
          <w:sz w:val="20"/>
        </w:rPr>
        <w:t>Company</w:t>
      </w:r>
      <w:r>
        <w:rPr>
          <w:rFonts w:ascii="Times New Roman" w:hAnsi="Times New Roman"/>
          <w:caps w:val="false"/>
          <w:smallCaps w:val="false"/>
          <w:sz w:val="20"/>
        </w:rPr>
        <w:t>”) held its 2024 Annual Meeting of Stockholders (the “</w:t>
      </w:r>
      <w:r>
        <w:rPr>
          <w:rFonts w:ascii="Times New Roman" w:hAnsi="Times New Roman"/>
          <w:i/>
          <w:caps w:val="false"/>
          <w:smallCaps w:val="false"/>
          <w:sz w:val="20"/>
        </w:rPr>
        <w:t>2024</w:t>
      </w:r>
      <w:r>
        <w:rPr>
          <w:rFonts w:ascii="Times New Roman" w:hAnsi="Times New Roman"/>
          <w:caps w:val="false"/>
          <w:smallCaps w:val="false"/>
          <w:sz w:val="20"/>
        </w:rPr>
        <w:t xml:space="preserve"> </w:t>
      </w:r>
      <w:r>
        <w:rPr>
          <w:rFonts w:ascii="Times New Roman" w:hAnsi="Times New Roman"/>
          <w:i/>
          <w:caps w:val="false"/>
          <w:smallCaps w:val="false"/>
          <w:sz w:val="20"/>
        </w:rPr>
        <w:t>Annual Meeting</w:t>
      </w:r>
      <w:r>
        <w:rPr>
          <w:rFonts w:ascii="Times New Roman" w:hAnsi="Times New Roman"/>
          <w:caps w:val="false"/>
          <w:smallCaps w:val="false"/>
          <w:sz w:val="20"/>
        </w:rPr>
        <w:t>”). At the 2024 Annual Meeting, as set forth below, the Company’s stockholders: (i) elected each of the seven director nominees to the Company’s Board of Directors (the “</w:t>
      </w:r>
      <w:r>
        <w:rPr>
          <w:rFonts w:ascii="Times New Roman" w:hAnsi="Times New Roman"/>
          <w:i/>
          <w:caps w:val="false"/>
          <w:smallCaps w:val="false"/>
          <w:sz w:val="20"/>
        </w:rPr>
        <w:t>Board</w:t>
      </w:r>
      <w:r>
        <w:rPr>
          <w:rFonts w:ascii="Times New Roman" w:hAnsi="Times New Roman"/>
          <w:caps w:val="false"/>
          <w:smallCaps w:val="false"/>
          <w:sz w:val="20"/>
        </w:rPr>
        <w:t>”); (ii) approved, on an advisory basis, the compensation paid to the Company’s named executive officers; and (iii) ratified the appointment of KPMG LLP as the Company’s independent registered public accounting firm for the Company’s fiscal year ending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matters voted upon at the 2024 Annual Meeting and the results of the voting by the Company’s stockholders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Proposal No. 1 </w:t>
      </w:r>
      <w:r>
        <w:rPr>
          <w:rFonts w:ascii="Times New Roman" w:hAnsi="Times New Roman"/>
          <w:caps w:val="false"/>
          <w:smallCaps w:val="false"/>
          <w:sz w:val="20"/>
        </w:rPr>
        <w:t xml:space="preserve">– </w:t>
      </w:r>
      <w:r>
        <w:rPr>
          <w:rFonts w:ascii="Times New Roman" w:hAnsi="Times New Roman"/>
          <w:i/>
          <w:caps w:val="false"/>
          <w:smallCaps w:val="false"/>
          <w:sz w:val="20"/>
        </w:rPr>
        <w:t>Election of Directors</w:t>
      </w:r>
    </w:p>
    <w:p>
      <w:pPr>
        <w:pStyle w:val="TextBody"/>
        <w:bidi w:val="0"/>
        <w:spacing w:before="0" w:after="0"/>
        <w:ind w:left="0" w:right="0" w:hanging="0"/>
        <w:jc w:val="left"/>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2450"/>
        <w:gridCol w:w="60"/>
        <w:gridCol w:w="60"/>
        <w:gridCol w:w="950"/>
        <w:gridCol w:w="60"/>
        <w:gridCol w:w="60"/>
        <w:gridCol w:w="60"/>
        <w:gridCol w:w="845"/>
        <w:gridCol w:w="6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Withheld</w:t>
            </w:r>
          </w:p>
        </w:tc>
        <w:tc>
          <w:tcPr>
            <w:tcW w:w="6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Margaret M. FitzPatrick, M.A.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12,431,830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2,263,438</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 M. Cunningham, MBA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11,782,124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2,913,144</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Joanne Curley, Ph.D.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12,805,113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1,890,155</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Jerry B. Gin, Ph.D., MBA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13,923,175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772,093</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Mary L. Rotunno, J.D.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12,777,661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1,917,607</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 S. Saxe, J.D., LL.M.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14,218,617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476,651</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K. Singh, J.D.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14,540,841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154,427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Members of the Board are elected by a plurality of the votes cast. Accordingly, each of the director nominees named above was elected to serve on the Board until the Company’s 2025 Annual Meeting of Stockholders, or until her or his successor is elected and qualified.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Proposal No. 2 </w:t>
      </w:r>
      <w:r>
        <w:rPr>
          <w:rFonts w:ascii="Times New Roman" w:hAnsi="Times New Roman"/>
          <w:caps w:val="false"/>
          <w:smallCaps w:val="false"/>
          <w:sz w:val="20"/>
        </w:rPr>
        <w:t xml:space="preserve">– </w:t>
      </w:r>
      <w:r>
        <w:rPr>
          <w:rFonts w:ascii="Times New Roman" w:hAnsi="Times New Roman"/>
          <w:i/>
          <w:caps w:val="false"/>
          <w:smallCaps w:val="false"/>
          <w:sz w:val="20"/>
        </w:rPr>
        <w:t>Non-Binding Advisory Vote to Approve Executive Compensation (Say-on-Pay Proposal)</w:t>
      </w:r>
    </w:p>
    <w:p>
      <w:pPr>
        <w:pStyle w:val="TextBody"/>
        <w:bidi w:val="0"/>
        <w:spacing w:before="0" w:after="0"/>
        <w:ind w:left="0" w:right="0" w:hanging="0"/>
        <w:jc w:val="left"/>
        <w:rPr>
          <w:caps w:val="false"/>
          <w:smallCaps w:val="false"/>
        </w:rPr>
      </w:pPr>
      <w:r>
        <w:rPr>
          <w:caps w:val="false"/>
          <w:smallCaps w:val="false"/>
        </w:rPr>
        <w:t> </w:t>
      </w:r>
    </w:p>
    <w:tbl>
      <w:tblPr>
        <w:tblW w:w="3275" w:type="dxa"/>
        <w:jc w:val="left"/>
        <w:tblInd w:w="0" w:type="dxa"/>
        <w:tblLayout w:type="fixed"/>
        <w:tblCellMar>
          <w:top w:w="0" w:type="dxa"/>
          <w:left w:w="0" w:type="dxa"/>
          <w:bottom w:w="0" w:type="dxa"/>
          <w:right w:w="0" w:type="dxa"/>
        </w:tblCellMar>
      </w:tblPr>
      <w:tblGrid>
        <w:gridCol w:w="485"/>
        <w:gridCol w:w="60"/>
        <w:gridCol w:w="60"/>
        <w:gridCol w:w="950"/>
        <w:gridCol w:w="60"/>
        <w:gridCol w:w="60"/>
        <w:gridCol w:w="60"/>
        <w:gridCol w:w="695"/>
        <w:gridCol w:w="60"/>
        <w:gridCol w:w="60"/>
        <w:gridCol w:w="61"/>
        <w:gridCol w:w="604"/>
        <w:gridCol w:w="60"/>
      </w:tblGrid>
      <w:tr>
        <w:trPr/>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c>
          <w:tcPr>
            <w:tcW w:w="60" w:type="dxa"/>
            <w:tcBorders/>
            <w:vAlign w:val="center"/>
          </w:tcPr>
          <w:p>
            <w:pPr>
              <w:pStyle w:val="TableContents"/>
              <w:bidi w:val="0"/>
              <w:spacing w:before="0" w:after="283"/>
              <w:jc w:val="left"/>
              <w:rPr/>
            </w:pPr>
            <w:r>
              <w:rPr/>
              <w:t> </w:t>
            </w:r>
          </w:p>
        </w:tc>
      </w:tr>
      <w:tr>
        <w:trPr/>
        <w:tc>
          <w:tcPr>
            <w:tcW w:w="4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13,758,902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842,393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93,973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vote required to approve the non-binding advisory vote on executive compensation paid to the Company’s named executive officers was the affirmative vote of a majority of the votes cast on the proposal. Accordingly, the Company’s stockholders approved, on a non-binding advisory basis, the compensation paid to the Company’s named executive officers, as reported in the Company’s definitive proxy statement filed with the U.S. Securities and Exchange Commission (the “</w:t>
      </w:r>
      <w:r>
        <w:rPr>
          <w:rFonts w:ascii="Times New Roman" w:hAnsi="Times New Roman"/>
          <w:i/>
          <w:caps w:val="false"/>
          <w:smallCaps w:val="false"/>
          <w:sz w:val="20"/>
        </w:rPr>
        <w:t>SEC</w:t>
      </w:r>
      <w:r>
        <w:rPr>
          <w:rFonts w:ascii="Times New Roman" w:hAnsi="Times New Roman"/>
          <w:caps w:val="false"/>
          <w:smallCaps w:val="false"/>
          <w:sz w:val="20"/>
        </w:rPr>
        <w:t>”) on July 17,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Proposal No. 3 </w:t>
      </w:r>
      <w:r>
        <w:rPr>
          <w:rFonts w:ascii="Times New Roman" w:hAnsi="Times New Roman"/>
          <w:caps w:val="false"/>
          <w:smallCaps w:val="false"/>
          <w:sz w:val="20"/>
        </w:rPr>
        <w:t xml:space="preserve">– </w:t>
      </w:r>
      <w:r>
        <w:rPr>
          <w:rFonts w:ascii="Times New Roman" w:hAnsi="Times New Roman"/>
          <w:i/>
          <w:caps w:val="false"/>
          <w:smallCaps w:val="false"/>
          <w:sz w:val="20"/>
        </w:rPr>
        <w:t>Ratification of Appointment of Auditors</w:t>
      </w:r>
    </w:p>
    <w:p>
      <w:pPr>
        <w:pStyle w:val="TextBody"/>
        <w:bidi w:val="0"/>
        <w:spacing w:before="0" w:after="0"/>
        <w:ind w:left="0" w:right="0" w:hanging="0"/>
        <w:jc w:val="left"/>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485"/>
        <w:gridCol w:w="60"/>
        <w:gridCol w:w="60"/>
        <w:gridCol w:w="950"/>
        <w:gridCol w:w="60"/>
        <w:gridCol w:w="60"/>
        <w:gridCol w:w="61"/>
        <w:gridCol w:w="604"/>
        <w:gridCol w:w="60"/>
        <w:gridCol w:w="60"/>
        <w:gridCol w:w="61"/>
        <w:gridCol w:w="604"/>
        <w:gridCol w:w="60"/>
      </w:tblGrid>
      <w:tr>
        <w:trPr/>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c>
          <w:tcPr>
            <w:tcW w:w="60" w:type="dxa"/>
            <w:tcBorders/>
            <w:vAlign w:val="center"/>
          </w:tcPr>
          <w:p>
            <w:pPr>
              <w:pStyle w:val="TableContents"/>
              <w:bidi w:val="0"/>
              <w:spacing w:before="0" w:after="283"/>
              <w:jc w:val="left"/>
              <w:rPr/>
            </w:pPr>
            <w:r>
              <w:rPr/>
              <w:t> </w:t>
            </w:r>
          </w:p>
        </w:tc>
      </w:tr>
      <w:tr>
        <w:trPr/>
        <w:tc>
          <w:tcPr>
            <w:tcW w:w="4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21,277,275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22,767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vote required to ratify the appointment of KPMG LLP as the Company’s independent registered public accounting firm for the Company’s fiscal year ending March 31, 2025 was the affirmative vote of a majority of the votes cast on the proposal. Accordingly, the Company’s stockholders ratified the appointment of KPMG LLP as the Company’s independent registered public accounting firm for the Company’s fiscal year ending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more information about each of the foregoing proposals, please review the Company’s definitive proxy statement, filed with the SEC on July 17,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1850"/>
        <w:gridCol w:w="320"/>
        <w:gridCol w:w="1970"/>
      </w:tblGrid>
      <w:tr>
        <w:trPr/>
        <w:tc>
          <w:tcPr>
            <w:tcW w:w="1850"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28,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Shawn K. Singh, J.D.</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K. Singh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769</Words>
  <Characters>4243</Characters>
  <CharactersWithSpaces>5052</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