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242570</wp:posOffset>
            </wp:positionH>
            <wp:positionV relativeFrom="page">
              <wp:posOffset>500380</wp:posOffset>
            </wp:positionV>
            <wp:extent cx="6960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571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517525</wp:posOffset>
            </wp:positionV>
            <wp:extent cx="696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3, 2025</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300"/>
          </w:cols>
          <w:pgMar w:left="300" w:top="1097" w:right="299" w:bottom="1440" w:gutter="0" w:footer="0" w:header="0"/>
        </w:sectPr>
      </w:pPr>
    </w:p>
    <w:p>
      <w:pPr>
        <w:spacing w:after="0" w:line="15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000-54014</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20-5093315</w:t>
      </w:r>
    </w:p>
    <w:p>
      <w:pPr>
        <w:spacing w:after="0" w:line="46" w:lineRule="exact"/>
        <w:rPr>
          <w:sz w:val="24"/>
          <w:szCs w:val="24"/>
          <w:color w:val="auto"/>
        </w:rPr>
      </w:pPr>
    </w:p>
    <w:p>
      <w:pPr>
        <w:sectPr>
          <w:pgSz w:w="11900" w:h="16838" w:orient="portrait"/>
          <w:cols w:equalWidth="0" w:num="3">
            <w:col w:w="4680" w:space="720"/>
            <w:col w:w="3000" w:space="720"/>
            <w:col w:w="2180"/>
          </w:cols>
          <w:pgMar w:left="300" w:top="1097" w:right="2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p>
      <w:pPr>
        <w:spacing w:after="0" w:line="2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i w:val="1"/>
          <w:iCs w:val="1"/>
          <w:color w:val="auto"/>
        </w:rPr>
        <w:t>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2"/>
          <w:szCs w:val="12"/>
          <w:i w:val="1"/>
          <w:iCs w:val="1"/>
          <w:color w:val="auto"/>
        </w:rPr>
        <w:t>(IRS Employer</w:t>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1"/>
          <w:szCs w:val="11"/>
          <w:i w:val="1"/>
          <w:iCs w:val="1"/>
          <w:color w:val="auto"/>
        </w:rPr>
        <w:t>Identification Number)</w:t>
      </w:r>
    </w:p>
    <w:p>
      <w:pPr>
        <w:spacing w:after="0" w:line="199" w:lineRule="exact"/>
        <w:rPr>
          <w:sz w:val="24"/>
          <w:szCs w:val="24"/>
          <w:color w:val="auto"/>
        </w:rPr>
      </w:pPr>
    </w:p>
    <w:p>
      <w:pPr>
        <w:sectPr>
          <w:pgSz w:w="11900" w:h="16838" w:orient="portrait"/>
          <w:cols w:equalWidth="0" w:num="3">
            <w:col w:w="4280" w:space="720"/>
            <w:col w:w="3140" w:space="720"/>
            <w:col w:w="2440"/>
          </w:cols>
          <w:pgMar w:left="300" w:top="1097" w:right="29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2"/>
          <w:szCs w:val="12"/>
          <w:b w:val="1"/>
          <w:bCs w:val="1"/>
          <w:color w:val="auto"/>
        </w:rPr>
        <w:t>343 Allerton Ave.</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South San Francisco, California 94080</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(650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577-3600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telephone number, including area code)</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ectPr>
          <w:pgSz w:w="11900" w:h="16838" w:orient="portrait"/>
          <w:cols w:equalWidth="0" w:num="1">
            <w:col w:w="11300"/>
          </w:cols>
          <w:pgMar w:left="300" w:top="1097" w:right="2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14a-12 under the Exchange Act (17 CFR 240.14a -12)</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310"/>
        </w:trPr>
        <w:tc>
          <w:tcPr>
            <w:tcW w:w="42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5"/>
        </w:trPr>
        <w:tc>
          <w:tcPr>
            <w:tcW w:w="420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VTGN</w:t>
            </w:r>
          </w:p>
        </w:tc>
        <w:tc>
          <w:tcPr>
            <w:tcW w:w="4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109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9"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2"/>
          <w:szCs w:val="12"/>
          <w:color w:val="auto"/>
        </w:rPr>
        <w:t>On March 3, 2025, Vistagen Therapeutics,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presented at the 45</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Annual TD Cowen Healthcare Conference. A copy of the slide presentation used during the TD Cowen Healthcare Conference is attached to this Current Report on Form 8-K as Exhibit 99.1.</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March 4, 2025, the Company announced that it will participate at the Stifel 2025 Virtual CNS Forum on March 18, 2025. A copy of the press release issued by the Company is attached hereto as Exhibit 99.2.</w:t>
      </w:r>
    </w:p>
    <w:p>
      <w:pPr>
        <w:spacing w:after="0" w:line="157"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color w:val="auto"/>
        </w:rPr>
        <w:t>On February 13, 2025, John Cesario and David Preka (the “</w:t>
      </w:r>
      <w:r>
        <w:rPr>
          <w:rFonts w:ascii="Times New Roman" w:cs="Times New Roman" w:eastAsia="Times New Roman" w:hAnsi="Times New Roman"/>
          <w:sz w:val="12"/>
          <w:szCs w:val="12"/>
          <w:i w:val="1"/>
          <w:iCs w:val="1"/>
          <w:color w:val="auto"/>
        </w:rPr>
        <w:t>Plaintiffs</w:t>
      </w:r>
      <w:r>
        <w:rPr>
          <w:rFonts w:ascii="Times New Roman" w:cs="Times New Roman" w:eastAsia="Times New Roman" w:hAnsi="Times New Roman"/>
          <w:sz w:val="12"/>
          <w:szCs w:val="12"/>
          <w:color w:val="auto"/>
        </w:rPr>
        <w:t>”) filed a civil action (the “</w:t>
      </w:r>
      <w:r>
        <w:rPr>
          <w:rFonts w:ascii="Times New Roman" w:cs="Times New Roman" w:eastAsia="Times New Roman" w:hAnsi="Times New Roman"/>
          <w:sz w:val="12"/>
          <w:szCs w:val="12"/>
          <w:i w:val="1"/>
          <w:iCs w:val="1"/>
          <w:color w:val="auto"/>
        </w:rPr>
        <w:t>Complaint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 se</w:t>
      </w:r>
      <w:r>
        <w:rPr>
          <w:rFonts w:ascii="Times New Roman" w:cs="Times New Roman" w:eastAsia="Times New Roman" w:hAnsi="Times New Roman"/>
          <w:sz w:val="12"/>
          <w:szCs w:val="12"/>
          <w:color w:val="auto"/>
        </w:rPr>
        <w:t xml:space="preserve"> (i.e., acting on their own behalf rather than through an attorney) against the Company and its Board of Directors (the “</w:t>
      </w:r>
      <w:r>
        <w:rPr>
          <w:rFonts w:ascii="Times New Roman" w:cs="Times New Roman" w:eastAsia="Times New Roman" w:hAnsi="Times New Roman"/>
          <w:sz w:val="12"/>
          <w:szCs w:val="12"/>
          <w:i w:val="1"/>
          <w:iCs w:val="1"/>
          <w:color w:val="auto"/>
        </w:rPr>
        <w:t>Board</w:t>
      </w:r>
      <w:r>
        <w:rPr>
          <w:rFonts w:ascii="Times New Roman" w:cs="Times New Roman" w:eastAsia="Times New Roman" w:hAnsi="Times New Roman"/>
          <w:sz w:val="12"/>
          <w:szCs w:val="12"/>
          <w:color w:val="auto"/>
        </w:rPr>
        <w:t>”), certain of its executive officers, professional services and financial advisors, and industry analysts in the United States District Court for the Northern District of California (Case No. 4:25-cv-01510). The Plaintiffs seek compensatory and punitive damages, as well as fees and costs. The Complaint alleges violations of Section 10(b) of the Securities Exchange Act of 1934, as amended, and Rule 10b-5 promulgated thereunder, and Sections 11 and 17(a) of the Securities Act of 1933, as amended, along with other causes of action. The Plaintiffs allege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among other things, that the Company, and certain of its executive officers, made misleading statements and material omissions in various public disclosures concerning clinical trials for certain of the Company’s product candidates, which they allege caused plaintiffs to incur compensable losses. The Complaint also alleges that the Board, certain of the Company’s professional and financial advisors, and industry analysts aided and abetted the alleged wrongful conduct. The Company believes all allegations asserted in the Complaint are wholly without merit, and intends to defend them vigorously.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 Index</w:t>
            </w:r>
          </w:p>
        </w:tc>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80" w:type="dxa"/>
            <w:vAlign w:val="bottom"/>
          </w:tcPr>
          <w:p>
            <w:pPr>
              <w:spacing w:after="0"/>
              <w:rPr>
                <w:sz w:val="13"/>
                <w:szCs w:val="13"/>
                <w:color w:val="auto"/>
              </w:rPr>
            </w:pPr>
          </w:p>
        </w:tc>
      </w:tr>
      <w:tr>
        <w:trPr>
          <w:trHeight w:val="302"/>
        </w:trPr>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8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99"/>
        </w:trPr>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Corporate Presentation utilized by Vistagen Therapeutics, Inc., dated March 3, 2025.</w:t>
            </w:r>
          </w:p>
        </w:tc>
      </w:tr>
      <w:tr>
        <w:trPr>
          <w:trHeight w:val="151"/>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rPr>
              <w:t>Press Release issued by Vistagen Therapeutics, Inc., dated March 4, 2025.</w:t>
            </w:r>
          </w:p>
        </w:tc>
        <w:tc>
          <w:tcPr>
            <w:tcW w:w="568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178"/>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84"/>
        </w:trPr>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Vistagen Therapeutics, Inc.</w:t>
      </w:r>
    </w:p>
    <w:p>
      <w:pPr>
        <w:spacing w:after="0" w:line="139" w:lineRule="exact"/>
        <w:rPr>
          <w:sz w:val="20"/>
          <w:szCs w:val="20"/>
          <w:color w:val="auto"/>
        </w:rPr>
      </w:pPr>
    </w:p>
    <w:p>
      <w:pPr>
        <w:spacing w:after="0"/>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Date: March 6,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343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Shawn K. Singh</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10159"/>
          </w:cols>
          <w:pgMar w:left="300" w:top="78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1040130" cy="280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013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Vistagen to Participate in Stifel 2025 Virtual CNS Forum</w:t>
      </w:r>
    </w:p>
    <w:p>
      <w:pPr>
        <w:spacing w:after="0" w:line="14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SOUTH SAN FRANCISCO, Calif, March 4, 2025 </w:t>
      </w:r>
      <w:r>
        <w:rPr>
          <w:rFonts w:ascii="Times New Roman" w:cs="Times New Roman" w:eastAsia="Times New Roman" w:hAnsi="Times New Roman"/>
          <w:sz w:val="12"/>
          <w:szCs w:val="12"/>
          <w:color w:val="auto"/>
        </w:rPr>
        <w:t>- Vistagen (Nasdaq: VTGN), a clinical-stage biopharmaceutical company pioneering neuroscience with nose-to-brain neurocircuitry to develop and commercialize a new class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intranasal product candidates called pherines, today announced that management will participate in Stifel’s 2025 Virtual CNS Forum.</w:t>
      </w:r>
    </w:p>
    <w:p>
      <w:pPr>
        <w:spacing w:after="0" w:line="12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 xml:space="preserve">Vistagen’s President and Chief Executive Officer, Shawn Singh, will participate in a fireside chat presentation on Tuesday, March 18, 2025, at 12 p.m. Eastern Time. A live webcast will be accessible through the “Events” page in the “Investors” section of the Company’s website at </w:t>
      </w:r>
      <w:r>
        <w:rPr>
          <w:rFonts w:ascii="Times New Roman" w:cs="Times New Roman" w:eastAsia="Times New Roman" w:hAnsi="Times New Roman"/>
          <w:sz w:val="12"/>
          <w:szCs w:val="12"/>
          <w:color w:val="0E32E1"/>
        </w:rPr>
        <w:t>www.Vistagen.com</w:t>
      </w:r>
      <w:r>
        <w:rPr>
          <w:rFonts w:ascii="Times New Roman" w:cs="Times New Roman" w:eastAsia="Times New Roman" w:hAnsi="Times New Roman"/>
          <w:sz w:val="12"/>
          <w:szCs w:val="12"/>
          <w:color w:val="auto"/>
        </w:rPr>
        <w:t>. A replay of the webcast will be archived and available following the event.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Vistagen</w:t>
      </w:r>
    </w:p>
    <w:p>
      <w:pPr>
        <w:spacing w:after="0" w:line="1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2"/>
          <w:szCs w:val="12"/>
          <w:color w:val="auto"/>
        </w:rPr>
        <w:t>Headquartered in South San Francisco, CA, Vistagen (Nasdaq: VTGN) is a clinical-stage biopharmaceutical company leveraging a deep understanding of nose-to-brain neurocircuitry to develop and commercialize a broad and diverse pipeline of clinical-stage product candidates from a new class of intranasal therapies called pherines.</w:t>
      </w:r>
    </w:p>
    <w:p>
      <w:pPr>
        <w:spacing w:after="0" w:line="13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2"/>
          <w:szCs w:val="12"/>
          <w:color w:val="auto"/>
        </w:rPr>
        <w:t xml:space="preserve">Pherines specifically and selectively bind to peripheral receptors in human nasal chemosensory neurons, which activate olfactory bulb-to-brain neurocircuits without requiring systemic absorption or uptake into the brain to achieve desired therapeutic benefits and differentiated safety. Vistagen’s neuroscience pipeline also includes an oral prodrug with potential to impact certain neurological conditions involving the NMDA receptor. Vistagen is passionate about developing transformative treatment options to improve the lives of individuals underserved by the current standard of care for multiple highly prevalent indications, including social anxiety disorder, major depressive disorder, and vasomotor symptoms (hot flashes) associated with menopause. Connect at </w:t>
      </w:r>
      <w:r>
        <w:rPr>
          <w:rFonts w:ascii="Times New Roman" w:cs="Times New Roman" w:eastAsia="Times New Roman" w:hAnsi="Times New Roman"/>
          <w:sz w:val="12"/>
          <w:szCs w:val="12"/>
          <w:color w:val="0E32E1"/>
        </w:rPr>
        <w:t>www.Vistagen.com</w:t>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Inquiries: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 A. McPartland</w:t>
      </w:r>
    </w:p>
    <w:p>
      <w:pPr>
        <w:spacing w:after="0"/>
        <w:rPr>
          <w:sz w:val="20"/>
          <w:szCs w:val="20"/>
          <w:color w:val="auto"/>
        </w:rPr>
      </w:pPr>
      <w:r>
        <w:rPr>
          <w:rFonts w:ascii="Times New Roman" w:cs="Times New Roman" w:eastAsia="Times New Roman" w:hAnsi="Times New Roman"/>
          <w:sz w:val="12"/>
          <w:szCs w:val="12"/>
          <w:color w:val="auto"/>
        </w:rPr>
        <w:t>markmcp@vistagen.com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Inquiries: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Michelle P. Wellington</w:t>
      </w:r>
    </w:p>
    <w:p>
      <w:pPr>
        <w:spacing w:after="0"/>
        <w:rPr>
          <w:sz w:val="20"/>
          <w:szCs w:val="20"/>
          <w:color w:val="auto"/>
        </w:rPr>
      </w:pPr>
      <w:r>
        <w:rPr>
          <w:rFonts w:ascii="Times New Roman" w:cs="Times New Roman" w:eastAsia="Times New Roman" w:hAnsi="Times New Roman"/>
          <w:sz w:val="12"/>
          <w:szCs w:val="12"/>
          <w:color w:val="auto"/>
        </w:rPr>
        <w:t>mwellington@vistagen.com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sectPr>
      <w:pgSz w:w="11900" w:h="16838" w:orient="portrait"/>
      <w:cols w:equalWidth="0" w:num="1">
        <w:col w:w="11300"/>
      </w:cols>
      <w:pgMar w:left="300" w:top="98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2025-03-06T16:04:11Z</dcterms:created>
  <dcterms:modified xsi:type="dcterms:W3CDTF">2025-03-06T16:04:11Z</dcterms:modified>
</cp:coreProperties>
</file>