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sz w:val="20"/>
        </w:rPr>
      </w:pPr>
      <w:bookmarkStart w:id="0" w:name="excb_10qa.htm"/>
      <w:bookmarkStart w:id="1" w:name="ksexcb_10qa"/>
      <w:bookmarkEnd w:id="0"/>
      <w:bookmarkEnd w:id="1"/>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FORM 10-Q/A</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912"/>
        <w:gridCol w:w="3742"/>
        <w:gridCol w:w="3510"/>
      </w:tblGrid>
      <w:tr>
        <w:trPr/>
        <w:tc>
          <w:tcPr>
            <w:tcW w:w="8164" w:type="dxa"/>
            <w:gridSpan w:val="3"/>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(Mark One)</w:t>
            </w:r>
          </w:p>
        </w:tc>
      </w:tr>
      <w:tr>
        <w:trPr/>
        <w:tc>
          <w:tcPr>
            <w:tcW w:w="912"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[X]</w:t>
            </w:r>
          </w:p>
        </w:tc>
        <w:tc>
          <w:tcPr>
            <w:tcW w:w="7252" w:type="dxa"/>
            <w:gridSpan w:val="2"/>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r>
        <w:trPr/>
        <w:tc>
          <w:tcPr>
            <w:tcW w:w="912" w:type="dxa"/>
            <w:tcBorders/>
            <w:shd w:fill="auto" w:val="clear"/>
            <w:vAlign w:val="center"/>
          </w:tcPr>
          <w:p>
            <w:pPr>
              <w:pStyle w:val="TableContents"/>
              <w:spacing w:before="0" w:after="283"/>
              <w:rPr/>
            </w:pPr>
            <w:r>
              <w:rPr/>
              <w:t xml:space="preserve">  </w:t>
            </w:r>
          </w:p>
        </w:tc>
        <w:tc>
          <w:tcPr>
            <w:tcW w:w="7252" w:type="dxa"/>
            <w:gridSpan w:val="2"/>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For the quarterly period ended: </w:t>
            </w:r>
            <w:r>
              <w:rPr>
                <w:rFonts w:ascii="times new roman" w:hAnsi="times new roman"/>
                <w:sz w:val="20"/>
                <w:u w:val="single"/>
              </w:rPr>
              <w:t>March 31, 2010</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Or</w:t>
            </w:r>
          </w:p>
        </w:tc>
      </w:tr>
      <w:tr>
        <w:trPr/>
        <w:tc>
          <w:tcPr>
            <w:tcW w:w="8164" w:type="dxa"/>
            <w:gridSpan w:val="3"/>
            <w:tcBorders/>
            <w:shd w:fill="auto" w:val="clear"/>
            <w:vAlign w:val="center"/>
          </w:tcPr>
          <w:p>
            <w:pPr>
              <w:pStyle w:val="TableContents"/>
              <w:spacing w:before="0" w:after="283"/>
              <w:rPr/>
            </w:pPr>
            <w:r>
              <w:rPr/>
              <w:t xml:space="preserve">  </w:t>
            </w:r>
          </w:p>
        </w:tc>
      </w:tr>
      <w:tr>
        <w:trPr/>
        <w:tc>
          <w:tcPr>
            <w:tcW w:w="912"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   ]</w:t>
            </w:r>
          </w:p>
        </w:tc>
        <w:tc>
          <w:tcPr>
            <w:tcW w:w="7252" w:type="dxa"/>
            <w:gridSpan w:val="2"/>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r>
        <w:trPr/>
        <w:tc>
          <w:tcPr>
            <w:tcW w:w="912" w:type="dxa"/>
            <w:tcBorders/>
            <w:shd w:fill="auto" w:val="clear"/>
            <w:vAlign w:val="center"/>
          </w:tcPr>
          <w:p>
            <w:pPr>
              <w:pStyle w:val="TableContents"/>
              <w:spacing w:before="0" w:after="283"/>
              <w:rPr/>
            </w:pPr>
            <w:r>
              <w:rPr/>
              <w:t xml:space="preserve">  </w:t>
            </w:r>
          </w:p>
        </w:tc>
        <w:tc>
          <w:tcPr>
            <w:tcW w:w="7252" w:type="dxa"/>
            <w:gridSpan w:val="2"/>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For the transition period from ____________ to _____________</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Commission File Number: 333-145977</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b/>
                <w:sz w:val="24"/>
                <w:u w:val="single"/>
              </w:rPr>
            </w:pPr>
            <w:r>
              <w:rPr>
                <w:rFonts w:ascii="times new roman" w:hAnsi="times new roman"/>
                <w:b/>
                <w:sz w:val="24"/>
                <w:u w:val="single"/>
              </w:rPr>
              <w:t>EXCALIBER ENTERPRISES, LTD.</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r>
        <w:trPr/>
        <w:tc>
          <w:tcPr>
            <w:tcW w:w="8164" w:type="dxa"/>
            <w:gridSpan w:val="3"/>
            <w:tcBorders/>
            <w:shd w:fill="auto" w:val="clear"/>
            <w:vAlign w:val="center"/>
          </w:tcPr>
          <w:p>
            <w:pPr>
              <w:pStyle w:val="TableContents"/>
              <w:spacing w:before="0" w:after="283"/>
              <w:rPr/>
            </w:pPr>
            <w:r>
              <w:rPr/>
              <w:t xml:space="preserve">  </w:t>
            </w:r>
          </w:p>
        </w:tc>
      </w:tr>
      <w:tr>
        <w:trPr/>
        <w:tc>
          <w:tcPr>
            <w:tcW w:w="4654" w:type="dxa"/>
            <w:gridSpan w:val="2"/>
            <w:tcBorders/>
            <w:shd w:fill="auto" w:val="clear"/>
            <w:vAlign w:val="cente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Nevada</w:t>
            </w:r>
          </w:p>
        </w:tc>
        <w:tc>
          <w:tcPr>
            <w:tcW w:w="3510"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20-5093315</w:t>
            </w:r>
          </w:p>
        </w:tc>
      </w:tr>
      <w:tr>
        <w:trPr/>
        <w:tc>
          <w:tcPr>
            <w:tcW w:w="4654"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3510"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r>
        <w:trPr/>
        <w:tc>
          <w:tcPr>
            <w:tcW w:w="4654" w:type="dxa"/>
            <w:gridSpan w:val="2"/>
            <w:tcBorders/>
            <w:shd w:fill="auto" w:val="clear"/>
            <w:vAlign w:val="center"/>
          </w:tcPr>
          <w:p>
            <w:pPr>
              <w:pStyle w:val="TableContents"/>
              <w:spacing w:before="0" w:after="283"/>
              <w:rPr/>
            </w:pPr>
            <w:r>
              <w:rPr/>
              <w:t xml:space="preserve">  </w:t>
            </w:r>
          </w:p>
        </w:tc>
        <w:tc>
          <w:tcPr>
            <w:tcW w:w="3510" w:type="dxa"/>
            <w:tcBorders/>
            <w:shd w:fill="auto" w:val="clear"/>
          </w:tcPr>
          <w:p>
            <w:pPr>
              <w:pStyle w:val="TableContents"/>
              <w:spacing w:before="0" w:after="283"/>
              <w:rPr/>
            </w:pPr>
            <w:r>
              <w:rPr/>
              <w:t xml:space="preserve">  </w:t>
            </w:r>
          </w:p>
        </w:tc>
      </w:tr>
      <w:tr>
        <w:trPr/>
        <w:tc>
          <w:tcPr>
            <w:tcW w:w="4654" w:type="dxa"/>
            <w:gridSpan w:val="2"/>
            <w:tcBorders/>
            <w:shd w:fill="auto" w:val="clear"/>
            <w:vAlign w:val="cente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13834 W. Hoyt Road Rathdrum, Idaho</w:t>
            </w:r>
          </w:p>
        </w:tc>
        <w:tc>
          <w:tcPr>
            <w:tcW w:w="3510" w:type="dxa"/>
            <w:tcBorders/>
            <w:shd w:fill="auto" w:val="clear"/>
            <w:vAlign w:val="cente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83858</w:t>
            </w:r>
          </w:p>
        </w:tc>
      </w:tr>
      <w:tr>
        <w:trPr/>
        <w:tc>
          <w:tcPr>
            <w:tcW w:w="4654" w:type="dxa"/>
            <w:gridSpan w:val="2"/>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3510"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r>
        <w:trPr/>
        <w:tc>
          <w:tcPr>
            <w:tcW w:w="4654" w:type="dxa"/>
            <w:gridSpan w:val="2"/>
            <w:tcBorders/>
            <w:shd w:fill="auto" w:val="clear"/>
            <w:vAlign w:val="center"/>
          </w:tcPr>
          <w:p>
            <w:pPr>
              <w:pStyle w:val="TableContents"/>
              <w:spacing w:before="0" w:after="283"/>
              <w:rPr/>
            </w:pPr>
            <w:r>
              <w:rPr/>
              <w:t xml:space="preserve">  </w:t>
            </w:r>
          </w:p>
        </w:tc>
        <w:tc>
          <w:tcPr>
            <w:tcW w:w="3510" w:type="dxa"/>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(208) 640-9633</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283"/>
              <w:rPr/>
            </w:pPr>
            <w:r>
              <w:rPr/>
              <w:t xml:space="preserve">  </w:t>
            </w:r>
          </w:p>
        </w:tc>
      </w:tr>
      <w:tr>
        <w:trPr/>
        <w:tc>
          <w:tcPr>
            <w:tcW w:w="8164" w:type="dxa"/>
            <w:gridSpan w:val="3"/>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former address and former fiscal year, if changed since last report)</w:t>
            </w:r>
          </w:p>
        </w:tc>
      </w:tr>
    </w:tbl>
    <w:p>
      <w:pPr>
        <w:pStyle w:val="TextBody"/>
        <w:spacing w:before="0" w:after="0"/>
        <w:ind w:left="0" w:right="0" w:hanging="0"/>
        <w:rPr/>
      </w:pPr>
      <w:r>
        <w:rPr/>
      </w:r>
    </w:p>
    <w:p>
      <w:pPr>
        <w:pStyle w:val="TextBody"/>
        <w:spacing w:before="0" w:after="0"/>
        <w:ind w:left="0" w:right="168" w:hanging="0"/>
        <w:jc w:val="center"/>
        <w:rPr>
          <w:rFonts w:ascii="Times New Roman" w:hAnsi="Times New Roman"/>
          <w:sz w:val="20"/>
        </w:rPr>
      </w:pPr>
      <w:r>
        <w:rPr>
          <w:rFonts w:ascii="Times New Roman" w:hAnsi="Times New Roman"/>
          <w:sz w:val="20"/>
        </w:rPr>
        <w:t>Indicate by check mark whether the issuer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w:t>
      </w:r>
    </w:p>
    <w:p>
      <w:pPr>
        <w:pStyle w:val="TextBody"/>
        <w:spacing w:before="0" w:after="0"/>
        <w:ind w:left="0" w:right="168" w:hanging="0"/>
        <w:jc w:val="center"/>
        <w:rPr>
          <w:rFonts w:ascii="Times New Roman" w:hAnsi="Times New Roman"/>
          <w:sz w:val="20"/>
        </w:rPr>
      </w:pPr>
      <w:r>
        <w:rPr>
          <w:rFonts w:ascii="Times New Roman" w:hAnsi="Times New Roman"/>
          <w:sz w:val="20"/>
        </w:rPr>
        <w:t>Yes [X]   No [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ht registrant was required to submit and post such files).  Yes [   ]   No [X]</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4180"/>
        <w:gridCol w:w="3984"/>
      </w:tblGrid>
      <w:tr>
        <w:trPr/>
        <w:tc>
          <w:tcPr>
            <w:tcW w:w="41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Large accelerated filer  [   ]</w:t>
            </w:r>
          </w:p>
        </w:tc>
        <w:tc>
          <w:tcPr>
            <w:tcW w:w="39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Accelerated filer                   [   ]</w:t>
            </w:r>
          </w:p>
        </w:tc>
      </w:tr>
      <w:tr>
        <w:trPr/>
        <w:tc>
          <w:tcPr>
            <w:tcW w:w="41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Non-accelerated filer    [   ]</w:t>
            </w:r>
          </w:p>
          <w:p>
            <w:pPr>
              <w:pStyle w:val="TableContents"/>
              <w:spacing w:before="0" w:after="0"/>
              <w:ind w:left="0" w:right="0" w:hanging="0"/>
              <w:jc w:val="both"/>
              <w:rPr>
                <w:rFonts w:ascii="times new roman" w:hAnsi="times new roman"/>
                <w:sz w:val="20"/>
              </w:rPr>
            </w:pPr>
            <w:r>
              <w:rPr>
                <w:rFonts w:ascii="times new roman" w:hAnsi="times new roman"/>
                <w:sz w:val="20"/>
              </w:rPr>
              <w:t>(Do not check if a smaller reporting company)</w:t>
            </w:r>
          </w:p>
        </w:tc>
        <w:tc>
          <w:tcPr>
            <w:tcW w:w="39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Smaller reporting company  [X]</w:t>
            </w:r>
          </w:p>
        </w:tc>
      </w:tr>
    </w:tbl>
    <w:p>
      <w:pPr>
        <w:pStyle w:val="TextBody"/>
        <w:spacing w:before="0" w:after="0"/>
        <w:ind w:left="0" w:right="0" w:hanging="0"/>
        <w:rPr/>
      </w:pPr>
      <w:r>
        <w:rPr/>
      </w:r>
    </w:p>
    <w:p>
      <w:pPr>
        <w:pStyle w:val="TextBody"/>
        <w:spacing w:before="0" w:after="0"/>
        <w:ind w:left="0" w:right="168" w:hanging="0"/>
        <w:jc w:val="center"/>
        <w:rPr>
          <w:rFonts w:ascii="Times New Roman" w:hAnsi="Times New Roman"/>
          <w:sz w:val="20"/>
        </w:rPr>
      </w:pPr>
      <w:r>
        <w:rPr>
          <w:rFonts w:ascii="Times New Roman" w:hAnsi="Times New Roman"/>
          <w:sz w:val="20"/>
        </w:rPr>
        <w:t>Indicate by check mark whether the registrant is a shell company (as defined in Rule 12b-2 of the Exchange Act)</w:t>
      </w:r>
    </w:p>
    <w:p>
      <w:pPr>
        <w:pStyle w:val="TextBody"/>
        <w:spacing w:before="0" w:after="0"/>
        <w:ind w:left="0" w:right="168" w:hanging="0"/>
        <w:jc w:val="center"/>
        <w:rPr>
          <w:rFonts w:ascii="Times New Roman" w:hAnsi="Times New Roman"/>
          <w:sz w:val="20"/>
        </w:rPr>
      </w:pPr>
      <w:r>
        <w:rPr>
          <w:rFonts w:ascii="Times New Roman" w:hAnsi="Times New Roman"/>
          <w:sz w:val="20"/>
        </w:rPr>
        <w:t>Yes [X]   No [   ]</w:t>
      </w:r>
    </w:p>
    <w:p>
      <w:pPr>
        <w:pStyle w:val="TextBody"/>
        <w:spacing w:before="0" w:after="0"/>
        <w:ind w:left="0" w:right="0" w:hanging="0"/>
        <w:rPr/>
      </w:pPr>
      <w:r>
        <w:rPr/>
        <w:t> </w:t>
      </w:r>
    </w:p>
    <w:p>
      <w:pPr>
        <w:pStyle w:val="TextBody"/>
        <w:spacing w:before="0" w:after="0"/>
        <w:ind w:left="0" w:right="168" w:hanging="0"/>
        <w:jc w:val="center"/>
        <w:rPr>
          <w:rFonts w:ascii="Times New Roman" w:hAnsi="Times New Roman"/>
          <w:sz w:val="20"/>
        </w:rPr>
      </w:pPr>
      <w:r>
        <w:rPr>
          <w:rFonts w:ascii="Times New Roman" w:hAnsi="Times New Roman"/>
          <w:sz w:val="20"/>
        </w:rPr>
        <w:t>Indicate the number of shares outstanding of each of the issuer's classes of common stock, as of the latest practicable date:</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4082"/>
        <w:gridCol w:w="4082"/>
      </w:tblGrid>
      <w:tr>
        <w:trPr/>
        <w:tc>
          <w:tcPr>
            <w:tcW w:w="4082" w:type="dxa"/>
            <w:tcBorders/>
            <w:shd w:fill="auto" w:val="clear"/>
          </w:tcPr>
          <w:p>
            <w:pPr>
              <w:pStyle w:val="TableContents"/>
              <w:spacing w:before="0" w:after="0"/>
              <w:ind w:left="0" w:right="168" w:hanging="0"/>
              <w:jc w:val="center"/>
              <w:rPr>
                <w:rFonts w:ascii="times new roman" w:hAnsi="times new roman"/>
                <w:sz w:val="20"/>
                <w:u w:val="single"/>
              </w:rPr>
            </w:pPr>
            <w:r>
              <w:rPr>
                <w:rFonts w:ascii="times new roman" w:hAnsi="times new roman"/>
                <w:sz w:val="20"/>
                <w:u w:val="single"/>
              </w:rPr>
              <w:t>Common Stock, $0.001 par value</w:t>
            </w:r>
          </w:p>
        </w:tc>
        <w:tc>
          <w:tcPr>
            <w:tcW w:w="4082" w:type="dxa"/>
            <w:tcBorders/>
            <w:shd w:fill="auto" w:val="clear"/>
          </w:tcPr>
          <w:p>
            <w:pPr>
              <w:pStyle w:val="TableContents"/>
              <w:spacing w:before="0" w:after="0"/>
              <w:ind w:left="0" w:right="168" w:hanging="0"/>
              <w:jc w:val="center"/>
              <w:rPr>
                <w:rFonts w:ascii="times new roman" w:hAnsi="times new roman"/>
                <w:sz w:val="20"/>
                <w:u w:val="single"/>
              </w:rPr>
            </w:pPr>
            <w:r>
              <w:rPr>
                <w:rFonts w:ascii="times new roman" w:hAnsi="times new roman"/>
                <w:sz w:val="20"/>
                <w:u w:val="single"/>
              </w:rPr>
              <w:t>5,848,707 shares</w:t>
            </w:r>
          </w:p>
        </w:tc>
      </w:tr>
      <w:tr>
        <w:trPr/>
        <w:tc>
          <w:tcPr>
            <w:tcW w:w="4082" w:type="dxa"/>
            <w:tcBorders/>
            <w:shd w:fill="auto" w:val="clear"/>
          </w:tcPr>
          <w:p>
            <w:pPr>
              <w:pStyle w:val="TableContents"/>
              <w:spacing w:before="0" w:after="0"/>
              <w:ind w:left="0" w:right="168" w:hanging="0"/>
              <w:jc w:val="center"/>
              <w:rPr>
                <w:rFonts w:ascii="times new roman" w:hAnsi="times new roman"/>
                <w:sz w:val="20"/>
              </w:rPr>
            </w:pPr>
            <w:r>
              <w:rPr>
                <w:rFonts w:ascii="times new roman" w:hAnsi="times new roman"/>
                <w:sz w:val="20"/>
              </w:rPr>
              <w:t>(Class)</w:t>
            </w:r>
          </w:p>
        </w:tc>
        <w:tc>
          <w:tcPr>
            <w:tcW w:w="4082" w:type="dxa"/>
            <w:tcBorders/>
            <w:shd w:fill="auto" w:val="clear"/>
          </w:tcPr>
          <w:p>
            <w:pPr>
              <w:pStyle w:val="TableContents"/>
              <w:spacing w:before="0" w:after="0"/>
              <w:ind w:left="0" w:right="168" w:hanging="0"/>
              <w:jc w:val="center"/>
              <w:rPr>
                <w:rFonts w:ascii="times new roman" w:hAnsi="times new roman"/>
                <w:sz w:val="20"/>
              </w:rPr>
            </w:pPr>
            <w:r>
              <w:rPr>
                <w:rFonts w:ascii="times new roman" w:hAnsi="times new roman"/>
                <w:sz w:val="20"/>
              </w:rPr>
              <w:t>(Outstanding as at May 12, 2010)</w:t>
            </w:r>
          </w:p>
        </w:tc>
      </w:tr>
    </w:tbl>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Table of Contents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7567"/>
        <w:gridCol w:w="597"/>
      </w:tblGrid>
      <w:tr>
        <w:trPr/>
        <w:tc>
          <w:tcPr>
            <w:tcW w:w="7567" w:type="dxa"/>
            <w:tcBorders/>
            <w:shd w:fill="auto" w:val="clear"/>
          </w:tcPr>
          <w:p>
            <w:pPr>
              <w:pStyle w:val="TableContents"/>
              <w:spacing w:before="0" w:after="283"/>
              <w:rPr/>
            </w:pPr>
            <w:r>
              <w:rPr/>
              <w:t xml:space="preserve">  </w:t>
            </w:r>
          </w:p>
        </w:tc>
        <w:tc>
          <w:tcPr>
            <w:tcW w:w="597" w:type="dxa"/>
            <w:tcBorders>
              <w:bottom w:val="single" w:sz="12" w:space="0" w:color="000000"/>
            </w:tcBorders>
            <w:shd w:fill="auto" w:val="clear"/>
            <w:tcMar>
              <w:bottom w:w="28"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Page</w:t>
            </w:r>
          </w:p>
        </w:tc>
      </w:tr>
      <w:tr>
        <w:trPr/>
        <w:tc>
          <w:tcPr>
            <w:tcW w:w="7567" w:type="dxa"/>
            <w:tcBorders/>
            <w:shd w:fill="auto" w:val="clear"/>
          </w:tcPr>
          <w:p>
            <w:pPr>
              <w:pStyle w:val="TableContents"/>
              <w:spacing w:before="0" w:after="283"/>
              <w:rPr/>
            </w:pPr>
            <w:r>
              <w:rPr/>
              <w:t xml:space="preserve">  </w:t>
            </w:r>
          </w:p>
        </w:tc>
        <w:tc>
          <w:tcPr>
            <w:tcW w:w="597" w:type="dxa"/>
            <w:tcBorders/>
            <w:shd w:fill="auto" w:val="clear"/>
          </w:tcPr>
          <w:p>
            <w:pPr>
              <w:pStyle w:val="TableContents"/>
              <w:spacing w:before="0" w:after="283"/>
              <w:rPr/>
            </w:pPr>
            <w:r>
              <w:rPr/>
              <w:t xml:space="preserve">  </w:t>
            </w:r>
          </w:p>
        </w:tc>
      </w:tr>
      <w:tr>
        <w:trPr/>
        <w:tc>
          <w:tcPr>
            <w:tcW w:w="7567" w:type="dxa"/>
            <w:tcBorders/>
            <w:shd w:fill="CBDBD1" w:val="clear"/>
          </w:tcPr>
          <w:p>
            <w:pPr>
              <w:pStyle w:val="TableContents"/>
              <w:spacing w:before="0" w:after="0"/>
              <w:ind w:left="0" w:right="0" w:hanging="0"/>
              <w:jc w:val="left"/>
              <w:rPr/>
            </w:pPr>
            <w:hyperlink w:anchor="p1">
              <w:r>
                <w:rPr>
                  <w:rStyle w:val="InternetLink"/>
                  <w:rFonts w:ascii="times new roman" w:hAnsi="times new roman"/>
                  <w:sz w:val="20"/>
                </w:rPr>
                <w:t>PART I – FINANCIAL INFORMATION</w:t>
              </w:r>
            </w:hyperlink>
          </w:p>
        </w:tc>
        <w:tc>
          <w:tcPr>
            <w:tcW w:w="597" w:type="dxa"/>
            <w:tcBorders/>
            <w:shd w:fill="CBDBD1" w:val="clear"/>
          </w:tcPr>
          <w:p>
            <w:pPr>
              <w:pStyle w:val="TableContents"/>
              <w:spacing w:before="0" w:after="0"/>
              <w:ind w:left="0" w:right="0" w:hanging="0"/>
              <w:jc w:val="right"/>
              <w:rPr/>
            </w:pPr>
            <w:hyperlink w:anchor="p1">
              <w:r>
                <w:rPr>
                  <w:rStyle w:val="InternetLink"/>
                  <w:rFonts w:ascii="times new roman" w:hAnsi="times new roman"/>
                  <w:sz w:val="20"/>
                </w:rPr>
                <w:t>3</w:t>
              </w:r>
            </w:hyperlink>
          </w:p>
        </w:tc>
      </w:tr>
      <w:tr>
        <w:trPr/>
        <w:tc>
          <w:tcPr>
            <w:tcW w:w="7567" w:type="dxa"/>
            <w:tcBorders/>
            <w:shd w:fill="FFFFFF" w:val="clear"/>
          </w:tcPr>
          <w:p>
            <w:pPr>
              <w:pStyle w:val="TableContents"/>
              <w:spacing w:before="0" w:after="0"/>
              <w:ind w:left="0" w:right="0" w:hanging="0"/>
              <w:jc w:val="left"/>
              <w:rPr/>
            </w:pPr>
            <w:r>
              <w:rPr/>
              <w:t>     </w:t>
            </w:r>
            <w:hyperlink w:anchor="uanaud">
              <w:r>
                <w:rPr>
                  <w:rStyle w:val="InternetLink"/>
                  <w:rFonts w:ascii="times new roman" w:hAnsi="times new roman"/>
                  <w:sz w:val="20"/>
                </w:rPr>
                <w:t>Unaudited Financial Statements</w:t>
              </w:r>
            </w:hyperlink>
          </w:p>
        </w:tc>
        <w:tc>
          <w:tcPr>
            <w:tcW w:w="597" w:type="dxa"/>
            <w:tcBorders/>
            <w:shd w:fill="FFFFFF" w:val="clear"/>
          </w:tcPr>
          <w:p>
            <w:pPr>
              <w:pStyle w:val="TableContents"/>
              <w:spacing w:before="0" w:after="0"/>
              <w:ind w:left="0" w:right="0" w:hanging="0"/>
              <w:jc w:val="right"/>
              <w:rPr/>
            </w:pPr>
            <w:hyperlink w:anchor="uanaud">
              <w:r>
                <w:rPr>
                  <w:rStyle w:val="InternetLink"/>
                  <w:rFonts w:ascii="times new roman" w:hAnsi="times new roman"/>
                  <w:sz w:val="20"/>
                </w:rPr>
                <w:t>3</w:t>
              </w:r>
            </w:hyperlink>
          </w:p>
        </w:tc>
      </w:tr>
      <w:tr>
        <w:trPr/>
        <w:tc>
          <w:tcPr>
            <w:tcW w:w="7567" w:type="dxa"/>
            <w:tcBorders/>
            <w:shd w:fill="CBDBD1" w:val="clear"/>
          </w:tcPr>
          <w:p>
            <w:pPr>
              <w:pStyle w:val="TableContents"/>
              <w:spacing w:before="0" w:after="0"/>
              <w:ind w:left="0" w:right="0" w:hanging="0"/>
              <w:jc w:val="left"/>
              <w:rPr/>
            </w:pPr>
            <w:r>
              <w:rPr/>
              <w:t>          </w:t>
            </w:r>
            <w:hyperlink w:anchor="bs">
              <w:r>
                <w:rPr>
                  <w:rStyle w:val="InternetLink"/>
                  <w:rFonts w:ascii="times new roman" w:hAnsi="times new roman"/>
                  <w:sz w:val="20"/>
                </w:rPr>
                <w:t>Condensed Balance Sheets</w:t>
              </w:r>
            </w:hyperlink>
          </w:p>
        </w:tc>
        <w:tc>
          <w:tcPr>
            <w:tcW w:w="597" w:type="dxa"/>
            <w:tcBorders/>
            <w:shd w:fill="CBDBD1" w:val="clear"/>
          </w:tcPr>
          <w:p>
            <w:pPr>
              <w:pStyle w:val="TableContents"/>
              <w:spacing w:before="0" w:after="0"/>
              <w:ind w:left="0" w:right="0" w:hanging="0"/>
              <w:jc w:val="right"/>
              <w:rPr/>
            </w:pPr>
            <w:hyperlink w:anchor="bs">
              <w:r>
                <w:rPr>
                  <w:rStyle w:val="InternetLink"/>
                  <w:rFonts w:ascii="times new roman" w:hAnsi="times new roman"/>
                  <w:sz w:val="20"/>
                </w:rPr>
                <w:t>4</w:t>
              </w:r>
            </w:hyperlink>
          </w:p>
        </w:tc>
      </w:tr>
      <w:tr>
        <w:trPr/>
        <w:tc>
          <w:tcPr>
            <w:tcW w:w="7567" w:type="dxa"/>
            <w:tcBorders/>
            <w:shd w:fill="FFFFFF" w:val="clear"/>
          </w:tcPr>
          <w:p>
            <w:pPr>
              <w:pStyle w:val="TableContents"/>
              <w:spacing w:before="0" w:after="0"/>
              <w:ind w:left="0" w:right="0" w:hanging="0"/>
              <w:jc w:val="left"/>
              <w:rPr/>
            </w:pPr>
            <w:r>
              <w:rPr/>
              <w:t>          </w:t>
            </w:r>
            <w:hyperlink w:anchor="sops">
              <w:r>
                <w:rPr>
                  <w:rStyle w:val="InternetLink"/>
                  <w:rFonts w:ascii="times new roman" w:hAnsi="times new roman"/>
                  <w:sz w:val="20"/>
                </w:rPr>
                <w:t>Condensed Statements of Operations</w:t>
              </w:r>
            </w:hyperlink>
          </w:p>
        </w:tc>
        <w:tc>
          <w:tcPr>
            <w:tcW w:w="597" w:type="dxa"/>
            <w:tcBorders/>
            <w:shd w:fill="FFFFFF" w:val="clear"/>
          </w:tcPr>
          <w:p>
            <w:pPr>
              <w:pStyle w:val="TableContents"/>
              <w:spacing w:before="0" w:after="0"/>
              <w:ind w:left="0" w:right="0" w:hanging="0"/>
              <w:jc w:val="right"/>
              <w:rPr/>
            </w:pPr>
            <w:hyperlink w:anchor="sops">
              <w:r>
                <w:rPr>
                  <w:rStyle w:val="InternetLink"/>
                  <w:rFonts w:ascii="times new roman" w:hAnsi="times new roman"/>
                  <w:sz w:val="20"/>
                </w:rPr>
                <w:t>5</w:t>
              </w:r>
            </w:hyperlink>
          </w:p>
        </w:tc>
      </w:tr>
      <w:tr>
        <w:trPr/>
        <w:tc>
          <w:tcPr>
            <w:tcW w:w="7567" w:type="dxa"/>
            <w:tcBorders/>
            <w:shd w:fill="CBDBD1" w:val="clear"/>
          </w:tcPr>
          <w:p>
            <w:pPr>
              <w:pStyle w:val="TableContents"/>
              <w:spacing w:before="0" w:after="0"/>
              <w:ind w:left="0" w:right="0" w:hanging="0"/>
              <w:jc w:val="left"/>
              <w:rPr/>
            </w:pPr>
            <w:r>
              <w:rPr/>
              <w:t>          </w:t>
            </w:r>
            <w:hyperlink w:anchor="cfs">
              <w:r>
                <w:rPr>
                  <w:rStyle w:val="InternetLink"/>
                  <w:rFonts w:ascii="times new roman" w:hAnsi="times new roman"/>
                  <w:sz w:val="20"/>
                </w:rPr>
                <w:t>Condensed Statements of Cash Flows</w:t>
              </w:r>
            </w:hyperlink>
          </w:p>
        </w:tc>
        <w:tc>
          <w:tcPr>
            <w:tcW w:w="597" w:type="dxa"/>
            <w:tcBorders/>
            <w:shd w:fill="CBDBD1" w:val="clear"/>
          </w:tcPr>
          <w:p>
            <w:pPr>
              <w:pStyle w:val="TableContents"/>
              <w:spacing w:before="0" w:after="0"/>
              <w:ind w:left="0" w:right="0" w:hanging="0"/>
              <w:jc w:val="right"/>
              <w:rPr/>
            </w:pPr>
            <w:hyperlink w:anchor="cfs">
              <w:r>
                <w:rPr>
                  <w:rStyle w:val="InternetLink"/>
                  <w:rFonts w:ascii="times new roman" w:hAnsi="times new roman"/>
                  <w:sz w:val="20"/>
                </w:rPr>
                <w:t>6</w:t>
              </w:r>
            </w:hyperlink>
          </w:p>
        </w:tc>
      </w:tr>
      <w:tr>
        <w:trPr/>
        <w:tc>
          <w:tcPr>
            <w:tcW w:w="7567" w:type="dxa"/>
            <w:tcBorders/>
            <w:shd w:fill="FFFFFF" w:val="clear"/>
          </w:tcPr>
          <w:p>
            <w:pPr>
              <w:pStyle w:val="TableContents"/>
              <w:spacing w:before="0" w:after="0"/>
              <w:ind w:left="0" w:right="0" w:hanging="0"/>
              <w:jc w:val="left"/>
              <w:rPr/>
            </w:pPr>
            <w:r>
              <w:rPr/>
              <w:t>          </w:t>
            </w:r>
            <w:hyperlink w:anchor="notes">
              <w:r>
                <w:rPr>
                  <w:rStyle w:val="InternetLink"/>
                  <w:rFonts w:ascii="times new roman" w:hAnsi="times new roman"/>
                  <w:sz w:val="20"/>
                </w:rPr>
                <w:t>Notes to Condensed Financial Statements</w:t>
              </w:r>
            </w:hyperlink>
          </w:p>
        </w:tc>
        <w:tc>
          <w:tcPr>
            <w:tcW w:w="597" w:type="dxa"/>
            <w:tcBorders/>
            <w:shd w:fill="FFFFFF" w:val="clear"/>
          </w:tcPr>
          <w:p>
            <w:pPr>
              <w:pStyle w:val="TableContents"/>
              <w:spacing w:before="0" w:after="0"/>
              <w:ind w:left="0" w:right="0" w:hanging="0"/>
              <w:jc w:val="right"/>
              <w:rPr/>
            </w:pPr>
            <w:hyperlink w:anchor="notes">
              <w:r>
                <w:rPr>
                  <w:rStyle w:val="InternetLink"/>
                  <w:rFonts w:ascii="times new roman" w:hAnsi="times new roman"/>
                  <w:sz w:val="20"/>
                </w:rPr>
                <w:t>7</w:t>
              </w:r>
            </w:hyperlink>
          </w:p>
        </w:tc>
      </w:tr>
      <w:tr>
        <w:trPr/>
        <w:tc>
          <w:tcPr>
            <w:tcW w:w="7567" w:type="dxa"/>
            <w:tcBorders/>
            <w:shd w:fill="CBDBD1" w:val="clear"/>
          </w:tcPr>
          <w:p>
            <w:pPr>
              <w:pStyle w:val="TableContents"/>
              <w:spacing w:before="0" w:after="0"/>
              <w:ind w:left="0" w:right="0" w:hanging="0"/>
              <w:jc w:val="left"/>
              <w:rPr/>
            </w:pPr>
            <w:r>
              <w:rPr/>
              <w:t>     </w:t>
            </w:r>
            <w:hyperlink w:anchor="mdna">
              <w:r>
                <w:rPr>
                  <w:rStyle w:val="InternetLink"/>
                  <w:rFonts w:ascii="times new roman" w:hAnsi="times new roman"/>
                  <w:sz w:val="20"/>
                </w:rPr>
                <w:t>Management's Discussion and Analysis of Financial Condition and Results of Operations</w:t>
              </w:r>
            </w:hyperlink>
          </w:p>
        </w:tc>
        <w:tc>
          <w:tcPr>
            <w:tcW w:w="597" w:type="dxa"/>
            <w:tcBorders/>
            <w:shd w:fill="CBDBD1" w:val="clear"/>
          </w:tcPr>
          <w:p>
            <w:pPr>
              <w:pStyle w:val="TableContents"/>
              <w:spacing w:before="0" w:after="0"/>
              <w:ind w:left="0" w:right="0" w:hanging="0"/>
              <w:jc w:val="right"/>
              <w:rPr/>
            </w:pPr>
            <w:hyperlink w:anchor="mdna">
              <w:r>
                <w:rPr>
                  <w:rStyle w:val="InternetLink"/>
                  <w:rFonts w:ascii="times new roman" w:hAnsi="times new roman"/>
                  <w:sz w:val="20"/>
                </w:rPr>
                <w:t>10</w:t>
              </w:r>
            </w:hyperlink>
          </w:p>
        </w:tc>
      </w:tr>
      <w:tr>
        <w:trPr/>
        <w:tc>
          <w:tcPr>
            <w:tcW w:w="7567" w:type="dxa"/>
            <w:tcBorders/>
            <w:shd w:fill="FFFFFF" w:val="clear"/>
          </w:tcPr>
          <w:p>
            <w:pPr>
              <w:pStyle w:val="TableContents"/>
              <w:spacing w:before="0" w:after="0"/>
              <w:ind w:left="0" w:right="0" w:hanging="0"/>
              <w:jc w:val="left"/>
              <w:rPr/>
            </w:pPr>
            <w:r>
              <w:rPr/>
              <w:t>     </w:t>
            </w:r>
            <w:hyperlink w:anchor="cnp">
              <w:r>
                <w:rPr>
                  <w:rStyle w:val="InternetLink"/>
                  <w:rFonts w:ascii="times new roman" w:hAnsi="times new roman"/>
                  <w:sz w:val="20"/>
                </w:rPr>
                <w:t>Controls and Procedures</w:t>
              </w:r>
            </w:hyperlink>
          </w:p>
        </w:tc>
        <w:tc>
          <w:tcPr>
            <w:tcW w:w="597" w:type="dxa"/>
            <w:tcBorders/>
            <w:shd w:fill="FFFFFF" w:val="clear"/>
          </w:tcPr>
          <w:p>
            <w:pPr>
              <w:pStyle w:val="TableContents"/>
              <w:spacing w:before="0" w:after="0"/>
              <w:ind w:left="0" w:right="0" w:hanging="0"/>
              <w:jc w:val="right"/>
              <w:rPr/>
            </w:pPr>
            <w:hyperlink w:anchor="cnp">
              <w:r>
                <w:rPr>
                  <w:rStyle w:val="InternetLink"/>
                  <w:rFonts w:ascii="times new roman" w:hAnsi="times new roman"/>
                  <w:sz w:val="20"/>
                </w:rPr>
                <w:t>12</w:t>
              </w:r>
            </w:hyperlink>
          </w:p>
        </w:tc>
      </w:tr>
      <w:tr>
        <w:trPr/>
        <w:tc>
          <w:tcPr>
            <w:tcW w:w="7567" w:type="dxa"/>
            <w:tcBorders/>
            <w:shd w:fill="CBDBD1" w:val="clear"/>
          </w:tcPr>
          <w:p>
            <w:pPr>
              <w:pStyle w:val="TableContents"/>
              <w:spacing w:before="0" w:after="0"/>
              <w:ind w:left="0" w:right="0" w:hanging="0"/>
              <w:jc w:val="left"/>
              <w:rPr/>
            </w:pPr>
            <w:hyperlink w:anchor="p2">
              <w:r>
                <w:rPr>
                  <w:rStyle w:val="InternetLink"/>
                  <w:rFonts w:ascii="times new roman" w:hAnsi="times new roman"/>
                  <w:sz w:val="20"/>
                </w:rPr>
                <w:t>PART II – OTHER INFORMATION</w:t>
              </w:r>
            </w:hyperlink>
          </w:p>
        </w:tc>
        <w:tc>
          <w:tcPr>
            <w:tcW w:w="597" w:type="dxa"/>
            <w:tcBorders/>
            <w:shd w:fill="CBDBD1" w:val="clear"/>
          </w:tcPr>
          <w:p>
            <w:pPr>
              <w:pStyle w:val="TableContents"/>
              <w:spacing w:before="0" w:after="0"/>
              <w:ind w:left="0" w:right="0" w:hanging="0"/>
              <w:jc w:val="right"/>
              <w:rPr/>
            </w:pPr>
            <w:hyperlink w:anchor="p2">
              <w:r>
                <w:rPr>
                  <w:rStyle w:val="InternetLink"/>
                  <w:rFonts w:ascii="times new roman" w:hAnsi="times new roman"/>
                  <w:sz w:val="20"/>
                </w:rPr>
                <w:t>14</w:t>
              </w:r>
            </w:hyperlink>
          </w:p>
        </w:tc>
      </w:tr>
      <w:tr>
        <w:trPr/>
        <w:tc>
          <w:tcPr>
            <w:tcW w:w="7567" w:type="dxa"/>
            <w:tcBorders/>
            <w:shd w:fill="FFFFFF" w:val="clear"/>
          </w:tcPr>
          <w:p>
            <w:pPr>
              <w:pStyle w:val="TableContents"/>
              <w:spacing w:before="0" w:after="0"/>
              <w:ind w:left="0" w:right="0" w:hanging="0"/>
              <w:jc w:val="left"/>
              <w:rPr/>
            </w:pPr>
            <w:r>
              <w:rPr/>
              <w:t>     </w:t>
            </w:r>
            <w:hyperlink w:anchor="uregsec">
              <w:r>
                <w:rPr>
                  <w:rStyle w:val="InternetLink"/>
                  <w:rFonts w:ascii="times new roman" w:hAnsi="times new roman"/>
                  <w:sz w:val="20"/>
                </w:rPr>
                <w:t>Unregistered Sales of Equity Securities</w:t>
              </w:r>
            </w:hyperlink>
          </w:p>
        </w:tc>
        <w:tc>
          <w:tcPr>
            <w:tcW w:w="597" w:type="dxa"/>
            <w:tcBorders/>
            <w:shd w:fill="FFFFFF" w:val="clear"/>
          </w:tcPr>
          <w:p>
            <w:pPr>
              <w:pStyle w:val="TableContents"/>
              <w:spacing w:before="0" w:after="0"/>
              <w:ind w:left="0" w:right="0" w:hanging="0"/>
              <w:jc w:val="right"/>
              <w:rPr/>
            </w:pPr>
            <w:hyperlink w:anchor="uregsec">
              <w:r>
                <w:rPr>
                  <w:rStyle w:val="InternetLink"/>
                  <w:rFonts w:ascii="times new roman" w:hAnsi="times new roman"/>
                  <w:sz w:val="20"/>
                </w:rPr>
                <w:t>14</w:t>
              </w:r>
            </w:hyperlink>
          </w:p>
        </w:tc>
      </w:tr>
      <w:tr>
        <w:trPr/>
        <w:tc>
          <w:tcPr>
            <w:tcW w:w="7567" w:type="dxa"/>
            <w:tcBorders/>
            <w:shd w:fill="CBDBD1" w:val="clear"/>
          </w:tcPr>
          <w:p>
            <w:pPr>
              <w:pStyle w:val="TableContents"/>
              <w:spacing w:before="0" w:after="0"/>
              <w:ind w:left="0" w:right="0" w:hanging="0"/>
              <w:jc w:val="left"/>
              <w:rPr/>
            </w:pPr>
            <w:r>
              <w:rPr/>
              <w:t>     </w:t>
            </w:r>
            <w:hyperlink w:anchor="exh">
              <w:r>
                <w:rPr>
                  <w:rStyle w:val="InternetLink"/>
                  <w:rFonts w:ascii="times new roman" w:hAnsi="times new roman"/>
                  <w:sz w:val="20"/>
                </w:rPr>
                <w:t>Exhibits and Reports on Form 8-K</w:t>
              </w:r>
            </w:hyperlink>
          </w:p>
        </w:tc>
        <w:tc>
          <w:tcPr>
            <w:tcW w:w="597" w:type="dxa"/>
            <w:tcBorders/>
            <w:shd w:fill="CBDBD1" w:val="clear"/>
          </w:tcPr>
          <w:p>
            <w:pPr>
              <w:pStyle w:val="TableContents"/>
              <w:spacing w:before="0" w:after="0"/>
              <w:ind w:left="0" w:right="0" w:hanging="0"/>
              <w:jc w:val="right"/>
              <w:rPr/>
            </w:pPr>
            <w:hyperlink w:anchor="exh">
              <w:r>
                <w:rPr>
                  <w:rStyle w:val="InternetLink"/>
                  <w:rFonts w:ascii="times new roman" w:hAnsi="times new roman"/>
                  <w:sz w:val="20"/>
                </w:rPr>
                <w:t>14</w:t>
              </w:r>
            </w:hyperlink>
          </w:p>
        </w:tc>
      </w:tr>
      <w:tr>
        <w:trPr/>
        <w:tc>
          <w:tcPr>
            <w:tcW w:w="7567" w:type="dxa"/>
            <w:tcBorders/>
            <w:shd w:fill="FFFFFF" w:val="clear"/>
          </w:tcPr>
          <w:p>
            <w:pPr>
              <w:pStyle w:val="TableContents"/>
              <w:spacing w:before="0" w:after="0"/>
              <w:ind w:left="0" w:right="0" w:hanging="0"/>
              <w:jc w:val="left"/>
              <w:rPr/>
            </w:pPr>
            <w:hyperlink w:anchor="sigs">
              <w:r>
                <w:rPr>
                  <w:rStyle w:val="InternetLink"/>
                  <w:rFonts w:ascii="times new roman" w:hAnsi="times new roman"/>
                  <w:sz w:val="20"/>
                </w:rPr>
                <w:t>SIGNATURES</w:t>
              </w:r>
            </w:hyperlink>
          </w:p>
        </w:tc>
        <w:tc>
          <w:tcPr>
            <w:tcW w:w="597" w:type="dxa"/>
            <w:tcBorders/>
            <w:shd w:fill="FFFFFF" w:val="clear"/>
          </w:tcPr>
          <w:p>
            <w:pPr>
              <w:pStyle w:val="TableContents"/>
              <w:spacing w:before="0" w:after="0"/>
              <w:ind w:left="0" w:right="0" w:hanging="0"/>
              <w:jc w:val="right"/>
              <w:rPr/>
            </w:pPr>
            <w:hyperlink w:anchor="sigs">
              <w:r>
                <w:rPr>
                  <w:rStyle w:val="InternetLink"/>
                  <w:rFonts w:ascii="times new roman" w:hAnsi="times new roman"/>
                  <w:sz w:val="20"/>
                </w:rPr>
                <w:t>15</w:t>
              </w:r>
            </w:hyperlink>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 w:name="PGBRK"/>
      <w:bookmarkStart w:id="3" w:name="PGBRK"/>
      <w:bookmarkEnd w:id="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 w:name="FTR"/>
      <w:bookmarkStart w:id="5" w:name="FTR"/>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 w:name="GLFTR"/>
      <w:bookmarkEnd w:id="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 w:name="PN"/>
      <w:bookmarkEnd w:id="7"/>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 w:name="HDR"/>
      <w:bookmarkStart w:id="9" w:name="HD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 w:name="GLHDR"/>
      <w:bookmarkEnd w:id="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11" w:name="p1"/>
      <w:bookmarkEnd w:id="11"/>
      <w:r>
        <w:rPr>
          <w:rFonts w:ascii="Times New Roman" w:hAnsi="Times New Roman"/>
          <w:b/>
          <w:sz w:val="20"/>
        </w:rPr>
        <w:t>PART I – FINANCIAL INFORMATION</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12" w:name="uanaud"/>
      <w:bookmarkEnd w:id="12"/>
      <w:r>
        <w:rPr>
          <w:rFonts w:ascii="Times New Roman" w:hAnsi="Times New Roman"/>
          <w:b/>
          <w:sz w:val="20"/>
        </w:rPr>
        <w:t>Unaudited Financial Statements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 accompanying unaudited financial statements have been prepared in accordance with generally accepted accounting principles for interim financial reporting and pursuant to the rules and regulations of the Securities and Exchange Commission ("Commission").  While these statements reflect all normal recurring adjustments which are, in the opinion of management, necessary for fair presentation of the results of the interim period, they do not include all of the information and footnotes required by generally accepted accounting principles for complete financial statements.  For further information, refer to the financial statements and footnotes thereto, which are included in the Company's Annual Report on Form 10-K, previously filed with the Commission on March 17, 2010.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 w:name="PGBRK1"/>
      <w:bookmarkStart w:id="14" w:name="PGBR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FTR1"/>
      <w:bookmarkStart w:id="16" w:name="FTR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 w:name="GLFTR1"/>
      <w:bookmarkEnd w:id="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 w:name="PN1"/>
      <w:bookmarkEnd w:id="18"/>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HDR1"/>
      <w:bookmarkStart w:id="20" w:name="HD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 w:name="GLHD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22" w:name="bs"/>
      <w:bookmarkEnd w:id="22"/>
      <w:r>
        <w:rPr>
          <w:rFonts w:ascii="Times New Roman" w:hAnsi="Times New Roman"/>
          <w:b/>
          <w:sz w:val="20"/>
        </w:rPr>
        <w:t>Condensed Balance Sheets</w:t>
      </w:r>
    </w:p>
    <w:p>
      <w:pPr>
        <w:pStyle w:val="TextBody"/>
        <w:spacing w:before="0" w:after="0"/>
        <w:ind w:left="0" w:right="0" w:hanging="0"/>
        <w:rPr/>
      </w:pPr>
      <w:r>
        <w:rPr/>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6516"/>
        <w:gridCol w:w="102"/>
        <w:gridCol w:w="129"/>
        <w:gridCol w:w="975"/>
        <w:gridCol w:w="111"/>
        <w:gridCol w:w="102"/>
        <w:gridCol w:w="133"/>
        <w:gridCol w:w="994"/>
        <w:gridCol w:w="122"/>
      </w:tblGrid>
      <w:tr>
        <w:trPr/>
        <w:tc>
          <w:tcPr>
            <w:tcW w:w="6516" w:type="dxa"/>
            <w:tcBorders/>
            <w:shd w:fill="auto" w:val="clear"/>
            <w:vAlign w:val="bottom"/>
          </w:tcPr>
          <w:p>
            <w:pPr>
              <w:pStyle w:val="TableContents"/>
              <w:spacing w:before="0" w:after="0"/>
              <w:ind w:left="0" w:right="0" w:hanging="0"/>
              <w:jc w:val="left"/>
              <w:rPr/>
            </w:pPr>
            <w:r>
              <w:rPr/>
              <w:t> </w:t>
            </w:r>
          </w:p>
        </w:tc>
        <w:tc>
          <w:tcPr>
            <w:tcW w:w="102" w:type="dxa"/>
            <w:tcBorders/>
            <w:shd w:fill="auto" w:val="clear"/>
            <w:vAlign w:val="bottom"/>
          </w:tcPr>
          <w:p>
            <w:pPr>
              <w:pStyle w:val="TableContents"/>
              <w:spacing w:before="0" w:after="283"/>
              <w:rPr/>
            </w:pPr>
            <w:r>
              <w:rPr/>
              <w:t> </w:t>
            </w:r>
          </w:p>
        </w:tc>
        <w:tc>
          <w:tcPr>
            <w:tcW w:w="1104"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1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2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tc>
        <w:tc>
          <w:tcPr>
            <w:tcW w:w="122" w:type="dxa"/>
            <w:tcBorders/>
            <w:shd w:fill="auto" w:val="clear"/>
            <w:vAlign w:val="bottom"/>
          </w:tcPr>
          <w:p>
            <w:pPr>
              <w:pStyle w:val="TableContents"/>
              <w:spacing w:before="0" w:after="283"/>
              <w:jc w:val="left"/>
              <w:rPr/>
            </w:pPr>
            <w:r>
              <w:rPr/>
              <w:t> </w:t>
            </w:r>
          </w:p>
        </w:tc>
      </w:tr>
      <w:tr>
        <w:trPr/>
        <w:tc>
          <w:tcPr>
            <w:tcW w:w="651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1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2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2" w:type="dxa"/>
            <w:tcBorders/>
            <w:shd w:fill="auto" w:val="clear"/>
            <w:vAlign w:val="bottom"/>
          </w:tcPr>
          <w:p>
            <w:pPr>
              <w:pStyle w:val="TableContents"/>
              <w:spacing w:before="0" w:after="283"/>
              <w:jc w:val="left"/>
              <w:rPr/>
            </w:pPr>
            <w:r>
              <w:rPr/>
              <w:t> </w:t>
            </w:r>
          </w:p>
        </w:tc>
      </w:tr>
      <w:tr>
        <w:trPr/>
        <w:tc>
          <w:tcPr>
            <w:tcW w:w="651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10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27"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6516"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Assets</w:t>
            </w:r>
          </w:p>
        </w:tc>
        <w:tc>
          <w:tcPr>
            <w:tcW w:w="102" w:type="dxa"/>
            <w:tcBorders/>
            <w:shd w:fill="auto" w:val="clear"/>
            <w:vAlign w:val="bottom"/>
          </w:tcPr>
          <w:p>
            <w:pPr>
              <w:pStyle w:val="TableContents"/>
              <w:spacing w:before="0" w:after="283"/>
              <w:rPr/>
            </w:pPr>
            <w:r>
              <w:rPr/>
              <w:t> </w:t>
            </w:r>
          </w:p>
        </w:tc>
        <w:tc>
          <w:tcPr>
            <w:tcW w:w="110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27"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6516"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10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27"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w:t>
            </w:r>
          </w:p>
        </w:tc>
        <w:tc>
          <w:tcPr>
            <w:tcW w:w="102" w:type="dxa"/>
            <w:tcBorders/>
            <w:shd w:fill="CBDBD1" w:val="clear"/>
            <w:vAlign w:val="bottom"/>
          </w:tcPr>
          <w:p>
            <w:pPr>
              <w:pStyle w:val="TableContents"/>
              <w:spacing w:before="0" w:after="283"/>
              <w:jc w:val="right"/>
              <w:rPr/>
            </w:pPr>
            <w:r>
              <w:rPr/>
              <w:t> </w:t>
            </w:r>
          </w:p>
        </w:tc>
        <w:tc>
          <w:tcPr>
            <w:tcW w:w="129"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3,544</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current assets</w:t>
            </w:r>
          </w:p>
        </w:tc>
        <w:tc>
          <w:tcPr>
            <w:tcW w:w="102" w:type="dxa"/>
            <w:tcBorders/>
            <w:shd w:fill="FFFFFF" w:val="clear"/>
            <w:vAlign w:val="bottom"/>
          </w:tcPr>
          <w:p>
            <w:pPr>
              <w:pStyle w:val="TableContents"/>
              <w:spacing w:before="0" w:after="283"/>
              <w:jc w:val="right"/>
              <w:rPr/>
            </w:pPr>
            <w:r>
              <w:rPr/>
              <w:t> </w:t>
            </w:r>
          </w:p>
        </w:tc>
        <w:tc>
          <w:tcPr>
            <w:tcW w:w="12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3,544</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283"/>
              <w:rPr/>
            </w:pPr>
            <w:r>
              <w:rPr/>
              <w:t xml:space="preserve">  </w:t>
            </w:r>
          </w:p>
        </w:tc>
        <w:tc>
          <w:tcPr>
            <w:tcW w:w="102" w:type="dxa"/>
            <w:tcBorders/>
            <w:shd w:fill="CBDBD1" w:val="clear"/>
            <w:vAlign w:val="bottom"/>
          </w:tcPr>
          <w:p>
            <w:pPr>
              <w:pStyle w:val="TableContents"/>
              <w:spacing w:before="0" w:after="283"/>
              <w:rPr/>
            </w:pPr>
            <w:r>
              <w:rPr/>
              <w:t> </w:t>
            </w:r>
          </w:p>
        </w:tc>
        <w:tc>
          <w:tcPr>
            <w:tcW w:w="129" w:type="dxa"/>
            <w:tcBorders/>
            <w:shd w:fill="CBDBD1" w:val="clear"/>
            <w:vAlign w:val="bottom"/>
          </w:tcPr>
          <w:p>
            <w:pPr>
              <w:pStyle w:val="TableContents"/>
              <w:spacing w:before="0" w:after="283"/>
              <w:jc w:val="left"/>
              <w:rPr/>
            </w:pPr>
            <w:r>
              <w:rPr/>
              <w:t> </w:t>
            </w:r>
          </w:p>
        </w:tc>
        <w:tc>
          <w:tcPr>
            <w:tcW w:w="975" w:type="dxa"/>
            <w:tcBorders/>
            <w:shd w:fill="CBDBD1" w:val="clear"/>
            <w:vAlign w:val="bottom"/>
          </w:tcPr>
          <w:p>
            <w:pPr>
              <w:pStyle w:val="TableContents"/>
              <w:spacing w:before="0" w:after="283"/>
              <w:jc w:val="right"/>
              <w:rPr/>
            </w:pPr>
            <w:r>
              <w:rPr/>
              <w:t> </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33" w:type="dxa"/>
            <w:tcBorders/>
            <w:shd w:fill="CBDBD1" w:val="clear"/>
            <w:vAlign w:val="bottom"/>
          </w:tcPr>
          <w:p>
            <w:pPr>
              <w:pStyle w:val="TableContents"/>
              <w:spacing w:before="0" w:after="283"/>
              <w:jc w:val="left"/>
              <w:rPr/>
            </w:pPr>
            <w:r>
              <w:rPr/>
              <w:t> </w:t>
            </w:r>
          </w:p>
        </w:tc>
        <w:tc>
          <w:tcPr>
            <w:tcW w:w="994" w:type="dxa"/>
            <w:tcBorders/>
            <w:shd w:fill="CBDBD1" w:val="clear"/>
            <w:vAlign w:val="bottom"/>
          </w:tcPr>
          <w:p>
            <w:pPr>
              <w:pStyle w:val="TableContents"/>
              <w:spacing w:before="0" w:after="283"/>
              <w:jc w:val="right"/>
              <w:rPr/>
            </w:pPr>
            <w:r>
              <w:rPr/>
              <w:t> </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Fixed assets, net of accumulated depreciation of $571</w:t>
            </w:r>
          </w:p>
        </w:tc>
        <w:tc>
          <w:tcPr>
            <w:tcW w:w="102"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and $464 as of 3/31/10 and 12/31/09, respectively</w:t>
            </w:r>
          </w:p>
        </w:tc>
        <w:tc>
          <w:tcPr>
            <w:tcW w:w="102" w:type="dxa"/>
            <w:tcBorders/>
            <w:shd w:fill="CBDBD1" w:val="clear"/>
            <w:vAlign w:val="bottom"/>
          </w:tcPr>
          <w:p>
            <w:pPr>
              <w:pStyle w:val="TableContents"/>
              <w:spacing w:before="0" w:after="283"/>
              <w:jc w:val="right"/>
              <w:rPr/>
            </w:pPr>
            <w:r>
              <w:rPr/>
              <w:t> </w:t>
            </w:r>
          </w:p>
        </w:tc>
        <w:tc>
          <w:tcPr>
            <w:tcW w:w="12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713</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820</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2" w:type="dxa"/>
            <w:tcBorders/>
            <w:shd w:fill="CBDBD1" w:val="clear"/>
            <w:vAlign w:val="bottom"/>
          </w:tcPr>
          <w:p>
            <w:pPr>
              <w:pStyle w:val="TableContents"/>
              <w:spacing w:before="0" w:after="283"/>
              <w:jc w:val="right"/>
              <w:rPr/>
            </w:pPr>
            <w:r>
              <w:rPr/>
              <w:t> </w:t>
            </w:r>
          </w:p>
        </w:tc>
        <w:tc>
          <w:tcPr>
            <w:tcW w:w="12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4,257</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1,376</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Liabilities and Stockholders’ Equity</w:t>
            </w:r>
          </w:p>
        </w:tc>
        <w:tc>
          <w:tcPr>
            <w:tcW w:w="102" w:type="dxa"/>
            <w:tcBorders/>
            <w:shd w:fill="CBDBD1" w:val="clear"/>
            <w:vAlign w:val="bottom"/>
          </w:tcPr>
          <w:p>
            <w:pPr>
              <w:pStyle w:val="TableContents"/>
              <w:spacing w:before="0" w:after="283"/>
              <w:rPr/>
            </w:pPr>
            <w:r>
              <w:rPr/>
              <w:t> </w:t>
            </w:r>
          </w:p>
        </w:tc>
        <w:tc>
          <w:tcPr>
            <w:tcW w:w="129" w:type="dxa"/>
            <w:tcBorders/>
            <w:shd w:fill="CBDBD1" w:val="clear"/>
            <w:vAlign w:val="bottom"/>
          </w:tcPr>
          <w:p>
            <w:pPr>
              <w:pStyle w:val="TableContents"/>
              <w:spacing w:before="0" w:after="283"/>
              <w:jc w:val="left"/>
              <w:rPr/>
            </w:pPr>
            <w:r>
              <w:rPr/>
              <w:t> </w:t>
            </w:r>
          </w:p>
        </w:tc>
        <w:tc>
          <w:tcPr>
            <w:tcW w:w="975" w:type="dxa"/>
            <w:tcBorders/>
            <w:shd w:fill="CBDBD1" w:val="clear"/>
            <w:vAlign w:val="bottom"/>
          </w:tcPr>
          <w:p>
            <w:pPr>
              <w:pStyle w:val="TableContents"/>
              <w:spacing w:before="0" w:after="283"/>
              <w:jc w:val="right"/>
              <w:rPr/>
            </w:pPr>
            <w:r>
              <w:rPr/>
              <w:t> </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33" w:type="dxa"/>
            <w:tcBorders/>
            <w:shd w:fill="CBDBD1" w:val="clear"/>
            <w:vAlign w:val="bottom"/>
          </w:tcPr>
          <w:p>
            <w:pPr>
              <w:pStyle w:val="TableContents"/>
              <w:spacing w:before="0" w:after="283"/>
              <w:jc w:val="left"/>
              <w:rPr/>
            </w:pPr>
            <w:r>
              <w:rPr/>
              <w:t> </w:t>
            </w:r>
          </w:p>
        </w:tc>
        <w:tc>
          <w:tcPr>
            <w:tcW w:w="994" w:type="dxa"/>
            <w:tcBorders/>
            <w:shd w:fill="CBDBD1" w:val="clear"/>
            <w:vAlign w:val="bottom"/>
          </w:tcPr>
          <w:p>
            <w:pPr>
              <w:pStyle w:val="TableContents"/>
              <w:spacing w:before="0" w:after="283"/>
              <w:jc w:val="right"/>
              <w:rPr/>
            </w:pPr>
            <w:r>
              <w:rPr/>
              <w:t> </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2" w:type="dxa"/>
            <w:tcBorders/>
            <w:shd w:fill="CBDBD1" w:val="clear"/>
            <w:vAlign w:val="bottom"/>
          </w:tcPr>
          <w:p>
            <w:pPr>
              <w:pStyle w:val="TableContents"/>
              <w:spacing w:before="0" w:after="283"/>
              <w:rPr/>
            </w:pPr>
            <w:r>
              <w:rPr/>
              <w:t> </w:t>
            </w:r>
          </w:p>
        </w:tc>
        <w:tc>
          <w:tcPr>
            <w:tcW w:w="129" w:type="dxa"/>
            <w:tcBorders/>
            <w:shd w:fill="CBDBD1" w:val="clear"/>
            <w:vAlign w:val="bottom"/>
          </w:tcPr>
          <w:p>
            <w:pPr>
              <w:pStyle w:val="TableContents"/>
              <w:spacing w:before="0" w:after="283"/>
              <w:jc w:val="left"/>
              <w:rPr/>
            </w:pPr>
            <w:r>
              <w:rPr/>
              <w:t> </w:t>
            </w:r>
          </w:p>
        </w:tc>
        <w:tc>
          <w:tcPr>
            <w:tcW w:w="975" w:type="dxa"/>
            <w:tcBorders/>
            <w:shd w:fill="CBDBD1" w:val="clear"/>
            <w:vAlign w:val="bottom"/>
          </w:tcPr>
          <w:p>
            <w:pPr>
              <w:pStyle w:val="TableContents"/>
              <w:spacing w:before="0" w:after="283"/>
              <w:jc w:val="right"/>
              <w:rPr/>
            </w:pPr>
            <w:r>
              <w:rPr/>
              <w:t> </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33" w:type="dxa"/>
            <w:tcBorders/>
            <w:shd w:fill="CBDBD1" w:val="clear"/>
            <w:vAlign w:val="bottom"/>
          </w:tcPr>
          <w:p>
            <w:pPr>
              <w:pStyle w:val="TableContents"/>
              <w:spacing w:before="0" w:after="283"/>
              <w:jc w:val="left"/>
              <w:rPr/>
            </w:pPr>
            <w:r>
              <w:rPr/>
              <w:t> </w:t>
            </w:r>
          </w:p>
        </w:tc>
        <w:tc>
          <w:tcPr>
            <w:tcW w:w="994" w:type="dxa"/>
            <w:tcBorders/>
            <w:shd w:fill="CBDBD1" w:val="clear"/>
            <w:vAlign w:val="bottom"/>
          </w:tcPr>
          <w:p>
            <w:pPr>
              <w:pStyle w:val="TableContents"/>
              <w:spacing w:before="0" w:after="283"/>
              <w:jc w:val="right"/>
              <w:rPr/>
            </w:pPr>
            <w:r>
              <w:rPr/>
              <w:t> </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payable</w:t>
            </w:r>
          </w:p>
        </w:tc>
        <w:tc>
          <w:tcPr>
            <w:tcW w:w="102" w:type="dxa"/>
            <w:tcBorders/>
            <w:shd w:fill="FFFFFF" w:val="clear"/>
            <w:vAlign w:val="bottom"/>
          </w:tcPr>
          <w:p>
            <w:pPr>
              <w:pStyle w:val="TableContents"/>
              <w:spacing w:before="0" w:after="283"/>
              <w:jc w:val="right"/>
              <w:rPr/>
            </w:pPr>
            <w:r>
              <w:rPr/>
              <w:t> </w:t>
            </w:r>
          </w:p>
        </w:tc>
        <w:tc>
          <w:tcPr>
            <w:tcW w:w="12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3,655</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Note payable</w:t>
            </w:r>
          </w:p>
        </w:tc>
        <w:tc>
          <w:tcPr>
            <w:tcW w:w="102" w:type="dxa"/>
            <w:tcBorders/>
            <w:shd w:fill="CBDBD1" w:val="clear"/>
            <w:vAlign w:val="bottom"/>
          </w:tcPr>
          <w:p>
            <w:pPr>
              <w:pStyle w:val="TableContents"/>
              <w:spacing w:before="0" w:after="283"/>
              <w:jc w:val="right"/>
              <w:rPr/>
            </w:pPr>
            <w:r>
              <w:rPr/>
              <w:t> </w:t>
            </w:r>
          </w:p>
        </w:tc>
        <w:tc>
          <w:tcPr>
            <w:tcW w:w="129" w:type="dxa"/>
            <w:tcBorders/>
            <w:shd w:fill="CBDBD1" w:val="clear"/>
            <w:vAlign w:val="bottom"/>
          </w:tcPr>
          <w:p>
            <w:pPr>
              <w:pStyle w:val="TableContents"/>
              <w:spacing w:before="0" w:after="283"/>
              <w:jc w:val="left"/>
              <w:rPr/>
            </w:pPr>
            <w:r>
              <w:rPr/>
              <w:t> </w:t>
            </w:r>
          </w:p>
        </w:tc>
        <w:tc>
          <w:tcPr>
            <w:tcW w:w="97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shd w:fill="CBDBD1" w:val="clear"/>
            <w:vAlign w:val="bottom"/>
          </w:tcPr>
          <w:p>
            <w:pPr>
              <w:pStyle w:val="TableContents"/>
              <w:spacing w:before="0" w:after="283"/>
              <w:jc w:val="left"/>
              <w:rPr/>
            </w:pPr>
            <w:r>
              <w:rPr/>
              <w:t> </w:t>
            </w:r>
          </w:p>
        </w:tc>
        <w:tc>
          <w:tcPr>
            <w:tcW w:w="99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 payable – related party</w:t>
            </w:r>
          </w:p>
        </w:tc>
        <w:tc>
          <w:tcPr>
            <w:tcW w:w="102" w:type="dxa"/>
            <w:tcBorders/>
            <w:shd w:fill="FFFFFF" w:val="clear"/>
            <w:vAlign w:val="bottom"/>
          </w:tcPr>
          <w:p>
            <w:pPr>
              <w:pStyle w:val="TableContents"/>
              <w:spacing w:before="0" w:after="283"/>
              <w:jc w:val="right"/>
              <w:rPr/>
            </w:pPr>
            <w:r>
              <w:rPr/>
              <w:t> </w:t>
            </w:r>
          </w:p>
        </w:tc>
        <w:tc>
          <w:tcPr>
            <w:tcW w:w="12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current liabilities</w:t>
            </w:r>
          </w:p>
        </w:tc>
        <w:tc>
          <w:tcPr>
            <w:tcW w:w="102" w:type="dxa"/>
            <w:tcBorders/>
            <w:shd w:fill="CBDBD1" w:val="clear"/>
            <w:vAlign w:val="bottom"/>
          </w:tcPr>
          <w:p>
            <w:pPr>
              <w:pStyle w:val="TableContents"/>
              <w:spacing w:before="0" w:after="283"/>
              <w:jc w:val="right"/>
              <w:rPr/>
            </w:pPr>
            <w:r>
              <w:rPr/>
              <w:t> </w:t>
            </w:r>
          </w:p>
        </w:tc>
        <w:tc>
          <w:tcPr>
            <w:tcW w:w="12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4,185</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equity</w:t>
            </w:r>
          </w:p>
        </w:tc>
        <w:tc>
          <w:tcPr>
            <w:tcW w:w="102" w:type="dxa"/>
            <w:tcBorders/>
            <w:shd w:fill="CBDBD1" w:val="clear"/>
            <w:vAlign w:val="bottom"/>
          </w:tcPr>
          <w:p>
            <w:pPr>
              <w:pStyle w:val="TableContents"/>
              <w:spacing w:before="0" w:after="283"/>
              <w:rPr/>
            </w:pPr>
            <w:r>
              <w:rPr/>
              <w:t> </w:t>
            </w:r>
          </w:p>
        </w:tc>
        <w:tc>
          <w:tcPr>
            <w:tcW w:w="129" w:type="dxa"/>
            <w:tcBorders/>
            <w:shd w:fill="CBDBD1" w:val="clear"/>
            <w:vAlign w:val="bottom"/>
          </w:tcPr>
          <w:p>
            <w:pPr>
              <w:pStyle w:val="TableContents"/>
              <w:spacing w:before="0" w:after="283"/>
              <w:jc w:val="left"/>
              <w:rPr/>
            </w:pPr>
            <w:r>
              <w:rPr/>
              <w:t> </w:t>
            </w:r>
          </w:p>
        </w:tc>
        <w:tc>
          <w:tcPr>
            <w:tcW w:w="975" w:type="dxa"/>
            <w:tcBorders/>
            <w:shd w:fill="CBDBD1" w:val="clear"/>
            <w:vAlign w:val="bottom"/>
          </w:tcPr>
          <w:p>
            <w:pPr>
              <w:pStyle w:val="TableContents"/>
              <w:spacing w:before="0" w:after="283"/>
              <w:jc w:val="right"/>
              <w:rPr/>
            </w:pPr>
            <w:r>
              <w:rPr/>
              <w:t> </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33" w:type="dxa"/>
            <w:tcBorders/>
            <w:shd w:fill="CBDBD1" w:val="clear"/>
            <w:vAlign w:val="bottom"/>
          </w:tcPr>
          <w:p>
            <w:pPr>
              <w:pStyle w:val="TableContents"/>
              <w:spacing w:before="0" w:after="283"/>
              <w:jc w:val="left"/>
              <w:rPr/>
            </w:pPr>
            <w:r>
              <w:rPr/>
              <w:t> </w:t>
            </w:r>
          </w:p>
        </w:tc>
        <w:tc>
          <w:tcPr>
            <w:tcW w:w="994" w:type="dxa"/>
            <w:tcBorders/>
            <w:shd w:fill="CBDBD1" w:val="clear"/>
            <w:vAlign w:val="bottom"/>
          </w:tcPr>
          <w:p>
            <w:pPr>
              <w:pStyle w:val="TableContents"/>
              <w:spacing w:before="0" w:after="283"/>
              <w:jc w:val="right"/>
              <w:rPr/>
            </w:pPr>
            <w:r>
              <w:rPr/>
              <w:t> </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Common stock, $0.001 par value, 200,000,000 shares</w:t>
            </w:r>
          </w:p>
        </w:tc>
        <w:tc>
          <w:tcPr>
            <w:tcW w:w="102"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authorized, 5,848,707 shares issued and outstanding</w:t>
            </w:r>
          </w:p>
        </w:tc>
        <w:tc>
          <w:tcPr>
            <w:tcW w:w="102" w:type="dxa"/>
            <w:tcBorders/>
            <w:shd w:fill="CBDBD1" w:val="clear"/>
            <w:vAlign w:val="bottom"/>
          </w:tcPr>
          <w:p>
            <w:pPr>
              <w:pStyle w:val="TableContents"/>
              <w:spacing w:before="0" w:after="283"/>
              <w:rPr/>
            </w:pPr>
            <w:r>
              <w:rPr/>
              <w:t> </w:t>
            </w:r>
          </w:p>
        </w:tc>
        <w:tc>
          <w:tcPr>
            <w:tcW w:w="129" w:type="dxa"/>
            <w:tcBorders/>
            <w:shd w:fill="CBDBD1" w:val="clear"/>
            <w:vAlign w:val="bottom"/>
          </w:tcPr>
          <w:p>
            <w:pPr>
              <w:pStyle w:val="TableContents"/>
              <w:spacing w:before="0" w:after="283"/>
              <w:jc w:val="left"/>
              <w:rPr/>
            </w:pPr>
            <w:r>
              <w:rPr/>
              <w:t> </w:t>
            </w:r>
          </w:p>
        </w:tc>
        <w:tc>
          <w:tcPr>
            <w:tcW w:w="975" w:type="dxa"/>
            <w:tcBorders/>
            <w:shd w:fill="CBDBD1" w:val="clear"/>
            <w:vAlign w:val="bottom"/>
          </w:tcPr>
          <w:p>
            <w:pPr>
              <w:pStyle w:val="TableContents"/>
              <w:spacing w:before="0" w:after="283"/>
              <w:jc w:val="right"/>
              <w:rPr/>
            </w:pPr>
            <w:r>
              <w:rPr/>
              <w:t> </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33" w:type="dxa"/>
            <w:tcBorders/>
            <w:shd w:fill="CBDBD1" w:val="clear"/>
            <w:vAlign w:val="bottom"/>
          </w:tcPr>
          <w:p>
            <w:pPr>
              <w:pStyle w:val="TableContents"/>
              <w:spacing w:before="0" w:after="283"/>
              <w:jc w:val="left"/>
              <w:rPr/>
            </w:pPr>
            <w:r>
              <w:rPr/>
              <w:t> </w:t>
            </w:r>
          </w:p>
        </w:tc>
        <w:tc>
          <w:tcPr>
            <w:tcW w:w="994" w:type="dxa"/>
            <w:tcBorders/>
            <w:shd w:fill="CBDBD1" w:val="clear"/>
            <w:vAlign w:val="bottom"/>
          </w:tcPr>
          <w:p>
            <w:pPr>
              <w:pStyle w:val="TableContents"/>
              <w:spacing w:before="0" w:after="283"/>
              <w:jc w:val="right"/>
              <w:rPr/>
            </w:pPr>
            <w:r>
              <w:rPr/>
              <w:t> </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as of 3/31/10 and 12/31/09, respectively</w:t>
            </w:r>
          </w:p>
        </w:tc>
        <w:tc>
          <w:tcPr>
            <w:tcW w:w="102" w:type="dxa"/>
            <w:tcBorders/>
            <w:shd w:fill="FFFFFF" w:val="clear"/>
            <w:vAlign w:val="bottom"/>
          </w:tcPr>
          <w:p>
            <w:pPr>
              <w:pStyle w:val="TableContents"/>
              <w:spacing w:before="0" w:after="283"/>
              <w:jc w:val="right"/>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5,849</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02" w:type="dxa"/>
            <w:tcBorders/>
            <w:shd w:fill="CBDBD1" w:val="clear"/>
            <w:vAlign w:val="bottom"/>
          </w:tcPr>
          <w:p>
            <w:pPr>
              <w:pStyle w:val="TableContents"/>
              <w:spacing w:before="0" w:after="283"/>
              <w:jc w:val="right"/>
              <w:rPr/>
            </w:pPr>
            <w:r>
              <w:rPr/>
              <w:t> </w:t>
            </w:r>
          </w:p>
        </w:tc>
        <w:tc>
          <w:tcPr>
            <w:tcW w:w="129" w:type="dxa"/>
            <w:tcBorders/>
            <w:shd w:fill="CBDBD1" w:val="clear"/>
            <w:vAlign w:val="bottom"/>
          </w:tcPr>
          <w:p>
            <w:pPr>
              <w:pStyle w:val="TableContents"/>
              <w:spacing w:before="0" w:after="283"/>
              <w:jc w:val="left"/>
              <w:rPr/>
            </w:pPr>
            <w:r>
              <w:rPr/>
              <w:t> </w:t>
            </w:r>
          </w:p>
        </w:tc>
        <w:tc>
          <w:tcPr>
            <w:tcW w:w="97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45,686</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shd w:fill="CBDBD1" w:val="clear"/>
            <w:vAlign w:val="bottom"/>
          </w:tcPr>
          <w:p>
            <w:pPr>
              <w:pStyle w:val="TableContents"/>
              <w:spacing w:before="0" w:after="283"/>
              <w:jc w:val="left"/>
              <w:rPr/>
            </w:pPr>
            <w:r>
              <w:rPr/>
              <w:t> </w:t>
            </w:r>
          </w:p>
        </w:tc>
        <w:tc>
          <w:tcPr>
            <w:tcW w:w="994"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42,686</w:t>
            </w:r>
          </w:p>
        </w:tc>
        <w:tc>
          <w:tcPr>
            <w:tcW w:w="122" w:type="dxa"/>
            <w:tcBorders/>
            <w:shd w:fill="CBDBD1" w:val="clear"/>
            <w:vAlign w:val="bottom"/>
          </w:tcPr>
          <w:p>
            <w:pPr>
              <w:pStyle w:val="TableContents"/>
              <w:spacing w:before="0" w:after="283"/>
              <w:jc w:val="left"/>
              <w:rPr/>
            </w:pPr>
            <w:r>
              <w:rPr/>
              <w:t> </w:t>
            </w:r>
          </w:p>
        </w:tc>
      </w:tr>
      <w:tr>
        <w:trPr/>
        <w:tc>
          <w:tcPr>
            <w:tcW w:w="651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(Deficit) accumulated during development stage</w:t>
            </w:r>
          </w:p>
        </w:tc>
        <w:tc>
          <w:tcPr>
            <w:tcW w:w="102" w:type="dxa"/>
            <w:tcBorders/>
            <w:shd w:fill="FFFFFF" w:val="clear"/>
            <w:vAlign w:val="bottom"/>
          </w:tcPr>
          <w:p>
            <w:pPr>
              <w:pStyle w:val="TableContents"/>
              <w:spacing w:before="0" w:after="283"/>
              <w:jc w:val="right"/>
              <w:rPr/>
            </w:pPr>
            <w:r>
              <w:rPr/>
              <w:t> </w:t>
            </w:r>
          </w:p>
        </w:tc>
        <w:tc>
          <w:tcPr>
            <w:tcW w:w="12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(51,463</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(48,659</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516"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stockholders’ equity</w:t>
            </w:r>
          </w:p>
        </w:tc>
        <w:tc>
          <w:tcPr>
            <w:tcW w:w="102" w:type="dxa"/>
            <w:tcBorders/>
            <w:shd w:fill="CBDBD1" w:val="clear"/>
            <w:vAlign w:val="bottom"/>
          </w:tcPr>
          <w:p>
            <w:pPr>
              <w:pStyle w:val="TableContents"/>
              <w:spacing w:before="0" w:after="283"/>
              <w:jc w:val="right"/>
              <w:rPr/>
            </w:pPr>
            <w:r>
              <w:rPr/>
              <w:t> </w:t>
            </w:r>
          </w:p>
        </w:tc>
        <w:tc>
          <w:tcPr>
            <w:tcW w:w="12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94"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22"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51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29"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33" w:type="dxa"/>
            <w:tcBorders/>
            <w:shd w:fill="FFFFFF" w:val="clear"/>
            <w:vAlign w:val="bottom"/>
          </w:tcPr>
          <w:p>
            <w:pPr>
              <w:pStyle w:val="TableContents"/>
              <w:spacing w:before="0" w:after="283"/>
              <w:jc w:val="left"/>
              <w:rPr/>
            </w:pPr>
            <w:r>
              <w:rPr/>
              <w:t> </w:t>
            </w:r>
          </w:p>
        </w:tc>
        <w:tc>
          <w:tcPr>
            <w:tcW w:w="994"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6516"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 and stockholders’ equity</w:t>
            </w:r>
          </w:p>
        </w:tc>
        <w:tc>
          <w:tcPr>
            <w:tcW w:w="102" w:type="dxa"/>
            <w:tcBorders/>
            <w:shd w:fill="CBDBD1" w:val="clear"/>
            <w:vAlign w:val="bottom"/>
          </w:tcPr>
          <w:p>
            <w:pPr>
              <w:pStyle w:val="TableContents"/>
              <w:spacing w:before="0" w:after="283"/>
              <w:jc w:val="right"/>
              <w:rPr/>
            </w:pPr>
            <w:r>
              <w:rPr/>
              <w:t> </w:t>
            </w:r>
          </w:p>
        </w:tc>
        <w:tc>
          <w:tcPr>
            <w:tcW w:w="12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4,257</w:t>
            </w:r>
          </w:p>
        </w:tc>
        <w:tc>
          <w:tcPr>
            <w:tcW w:w="111"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33"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4"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1,376</w:t>
            </w:r>
          </w:p>
        </w:tc>
        <w:tc>
          <w:tcPr>
            <w:tcW w:w="122" w:type="dxa"/>
            <w:tcBorders/>
            <w:shd w:fill="CBDBD1"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 w:name="PGBRK2"/>
      <w:bookmarkStart w:id="24" w:name="PGBRK2"/>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 w:name="FTR2"/>
      <w:bookmarkStart w:id="26" w:name="FTR2"/>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 w:name="GLFTR2"/>
      <w:bookmarkEnd w:id="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 w:name="PN2"/>
      <w:bookmarkEnd w:id="28"/>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 w:name="HDR2"/>
      <w:bookmarkStart w:id="30" w:name="HDR2"/>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 w:name="GLHDR2"/>
      <w:bookmarkEnd w:id="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32" w:name="sops"/>
      <w:bookmarkEnd w:id="32"/>
      <w:r>
        <w:rPr>
          <w:rFonts w:ascii="Times New Roman" w:hAnsi="Times New Roman"/>
          <w:b/>
          <w:sz w:val="20"/>
        </w:rPr>
        <w:t>Condensed Statements of Operations</w:t>
      </w:r>
    </w:p>
    <w:p>
      <w:pPr>
        <w:pStyle w:val="TextBody"/>
        <w:spacing w:before="0" w:after="0"/>
        <w:ind w:left="0" w:right="0" w:hanging="0"/>
        <w:rPr/>
      </w:pPr>
      <w:r>
        <w:rPr/>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4669"/>
        <w:gridCol w:w="102"/>
        <w:gridCol w:w="149"/>
        <w:gridCol w:w="1143"/>
        <w:gridCol w:w="116"/>
        <w:gridCol w:w="102"/>
        <w:gridCol w:w="149"/>
        <w:gridCol w:w="1143"/>
        <w:gridCol w:w="116"/>
        <w:gridCol w:w="102"/>
        <w:gridCol w:w="214"/>
        <w:gridCol w:w="1043"/>
        <w:gridCol w:w="136"/>
      </w:tblGrid>
      <w:tr>
        <w:trPr/>
        <w:tc>
          <w:tcPr>
            <w:tcW w:w="466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802"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tc>
        <w:tc>
          <w:tcPr>
            <w:tcW w:w="116"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6, 2005</w:t>
            </w:r>
          </w:p>
        </w:tc>
        <w:tc>
          <w:tcPr>
            <w:tcW w:w="136" w:type="dxa"/>
            <w:tcBorders/>
            <w:shd w:fill="auto" w:val="clear"/>
            <w:vAlign w:val="bottom"/>
          </w:tcPr>
          <w:p>
            <w:pPr>
              <w:pStyle w:val="TableContents"/>
              <w:spacing w:before="0" w:after="283"/>
              <w:jc w:val="left"/>
              <w:rPr/>
            </w:pPr>
            <w:r>
              <w:rPr/>
              <w:t> </w:t>
            </w:r>
          </w:p>
        </w:tc>
      </w:tr>
      <w:tr>
        <w:trPr/>
        <w:tc>
          <w:tcPr>
            <w:tcW w:w="466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802"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16"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tc>
        <w:tc>
          <w:tcPr>
            <w:tcW w:w="136" w:type="dxa"/>
            <w:tcBorders/>
            <w:shd w:fill="auto" w:val="clear"/>
            <w:vAlign w:val="bottom"/>
          </w:tcPr>
          <w:p>
            <w:pPr>
              <w:pStyle w:val="TableContents"/>
              <w:spacing w:before="0" w:after="283"/>
              <w:jc w:val="left"/>
              <w:rPr/>
            </w:pPr>
            <w:r>
              <w:rPr/>
              <w:t> </w:t>
            </w:r>
          </w:p>
        </w:tc>
      </w:tr>
      <w:tr>
        <w:trPr/>
        <w:tc>
          <w:tcPr>
            <w:tcW w:w="466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9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6"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9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6"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 2010</w:t>
            </w:r>
          </w:p>
        </w:tc>
        <w:tc>
          <w:tcPr>
            <w:tcW w:w="136" w:type="dxa"/>
            <w:tcBorders/>
            <w:shd w:fill="auto" w:val="clear"/>
            <w:vAlign w:val="bottom"/>
          </w:tcPr>
          <w:p>
            <w:pPr>
              <w:pStyle w:val="TableContents"/>
              <w:spacing w:before="0" w:after="283"/>
              <w:jc w:val="left"/>
              <w:rPr/>
            </w:pPr>
            <w:r>
              <w:rPr/>
              <w:t> </w:t>
            </w:r>
          </w:p>
        </w:tc>
      </w:tr>
      <w:tr>
        <w:trPr/>
        <w:tc>
          <w:tcPr>
            <w:tcW w:w="4669"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92"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57" w:type="dxa"/>
            <w:gridSpan w:val="2"/>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214" w:type="dxa"/>
            <w:tcBorders>
              <w:bottom w:val="single" w:sz="12"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CBDBD1" w:val="clear"/>
            <w:vAlign w:val="bottom"/>
          </w:tcPr>
          <w:p>
            <w:pPr>
              <w:pStyle w:val="TableContents"/>
              <w:spacing w:before="0" w:after="283"/>
              <w:jc w:val="left"/>
              <w:rPr/>
            </w:pPr>
            <w:r>
              <w:rPr/>
              <w:t> </w:t>
            </w:r>
          </w:p>
        </w:tc>
      </w:tr>
      <w:tr>
        <w:trPr/>
        <w:tc>
          <w:tcPr>
            <w:tcW w:w="466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Expenses:</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pPr>
            <w:r>
              <w:rPr/>
              <w:t> </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pPr>
            <w:r>
              <w:rPr/>
              <w:t> </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214" w:type="dxa"/>
            <w:tcBorders/>
            <w:shd w:fill="CBDBD1" w:val="clear"/>
            <w:vAlign w:val="bottom"/>
          </w:tcPr>
          <w:p>
            <w:pPr>
              <w:pStyle w:val="TableContents"/>
              <w:spacing w:before="0" w:after="283"/>
              <w:jc w:val="left"/>
              <w:rPr/>
            </w:pPr>
            <w:r>
              <w:rPr/>
              <w:t> </w:t>
            </w:r>
          </w:p>
        </w:tc>
        <w:tc>
          <w:tcPr>
            <w:tcW w:w="1043" w:type="dxa"/>
            <w:tcBorders/>
            <w:shd w:fill="CBDBD1" w:val="clear"/>
            <w:vAlign w:val="bottom"/>
          </w:tcPr>
          <w:p>
            <w:pPr>
              <w:pStyle w:val="TableContents"/>
              <w:spacing w:before="0" w:after="283"/>
              <w:jc w:val="right"/>
              <w:rPr/>
            </w:pPr>
            <w:r>
              <w:rPr/>
              <w:t> </w:t>
            </w:r>
          </w:p>
        </w:tc>
        <w:tc>
          <w:tcPr>
            <w:tcW w:w="136" w:type="dxa"/>
            <w:tcBorders/>
            <w:shd w:fill="CBDBD1" w:val="clear"/>
            <w:vAlign w:val="bottom"/>
          </w:tcPr>
          <w:p>
            <w:pPr>
              <w:pStyle w:val="TableContents"/>
              <w:spacing w:before="0" w:after="283"/>
              <w:jc w:val="left"/>
              <w:rPr/>
            </w:pPr>
            <w:r>
              <w:rPr/>
              <w:t> </w:t>
            </w:r>
          </w:p>
        </w:tc>
      </w:tr>
      <w:tr>
        <w:trPr/>
        <w:tc>
          <w:tcPr>
            <w:tcW w:w="466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Depreciation expense</w:t>
            </w:r>
          </w:p>
        </w:tc>
        <w:tc>
          <w:tcPr>
            <w:tcW w:w="102"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571</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Executive compensation</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214" w:type="dxa"/>
            <w:tcBorders/>
            <w:shd w:fill="CBDBD1" w:val="clear"/>
            <w:vAlign w:val="bottom"/>
          </w:tcPr>
          <w:p>
            <w:pPr>
              <w:pStyle w:val="TableContents"/>
              <w:spacing w:before="0" w:after="283"/>
              <w:jc w:val="left"/>
              <w:rPr/>
            </w:pPr>
            <w:r>
              <w:rPr/>
              <w:t> </w:t>
            </w:r>
          </w:p>
        </w:tc>
        <w:tc>
          <w:tcPr>
            <w:tcW w:w="104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36" w:type="dxa"/>
            <w:tcBorders/>
            <w:shd w:fill="CBDBD1" w:val="clear"/>
            <w:vAlign w:val="bottom"/>
          </w:tcPr>
          <w:p>
            <w:pPr>
              <w:pStyle w:val="TableContents"/>
              <w:spacing w:before="0" w:after="283"/>
              <w:jc w:val="left"/>
              <w:rPr/>
            </w:pPr>
            <w:r>
              <w:rPr/>
              <w:t> </w:t>
            </w:r>
          </w:p>
        </w:tc>
      </w:tr>
      <w:tr>
        <w:trPr/>
        <w:tc>
          <w:tcPr>
            <w:tcW w:w="466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General and administrative expenses</w:t>
            </w:r>
          </w:p>
        </w:tc>
        <w:tc>
          <w:tcPr>
            <w:tcW w:w="102"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2,667</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17,082</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21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45,772</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Total expenses</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2,774</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17,189</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jc w:val="right"/>
              <w:rPr/>
            </w:pPr>
            <w:r>
              <w:rPr/>
              <w:t> </w:t>
            </w:r>
          </w:p>
        </w:tc>
        <w:tc>
          <w:tcPr>
            <w:tcW w:w="21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51,343</w:t>
            </w:r>
          </w:p>
        </w:tc>
        <w:tc>
          <w:tcPr>
            <w:tcW w:w="136" w:type="dxa"/>
            <w:tcBorders/>
            <w:shd w:fill="CBDBD1" w:val="clear"/>
            <w:vAlign w:val="bottom"/>
          </w:tcPr>
          <w:p>
            <w:pPr>
              <w:pStyle w:val="TableContents"/>
              <w:spacing w:before="0" w:after="283"/>
              <w:jc w:val="left"/>
              <w:rPr/>
            </w:pPr>
            <w:r>
              <w:rPr/>
              <w:t> </w:t>
            </w:r>
          </w:p>
        </w:tc>
      </w:tr>
      <w:tr>
        <w:trPr/>
        <w:tc>
          <w:tcPr>
            <w:tcW w:w="466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provision for income taxes</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(2,774</w:t>
            </w:r>
          </w:p>
        </w:tc>
        <w:tc>
          <w:tcPr>
            <w:tcW w:w="11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149"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1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(17,189</w:t>
            </w:r>
          </w:p>
        </w:tc>
        <w:tc>
          <w:tcPr>
            <w:tcW w:w="11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21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43"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(51,343</w:t>
            </w:r>
          </w:p>
        </w:tc>
        <w:tc>
          <w:tcPr>
            <w:tcW w:w="13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Provision for income taxes</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214" w:type="dxa"/>
            <w:tcBorders/>
            <w:shd w:fill="CBDBD1" w:val="clear"/>
            <w:vAlign w:val="bottom"/>
          </w:tcPr>
          <w:p>
            <w:pPr>
              <w:pStyle w:val="TableContents"/>
              <w:spacing w:before="0" w:after="283"/>
              <w:jc w:val="left"/>
              <w:rPr/>
            </w:pPr>
            <w:r>
              <w:rPr/>
              <w:t> </w:t>
            </w:r>
          </w:p>
        </w:tc>
        <w:tc>
          <w:tcPr>
            <w:tcW w:w="1043"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3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2" w:type="dxa"/>
            <w:tcBorders/>
            <w:shd w:fill="CBDBD1" w:val="clear"/>
            <w:vAlign w:val="bottom"/>
          </w:tcPr>
          <w:p>
            <w:pPr>
              <w:pStyle w:val="TableContents"/>
              <w:spacing w:before="0" w:after="283"/>
              <w:jc w:val="right"/>
              <w:rPr/>
            </w:pPr>
            <w:r>
              <w:rPr/>
              <w:t> </w:t>
            </w:r>
          </w:p>
        </w:tc>
        <w:tc>
          <w:tcPr>
            <w:tcW w:w="14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(2,804</w:t>
            </w:r>
          </w:p>
        </w:tc>
        <w:tc>
          <w:tcPr>
            <w:tcW w:w="11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149"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(17,219</w:t>
            </w:r>
          </w:p>
        </w:tc>
        <w:tc>
          <w:tcPr>
            <w:tcW w:w="11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BDBD1" w:val="clear"/>
            <w:vAlign w:val="bottom"/>
          </w:tcPr>
          <w:p>
            <w:pPr>
              <w:pStyle w:val="TableContents"/>
              <w:spacing w:before="0" w:after="283"/>
              <w:jc w:val="right"/>
              <w:rPr/>
            </w:pPr>
            <w:r>
              <w:rPr/>
              <w:t> </w:t>
            </w:r>
          </w:p>
        </w:tc>
        <w:tc>
          <w:tcPr>
            <w:tcW w:w="214"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(51,463</w:t>
            </w:r>
          </w:p>
        </w:tc>
        <w:tc>
          <w:tcPr>
            <w:tcW w:w="13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69"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143"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number of</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pPr>
            <w:r>
              <w:rPr/>
              <w:t> </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pPr>
            <w:r>
              <w:rPr/>
              <w:t> </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214" w:type="dxa"/>
            <w:tcBorders/>
            <w:shd w:fill="CBDBD1" w:val="clear"/>
            <w:vAlign w:val="bottom"/>
          </w:tcPr>
          <w:p>
            <w:pPr>
              <w:pStyle w:val="TableContents"/>
              <w:spacing w:before="0" w:after="283"/>
              <w:jc w:val="left"/>
              <w:rPr/>
            </w:pPr>
            <w:r>
              <w:rPr/>
              <w:t> </w:t>
            </w:r>
          </w:p>
        </w:tc>
        <w:tc>
          <w:tcPr>
            <w:tcW w:w="1043" w:type="dxa"/>
            <w:tcBorders/>
            <w:shd w:fill="CBDBD1" w:val="clear"/>
            <w:vAlign w:val="bottom"/>
          </w:tcPr>
          <w:p>
            <w:pPr>
              <w:pStyle w:val="TableContents"/>
              <w:spacing w:before="0" w:after="283"/>
              <w:jc w:val="right"/>
              <w:rPr/>
            </w:pPr>
            <w:r>
              <w:rPr/>
              <w:t> </w:t>
            </w:r>
          </w:p>
        </w:tc>
        <w:tc>
          <w:tcPr>
            <w:tcW w:w="136" w:type="dxa"/>
            <w:tcBorders/>
            <w:shd w:fill="CBDBD1" w:val="clear"/>
            <w:vAlign w:val="bottom"/>
          </w:tcPr>
          <w:p>
            <w:pPr>
              <w:pStyle w:val="TableContents"/>
              <w:spacing w:before="0" w:after="283"/>
              <w:jc w:val="left"/>
              <w:rPr/>
            </w:pPr>
            <w:r>
              <w:rPr/>
              <w:t> </w:t>
            </w:r>
          </w:p>
        </w:tc>
      </w:tr>
      <w:tr>
        <w:trPr/>
        <w:tc>
          <w:tcPr>
            <w:tcW w:w="466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common shares outstanding – basic and fully diluted</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5,848,707</w:t>
            </w:r>
          </w:p>
        </w:tc>
        <w:tc>
          <w:tcPr>
            <w:tcW w:w="116"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r>
        <w:trPr/>
        <w:tc>
          <w:tcPr>
            <w:tcW w:w="4669" w:type="dxa"/>
            <w:tcBorders/>
            <w:shd w:fill="CBDBD1" w:val="clear"/>
            <w:vAlign w:val="bottom"/>
          </w:tcPr>
          <w:p>
            <w:pPr>
              <w:pStyle w:val="TableContents"/>
              <w:spacing w:before="0" w:after="283"/>
              <w:rPr/>
            </w:pPr>
            <w:r>
              <w:rPr/>
              <w:t xml:space="preserve">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pPr>
            <w:r>
              <w:rPr/>
              <w:t> </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149" w:type="dxa"/>
            <w:tcBorders/>
            <w:shd w:fill="CBDBD1" w:val="clear"/>
            <w:vAlign w:val="bottom"/>
          </w:tcPr>
          <w:p>
            <w:pPr>
              <w:pStyle w:val="TableContents"/>
              <w:spacing w:before="0" w:after="283"/>
              <w:jc w:val="left"/>
              <w:rPr/>
            </w:pPr>
            <w:r>
              <w:rPr/>
              <w:t> </w:t>
            </w:r>
          </w:p>
        </w:tc>
        <w:tc>
          <w:tcPr>
            <w:tcW w:w="1143" w:type="dxa"/>
            <w:tcBorders/>
            <w:shd w:fill="CBDBD1" w:val="clear"/>
            <w:vAlign w:val="bottom"/>
          </w:tcPr>
          <w:p>
            <w:pPr>
              <w:pStyle w:val="TableContents"/>
              <w:spacing w:before="0" w:after="283"/>
              <w:jc w:val="right"/>
              <w:rPr/>
            </w:pPr>
            <w:r>
              <w:rPr/>
              <w:t> </w:t>
            </w:r>
          </w:p>
        </w:tc>
        <w:tc>
          <w:tcPr>
            <w:tcW w:w="116" w:type="dxa"/>
            <w:tcBorders/>
            <w:shd w:fill="CBDBD1" w:val="clear"/>
            <w:vAlign w:val="bottom"/>
          </w:tcPr>
          <w:p>
            <w:pPr>
              <w:pStyle w:val="TableContents"/>
              <w:spacing w:before="0" w:after="283"/>
              <w:jc w:val="left"/>
              <w:rPr/>
            </w:pPr>
            <w:r>
              <w:rPr/>
              <w:t> </w:t>
            </w:r>
          </w:p>
        </w:tc>
        <w:tc>
          <w:tcPr>
            <w:tcW w:w="102" w:type="dxa"/>
            <w:tcBorders/>
            <w:shd w:fill="CBDBD1" w:val="clear"/>
            <w:vAlign w:val="bottom"/>
          </w:tcPr>
          <w:p>
            <w:pPr>
              <w:pStyle w:val="TableContents"/>
              <w:spacing w:before="0" w:after="283"/>
              <w:rPr/>
            </w:pPr>
            <w:r>
              <w:rPr/>
              <w:t> </w:t>
            </w:r>
          </w:p>
        </w:tc>
        <w:tc>
          <w:tcPr>
            <w:tcW w:w="214" w:type="dxa"/>
            <w:tcBorders/>
            <w:shd w:fill="CBDBD1" w:val="clear"/>
            <w:vAlign w:val="bottom"/>
          </w:tcPr>
          <w:p>
            <w:pPr>
              <w:pStyle w:val="TableContents"/>
              <w:spacing w:before="0" w:after="283"/>
              <w:jc w:val="left"/>
              <w:rPr/>
            </w:pPr>
            <w:r>
              <w:rPr/>
              <w:t> </w:t>
            </w:r>
          </w:p>
        </w:tc>
        <w:tc>
          <w:tcPr>
            <w:tcW w:w="1043" w:type="dxa"/>
            <w:tcBorders/>
            <w:shd w:fill="CBDBD1" w:val="clear"/>
            <w:vAlign w:val="bottom"/>
          </w:tcPr>
          <w:p>
            <w:pPr>
              <w:pStyle w:val="TableContents"/>
              <w:spacing w:before="0" w:after="283"/>
              <w:jc w:val="right"/>
              <w:rPr/>
            </w:pPr>
            <w:r>
              <w:rPr/>
              <w:t> </w:t>
            </w:r>
          </w:p>
        </w:tc>
        <w:tc>
          <w:tcPr>
            <w:tcW w:w="136" w:type="dxa"/>
            <w:tcBorders/>
            <w:shd w:fill="CBDBD1" w:val="clear"/>
            <w:vAlign w:val="bottom"/>
          </w:tcPr>
          <w:p>
            <w:pPr>
              <w:pStyle w:val="TableContents"/>
              <w:spacing w:before="0" w:after="283"/>
              <w:jc w:val="left"/>
              <w:rPr/>
            </w:pPr>
            <w:r>
              <w:rPr/>
              <w:t> </w:t>
            </w:r>
          </w:p>
        </w:tc>
      </w:tr>
      <w:tr>
        <w:trPr/>
        <w:tc>
          <w:tcPr>
            <w:tcW w:w="466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per share – basic and fully diluted</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1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right"/>
              <w:rPr/>
            </w:pPr>
            <w:r>
              <w:rPr/>
              <w:t> </w:t>
            </w:r>
          </w:p>
        </w:tc>
        <w:tc>
          <w:tcPr>
            <w:tcW w:w="14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1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left"/>
              <w:rPr/>
            </w:pPr>
            <w:r>
              <w:rPr/>
              <w:t> </w:t>
            </w:r>
          </w:p>
        </w:tc>
        <w:tc>
          <w:tcPr>
            <w:tcW w:w="1043" w:type="dxa"/>
            <w:tcBorders/>
            <w:shd w:fill="FFFFFF" w:val="clear"/>
            <w:vAlign w:val="bottom"/>
          </w:tcPr>
          <w:p>
            <w:pPr>
              <w:pStyle w:val="TableContents"/>
              <w:spacing w:before="0" w:after="283"/>
              <w:jc w:val="right"/>
              <w:rPr/>
            </w:pPr>
            <w:r>
              <w:rPr/>
              <w:t> </w:t>
            </w:r>
          </w:p>
        </w:tc>
        <w:tc>
          <w:tcPr>
            <w:tcW w:w="136"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 w:name="PGBRK3"/>
      <w:bookmarkStart w:id="34" w:name="PGBRK3"/>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FTR3"/>
      <w:bookmarkStart w:id="36" w:name="FTR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 w:name="GLFTR3"/>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 w:name="PN3"/>
      <w:bookmarkEnd w:id="38"/>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HDR3"/>
      <w:bookmarkStart w:id="40" w:name="HDR3"/>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 w:name="GLHDR3"/>
      <w:bookmarkEnd w:id="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42" w:name="cfs"/>
      <w:bookmarkEnd w:id="42"/>
      <w:r>
        <w:rPr>
          <w:rFonts w:ascii="Times New Roman" w:hAnsi="Times New Roman"/>
          <w:b/>
          <w:sz w:val="20"/>
        </w:rPr>
        <w:t>Condensed Statements of Cash Flows</w:t>
      </w:r>
    </w:p>
    <w:p>
      <w:pPr>
        <w:pStyle w:val="TextBody"/>
        <w:spacing w:before="0" w:after="0"/>
        <w:ind w:left="0" w:right="0" w:hanging="0"/>
        <w:rPr/>
      </w:pPr>
      <w:r>
        <w:rPr/>
      </w:r>
    </w:p>
    <w:p>
      <w:pPr>
        <w:pStyle w:val="TextBody"/>
        <w:spacing w:before="0" w:after="0"/>
        <w:ind w:left="0" w:right="0" w:hanging="0"/>
        <w:rPr/>
      </w:pPr>
      <w:r>
        <w:rPr/>
      </w:r>
    </w:p>
    <w:tbl>
      <w:tblPr>
        <w:tblW w:w="4500" w:type="pct"/>
        <w:jc w:val="center"/>
        <w:tblInd w:w="0" w:type="dxa"/>
        <w:tblCellMar>
          <w:top w:w="0" w:type="dxa"/>
          <w:left w:w="0" w:type="dxa"/>
          <w:bottom w:w="0" w:type="dxa"/>
          <w:right w:w="0" w:type="dxa"/>
        </w:tblCellMar>
      </w:tblPr>
      <w:tblGrid>
        <w:gridCol w:w="5340"/>
        <w:gridCol w:w="98"/>
        <w:gridCol w:w="125"/>
        <w:gridCol w:w="891"/>
        <w:gridCol w:w="106"/>
        <w:gridCol w:w="98"/>
        <w:gridCol w:w="125"/>
        <w:gridCol w:w="935"/>
        <w:gridCol w:w="106"/>
        <w:gridCol w:w="98"/>
        <w:gridCol w:w="124"/>
        <w:gridCol w:w="1015"/>
        <w:gridCol w:w="123"/>
      </w:tblGrid>
      <w:tr>
        <w:trPr/>
        <w:tc>
          <w:tcPr>
            <w:tcW w:w="5340"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2280"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For the three months ended</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6, 2005</w:t>
            </w:r>
          </w:p>
        </w:tc>
        <w:tc>
          <w:tcPr>
            <w:tcW w:w="123" w:type="dxa"/>
            <w:tcBorders/>
            <w:shd w:fill="auto" w:val="clear"/>
            <w:vAlign w:val="bottom"/>
          </w:tcPr>
          <w:p>
            <w:pPr>
              <w:pStyle w:val="TableContents"/>
              <w:spacing w:before="0" w:after="283"/>
              <w:jc w:val="left"/>
              <w:rPr/>
            </w:pPr>
            <w:r>
              <w:rPr/>
              <w:t> </w:t>
            </w:r>
          </w:p>
        </w:tc>
      </w:tr>
      <w:tr>
        <w:trPr/>
        <w:tc>
          <w:tcPr>
            <w:tcW w:w="5340"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2280"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tc>
        <w:tc>
          <w:tcPr>
            <w:tcW w:w="123" w:type="dxa"/>
            <w:tcBorders/>
            <w:shd w:fill="auto" w:val="clear"/>
            <w:vAlign w:val="bottom"/>
          </w:tcPr>
          <w:p>
            <w:pPr>
              <w:pStyle w:val="TableContents"/>
              <w:spacing w:before="0" w:after="283"/>
              <w:jc w:val="left"/>
              <w:rPr/>
            </w:pPr>
            <w:r>
              <w:rPr/>
              <w:t> </w:t>
            </w:r>
          </w:p>
        </w:tc>
      </w:tr>
      <w:tr>
        <w:trPr/>
        <w:tc>
          <w:tcPr>
            <w:tcW w:w="5340"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0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 2010</w:t>
            </w:r>
          </w:p>
        </w:tc>
        <w:tc>
          <w:tcPr>
            <w:tcW w:w="123" w:type="dxa"/>
            <w:tcBorders/>
            <w:shd w:fill="auto" w:val="clear"/>
            <w:vAlign w:val="bottom"/>
          </w:tcPr>
          <w:p>
            <w:pPr>
              <w:pStyle w:val="TableContents"/>
              <w:spacing w:before="0" w:after="283"/>
              <w:jc w:val="left"/>
              <w:rPr/>
            </w:pPr>
            <w:r>
              <w:rPr/>
              <w:t> </w:t>
            </w:r>
          </w:p>
        </w:tc>
      </w:tr>
      <w:tr>
        <w:trPr/>
        <w:tc>
          <w:tcPr>
            <w:tcW w:w="5340"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98" w:type="dxa"/>
            <w:tcBorders/>
            <w:shd w:fill="auto" w:val="clear"/>
            <w:vAlign w:val="bottom"/>
          </w:tcPr>
          <w:p>
            <w:pPr>
              <w:pStyle w:val="TableContents"/>
              <w:spacing w:before="0" w:after="283"/>
              <w:rPr/>
            </w:pPr>
            <w:r>
              <w:rPr/>
              <w:t> </w:t>
            </w:r>
          </w:p>
        </w:tc>
        <w:tc>
          <w:tcPr>
            <w:tcW w:w="1016"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60" w:type="dxa"/>
            <w:gridSpan w:val="2"/>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139"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(2,804</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(17,219</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(51,463</w:t>
            </w:r>
          </w:p>
        </w:tc>
        <w:tc>
          <w:tcPr>
            <w:tcW w:w="123"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net cash (used) by operating activities:</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Shares issued for executive compensation</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Depreciation</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571</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(Decrease) increase in accounts payable</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2,655</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(848</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3,655</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by operating activities</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(17,960</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(42,237</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40"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Purchase of fixed assets</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(1,284</w:t>
            </w:r>
          </w:p>
        </w:tc>
        <w:tc>
          <w:tcPr>
            <w:tcW w:w="123"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by investing activities</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(1,284</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40" w:type="dxa"/>
            <w:tcBorders/>
            <w:shd w:fill="CBDBD1" w:val="clear"/>
            <w:vAlign w:val="bottom"/>
          </w:tcPr>
          <w:p>
            <w:pPr>
              <w:pStyle w:val="TableContents"/>
              <w:spacing w:before="0" w:after="283"/>
              <w:rPr/>
            </w:pPr>
            <w:r>
              <w:rPr/>
              <w:t xml:space="preserve">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Proceeds from note payable</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note payable – related party</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Donated capital</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4,600</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Issuances of common stock</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41,935</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3,030</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single" w:sz="12" w:space="0" w:color="000000"/>
            </w:tcBorders>
            <w:shd w:fill="CBDBD1"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47,065</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increase (decrease) in cash</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2,988</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(17,960</w:t>
            </w:r>
          </w:p>
        </w:tc>
        <w:tc>
          <w:tcPr>
            <w:tcW w:w="106" w:type="dxa"/>
            <w:tcBorders/>
            <w:shd w:fill="CBDBD1"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 w:type="dxa"/>
            <w:tcBorders/>
            <w:shd w:fill="CBDBD1" w:val="clear"/>
            <w:vAlign w:val="bottom"/>
          </w:tcPr>
          <w:p>
            <w:pPr>
              <w:pStyle w:val="TableContents"/>
              <w:spacing w:before="0" w:after="283"/>
              <w:jc w:val="right"/>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rFonts w:ascii="times new roman" w:hAnsi="times new roman"/>
                <w:sz w:val="20"/>
              </w:rPr>
            </w:pPr>
            <w:r>
              <w:rPr>
                <w:rFonts w:ascii="times new roman" w:hAnsi="times new roman"/>
                <w:sz w:val="20"/>
              </w:rPr>
              <w:t>3,544</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 beginning</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21,812</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 ending</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3,544</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3,852</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3,544</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Supplemental disclosures:</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paid</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Income taxes paid</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double" w:sz="8" w:space="0" w:color="000000"/>
            </w:tcBorders>
            <w:shd w:fill="CBDBD1"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283"/>
              <w:rPr/>
            </w:pPr>
            <w:r>
              <w:rPr/>
              <w:t xml:space="preserve">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91"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Non-cash transactions:</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891"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5" w:type="dxa"/>
            <w:tcBorders/>
            <w:shd w:fill="CBDBD1" w:val="clear"/>
            <w:vAlign w:val="bottom"/>
          </w:tcPr>
          <w:p>
            <w:pPr>
              <w:pStyle w:val="TableContents"/>
              <w:spacing w:before="0" w:after="283"/>
              <w:jc w:val="left"/>
              <w:rPr/>
            </w:pPr>
            <w:r>
              <w:rPr/>
              <w:t> </w:t>
            </w:r>
          </w:p>
        </w:tc>
        <w:tc>
          <w:tcPr>
            <w:tcW w:w="935" w:type="dxa"/>
            <w:tcBorders/>
            <w:shd w:fill="CBDBD1" w:val="clear"/>
            <w:vAlign w:val="bottom"/>
          </w:tcPr>
          <w:p>
            <w:pPr>
              <w:pStyle w:val="TableContents"/>
              <w:spacing w:before="0" w:after="283"/>
              <w:jc w:val="right"/>
              <w:rPr/>
            </w:pPr>
            <w:r>
              <w:rPr/>
              <w:t> </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rPr/>
            </w:pPr>
            <w:r>
              <w:rPr/>
              <w:t> </w:t>
            </w:r>
          </w:p>
        </w:tc>
        <w:tc>
          <w:tcPr>
            <w:tcW w:w="124" w:type="dxa"/>
            <w:tcBorders/>
            <w:shd w:fill="CBDBD1" w:val="clear"/>
            <w:vAlign w:val="bottom"/>
          </w:tcPr>
          <w:p>
            <w:pPr>
              <w:pStyle w:val="TableContents"/>
              <w:spacing w:before="0" w:after="283"/>
              <w:jc w:val="left"/>
              <w:rPr/>
            </w:pPr>
            <w:r>
              <w:rPr/>
              <w:t> </w:t>
            </w:r>
          </w:p>
        </w:tc>
        <w:tc>
          <w:tcPr>
            <w:tcW w:w="1015" w:type="dxa"/>
            <w:tcBorders/>
            <w:shd w:fill="CBDBD1" w:val="clear"/>
            <w:vAlign w:val="bottom"/>
          </w:tcPr>
          <w:p>
            <w:pPr>
              <w:pStyle w:val="TableContents"/>
              <w:spacing w:before="0" w:after="283"/>
              <w:jc w:val="right"/>
              <w:rPr/>
            </w:pPr>
            <w:r>
              <w:rPr/>
              <w:t> </w:t>
            </w:r>
          </w:p>
        </w:tc>
        <w:tc>
          <w:tcPr>
            <w:tcW w:w="123" w:type="dxa"/>
            <w:tcBorders/>
            <w:shd w:fill="CBDBD1" w:val="clear"/>
            <w:vAlign w:val="bottom"/>
          </w:tcPr>
          <w:p>
            <w:pPr>
              <w:pStyle w:val="TableContents"/>
              <w:spacing w:before="0" w:after="283"/>
              <w:jc w:val="left"/>
              <w:rPr/>
            </w:pPr>
            <w:r>
              <w:rPr/>
              <w:t> </w:t>
            </w:r>
          </w:p>
        </w:tc>
      </w:tr>
      <w:tr>
        <w:trPr/>
        <w:tc>
          <w:tcPr>
            <w:tcW w:w="534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Shares issued for executive compensation</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jc w:val="right"/>
              <w:rPr/>
            </w:pPr>
            <w:r>
              <w:rPr/>
              <w:t> </w:t>
            </w:r>
          </w:p>
        </w:tc>
        <w:tc>
          <w:tcPr>
            <w:tcW w:w="12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3" w:type="dxa"/>
            <w:tcBorders/>
            <w:shd w:fill="FFFFFF" w:val="clear"/>
            <w:vAlign w:val="bottom"/>
          </w:tcPr>
          <w:p>
            <w:pPr>
              <w:pStyle w:val="TableContents"/>
              <w:spacing w:before="0" w:after="283"/>
              <w:jc w:val="left"/>
              <w:rPr/>
            </w:pPr>
            <w:r>
              <w:rPr/>
              <w:t> </w:t>
            </w:r>
          </w:p>
        </w:tc>
      </w:tr>
      <w:tr>
        <w:trPr/>
        <w:tc>
          <w:tcPr>
            <w:tcW w:w="5340" w:type="dxa"/>
            <w:tcBorders/>
            <w:shd w:fill="CBDBD1" w:val="clear"/>
            <w:vAlign w:val="bottom"/>
          </w:tcPr>
          <w:p>
            <w:pPr>
              <w:pStyle w:val="TableContents"/>
              <w:spacing w:before="0" w:after="0"/>
              <w:ind w:left="0" w:right="0" w:hanging="0"/>
              <w:jc w:val="left"/>
              <w:rPr/>
            </w:pPr>
            <w:r>
              <w:rPr/>
              <w:t>   </w:t>
            </w:r>
            <w:r>
              <w:rPr>
                <w:rFonts w:ascii="times new roman" w:hAnsi="times new roman"/>
                <w:sz w:val="20"/>
              </w:rPr>
              <w:t>Number of shares issued for executive compensation</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pPr>
            <w:r>
              <w:rPr/>
              <w:t> </w:t>
            </w:r>
          </w:p>
        </w:tc>
        <w:tc>
          <w:tcPr>
            <w:tcW w:w="891"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5" w:type="dxa"/>
            <w:tcBorders>
              <w:bottom w:val="double" w:sz="8" w:space="0" w:color="000000"/>
            </w:tcBorders>
            <w:shd w:fill="CBDBD1" w:val="clear"/>
            <w:tcMar>
              <w:bottom w:w="28" w:type="dxa"/>
            </w:tcMar>
            <w:vAlign w:val="bottom"/>
          </w:tcPr>
          <w:p>
            <w:pPr>
              <w:pStyle w:val="TableContents"/>
              <w:spacing w:before="0" w:after="283"/>
              <w:jc w:val="left"/>
              <w:rPr/>
            </w:pPr>
            <w:r>
              <w:rPr/>
              <w:t> </w:t>
            </w:r>
          </w:p>
        </w:tc>
        <w:tc>
          <w:tcPr>
            <w:tcW w:w="93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BDBD1" w:val="clear"/>
            <w:vAlign w:val="bottom"/>
          </w:tcPr>
          <w:p>
            <w:pPr>
              <w:pStyle w:val="TableContents"/>
              <w:spacing w:before="0" w:after="283"/>
              <w:jc w:val="left"/>
              <w:rPr/>
            </w:pPr>
            <w:r>
              <w:rPr/>
              <w:t> </w:t>
            </w:r>
          </w:p>
        </w:tc>
        <w:tc>
          <w:tcPr>
            <w:tcW w:w="98" w:type="dxa"/>
            <w:tcBorders/>
            <w:shd w:fill="CBDBD1" w:val="clear"/>
            <w:vAlign w:val="bottom"/>
          </w:tcPr>
          <w:p>
            <w:pPr>
              <w:pStyle w:val="TableContents"/>
              <w:spacing w:before="0" w:after="283"/>
              <w:jc w:val="right"/>
              <w:rPr/>
            </w:pPr>
            <w:r>
              <w:rPr/>
              <w:t> </w:t>
            </w:r>
          </w:p>
        </w:tc>
        <w:tc>
          <w:tcPr>
            <w:tcW w:w="124" w:type="dxa"/>
            <w:tcBorders>
              <w:bottom w:val="double" w:sz="8" w:space="0" w:color="000000"/>
            </w:tcBorders>
            <w:shd w:fill="CBDBD1" w:val="clear"/>
            <w:tcMar>
              <w:bottom w:w="28" w:type="dxa"/>
            </w:tcMar>
            <w:vAlign w:val="bottom"/>
          </w:tcPr>
          <w:p>
            <w:pPr>
              <w:pStyle w:val="TableContents"/>
              <w:spacing w:before="0" w:after="283"/>
              <w:jc w:val="left"/>
              <w:rPr/>
            </w:pPr>
            <w:r>
              <w:rPr/>
              <w:t> </w:t>
            </w:r>
          </w:p>
        </w:tc>
        <w:tc>
          <w:tcPr>
            <w:tcW w:w="1015" w:type="dxa"/>
            <w:tcBorders>
              <w:bottom w:val="double" w:sz="8" w:space="0" w:color="000000"/>
            </w:tcBorders>
            <w:shd w:fill="CBDBD1"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23" w:type="dxa"/>
            <w:tcBorders/>
            <w:shd w:fill="CBDBD1"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 w:name="PGBRK4"/>
      <w:bookmarkStart w:id="44" w:name="PGBRK4"/>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 w:name="FTR4"/>
      <w:bookmarkStart w:id="46" w:name="FTR4"/>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 w:name="GLFTR4"/>
      <w:bookmarkEnd w:id="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 w:name="PN4"/>
      <w:bookmarkEnd w:id="48"/>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 w:name="HDR4"/>
      <w:bookmarkStart w:id="50" w:name="HDR4"/>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 w:name="GLHDR4"/>
      <w:bookmarkEnd w:id="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52" w:name="notes"/>
      <w:bookmarkEnd w:id="52"/>
      <w:r>
        <w:rPr>
          <w:rFonts w:ascii="Times New Roman" w:hAnsi="Times New Roman"/>
          <w:b/>
          <w:sz w:val="20"/>
        </w:rPr>
        <w:t>Notes to Condensed Financial Statements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 – Basis of presentation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interim financial statements included herein, presented in accordance with United States generally accepted accounting principles and stated in US dollars, have been prepared by the Company, without audit, pursuant to the rules and regulations of the Securities and Exchange Commission (SEC).  Certain information and footnote disclosures normally included in financial statements prepared in accordance with generally accepted accounting principles have been condensed or omitted pursuant to such rules and regulations, although the Company believes that the disclosures are adequate to make the information presented not misleading.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These statements reflect all adjustments, consisting of normal recurring adjustments, which, in the opinion of management, are necessary for fair presentation of the information contained therein.  It is suggested that these condensed interim financial statements be read in conjunction with the financial statements of the Company for the year ended December 31, 2009 and notes thereto included in the Company's annual report on Form 10-K.  The Company follows the same accounting policies in the preparation of interim reports.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Results of operations for the interim periods are not indicative of annual results.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2 – History and organization of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was organized October 6, 2005 (Date of Inception) under the laws of the State of Nevada, as Excaliber Enterprises, Ltd.  The Company is authorized to issue up to 200,000,000 shares of its common stock with a par value of $0.001 per share.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business of the Company is to sell specialty gift baskets to health care professionals, organizations and patients, and real estate agents and firms.  The Company has limited operations and in accordance with FASB ASC 915-10, “Development Stage Entities,” the Company is considered a development stage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3 –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financial statements have been prepared assuming the Company will continue as a going concern.  As shown in the accompanying financial statements, the Company has incurred a net loss of ($51,463) for the period from October 6, 2005 (inception) to March 31, 2010, and had no sales.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order to continue as a going concern, the Company will need, among other things, additional capital resources.  On August 19, 2009, the Company secured a Revolving Line of Credit for $20,000 with a non-related third-party entity, the terms of which are discussed in Note 4 – Debt and Interest Expense.  Nonetheless, the Company is significantly dependent upon its ability, and will continue to attempt, to secure equity and/or debt financing.  There are no assurances that the Company will be successful and without sufficient financing it would be unlikely for the Company to continue as a going concern.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financial statements do not include any adjustments relating to the recoverability and classification of recorded assets, or the amounts of and classification of liabilities that might be necessary in the event the Company cannot continue in existence.  These conditions raise substantial doubt about the Company's ability to continue as a going concern.  These financial statements do not include any adjustments that might arise from this uncertainty.</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 w:name="PGBRK5"/>
      <w:bookmarkStart w:id="54" w:name="PGBRK5"/>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FTR5"/>
      <w:bookmarkStart w:id="56" w:name="FTR5"/>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 w:name="GLFTR5"/>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 w:name="PN5"/>
      <w:bookmarkEnd w:id="58"/>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 w:name="HDR5"/>
      <w:bookmarkStart w:id="60" w:name="HDR5"/>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 w:name="GLHDR5"/>
      <w:bookmarkEnd w:id="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Condensed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4 – Debt and interest expense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January 22, 2008, the Company issued an aggregate of $500 in debt securities to a related party.  The note bears no interest, is due on demand and contains no prepayment penalty.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19, 2009, the Company entered into a Revolving Line of Credit Promissory Note with a non-related, third party entity for a total of $20,000.  Any principal balance borrowed against the Note accrues interest at a rate of 10% per year.  The entire unpaid balance and interest accrued thereupon are due on September 1, 2010.  As of March 31, 2010, $0 has been borrowed on this line of credit.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March 12, 2010, a non-related third-party entity loaned the Company $30.  The loan bears no interest and is due upon demand.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5 – Stockholders’ equity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authorized to issue 200,000,000 shares of its $0.001 par value 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23, 2006, the Company issued 5,000,000 shares of its $0.001 par value common stock as founders’ shares to an officer and director in exchange for services rendered valued at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2, 2006, an officer and director of the Company donated cash in the amount of $100.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25, 2006, the Company issued 100,000 shares of its $0.001 par value common stock to one individual in exchange for cash in the amount of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November 12, 2008, the Company issued 748,707 shares of its par value common stock in a public offering for total gross cash proceeds in the amount of $37,435.  Total offering costs related to this issuance was $500.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1, 2009, an officer and director of the Company donated cash in the amount of $1,500.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March 4, 2010, an officer and director of the Company donated cash in the amount of $3,000.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2010, there have been no other issuances of common stock.</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6 – Warrants and options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31, 2010, there were no warrants or options outstanding to acquire any additional shares of common stock.</w:t>
      </w:r>
    </w:p>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 w:name="PGBRK6"/>
      <w:bookmarkStart w:id="63" w:name="PGBRK6"/>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FTR6"/>
      <w:bookmarkStart w:id="65" w:name="FTR6"/>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 w:name="GLFTR6"/>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 w:name="PN6"/>
      <w:bookmarkEnd w:id="67"/>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 w:name="HDR6"/>
      <w:bookmarkStart w:id="69" w:name="HDR6"/>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 w:name="GLHDR6"/>
      <w:bookmarkEnd w:id="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Excaliber Enterprises, Ltd.</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Condensed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7 – Related party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issued 5,000,000 shares of its par value common stock as founders’ shares to an officer and director in exchange for services rendered in the amount of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issued 100,000 shares of its par value common stock to an affiliated shareholder in exchange for cash in the amount of $5,000.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shareholder, officer and director of the Company donated cash to the Company in the amount of $100.  This amount has been donated to the Company, is not expected to be repaid and is considered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January 2008, the Company borrowed $500 from a relative of the officers and directors of the Company.  The note bears no interest, is due on demand and contains no prepayment penalty.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1, 2009, an officer and director of the Company donated cash in the amount of $1,500.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March 4, 2010, an officer and director of the Company donated cash in the amount of $3,000.  The entire amount was donated, is not expected to be repaid and is considered to be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does not lease or rent any property.  Office services are provided without charge by an officer and director of the Company.  Such costs are immaterial to the financial statements and, accordingly, have not been reflected therein.  The officers and directors of the Company are involved in other business activities and may, in the future, become involved in other business opportunities.  If a specific business opportunity becomes available, such persons may face a conflict in selecting between the Company and their other business interests.  The Company has not formulated a policy for the resolution of such conflicts.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8 – Subsequent Events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preparing these financial statements, the Company has evaluated events and transactions for potential recognition or disclosure through </w:t>
      </w:r>
      <w:r>
        <w:rPr>
          <w:rFonts w:ascii="Times New Roman" w:hAnsi="Times New Roman"/>
          <w:i/>
          <w:sz w:val="20"/>
        </w:rPr>
        <w:t>May 12, 2010,</w:t>
      </w:r>
      <w:r>
        <w:rPr>
          <w:rFonts w:ascii="Times New Roman" w:hAnsi="Times New Roman"/>
          <w:sz w:val="20"/>
        </w:rPr>
        <w:t xml:space="preserve"> the date the financial statements were issued.  As of this date, nothing has happened that requires disclosure.</w:t>
      </w:r>
    </w:p>
    <w:p>
      <w:pPr>
        <w:pStyle w:val="TextBody"/>
        <w:spacing w:before="0" w:after="0"/>
        <w:ind w:left="0" w:right="0" w:hanging="0"/>
        <w:rPr/>
      </w:pPr>
      <w:r>
        <w:rPr/>
        <w:b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 w:name="PGBRK7"/>
      <w:bookmarkStart w:id="72" w:name="PGBRK7"/>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 w:name="FTR7"/>
      <w:bookmarkStart w:id="74" w:name="FTR7"/>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5" w:name="GLFTR7"/>
      <w:bookmarkEnd w:id="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6" w:name="PN7"/>
      <w:bookmarkEnd w:id="76"/>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 w:name="HDR7"/>
      <w:bookmarkStart w:id="78" w:name="HDR7"/>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9" w:name="GLHDR7"/>
      <w:bookmarkEnd w:id="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80" w:name="mdna"/>
      <w:bookmarkEnd w:id="80"/>
      <w:r>
        <w:rPr>
          <w:rFonts w:ascii="Times New Roman" w:hAnsi="Times New Roman"/>
          <w:b/>
          <w:sz w:val="20"/>
        </w:rPr>
        <w:t>Management's Discussion and Analysis of Financial Condition and Results of Operations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Forward-Looking Statements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This Quarterly Report contains forward-looking statements about Excaliber Enterprises, Ltd.’s business, financial condition and prospects that reflect management’s assumptions and beliefs based on information currently available.  We can give no assurance that the expectations indicated by such forward-looking statements will be realized.  If any of our management’s assumptions should prove incorrect, or if any of the risks and uncertainties underlying such expectations should materialize, Excaliber Enterprise’s actual results may differ materially from those indicated by the forward-looking statements.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 key factors that are not within our control and that may have a direct bearing on operating results include, but are not limited to, acceptance of our services, our ability to expand our customer base, managements’ ability to raise capital in the future, the retention of key employees and changes in the regulation of our industry.</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There may be other risks and circumstances that management may be unable to predict.  When used in this Quarterly Report, words such as,  </w:t>
      </w:r>
      <w:r>
        <w:rPr>
          <w:rFonts w:ascii="Times New Roman" w:hAnsi="Times New Roman"/>
          <w:i/>
          <w:sz w:val="20"/>
        </w:rPr>
        <w:t xml:space="preserve">"believes,""expects," "intends,""plans,""anticipates,""estimates" </w:t>
      </w:r>
      <w:r>
        <w:rPr>
          <w:rFonts w:ascii="Times New Roman" w:hAnsi="Times New Roman"/>
          <w:sz w:val="20"/>
        </w:rPr>
        <w:t>and similar expressions are intended to identify forward-looking statements, although there may be certain forward-looking statements not accompanied by such expressions.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Management’s Discussion and Results of Operation</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were incorporated in the State of Nevada on October 6, 2005.  Since our inception on October 6, 2005 to March 31, 2010, we did not generate any revenues and have incurred various general and administrative costs related to the costs of start-up operations and the execution of our business.  In prior periods, the state of the economy has impeded our ability to develop our operations.  However, our officers and directors have received informal interest in our gift baskets from prior personal contacts.  As a result, we are in the process of rethinking our operational approach, infrastructure and financing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Operating Expenses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incur operating expenses composed primarily of depreciation, executive compensation and general and administrative costs.  We recognize depreciation expense on our computer equipment.  Executive compensation is related specifically to the issuance of 5,000,000 shares of common stock to Stephanie Jones, an officer and director, for services rendered in June 2006.  General and administrative expenses are essentially the cost of doing business, and include: licenses; general office expenses and supplies; bank charges; website costs; and professional fees such as accounting, legal and other various business consulting fees.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During the three months ended March 31, 2010, total expenses were $2,774, consisting of depreciation expense of $107, related specifically to our computer equipment, and general and administrative costs in the amount of $2,667.  In the comparable three month period ended March 31, 2009, expenses were $17,189, comprised of $107 in depreciation expense and $17,082 of which was attributable to general and administrative expenses.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Since our inception, we have incurred aggregate operating expenses in the amount of $51,343, of which $571 is due to depreciation expense, $5,000 in executive compensation and general and administrative expenses in the amount of $45,772.  No development related expenses have been or will be paid to our affiliates.  We expect to continue to incur general and administrative expenses for the foreseeable future.  Although we cannot estimate the extent of these costs, we do anticipate expenses rising as we pursue our business objectives.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Provision of Income Taxes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Although we are incorporated in the State of Nevada, we do business in the State of Idaho, which charges a minimum tax payable for $30.  In the three months ended March 31, 2010 and 2009, we recorded a provision for income taxes of $30 and $30, respectively.  Since our inception to March 31, 2010, we recorded total provisions for income taxes of $120.</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1" w:name="PGBRK8"/>
      <w:bookmarkStart w:id="82" w:name="PGBRK8"/>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 w:name="FTR8"/>
      <w:bookmarkStart w:id="84" w:name="FTR8"/>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 w:name="GLFTR8"/>
      <w:bookmarkEnd w:id="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6" w:name="PN8"/>
      <w:bookmarkEnd w:id="86"/>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 w:name="HDR8"/>
      <w:bookmarkStart w:id="88" w:name="HDR8"/>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9" w:name="GLHDR8"/>
      <w:bookmarkEnd w:id="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Net Loss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As a result of our lack of revenues and incurring ongoing expenses related to the implementation of our business, we have experienced net losses in all periods since our inception.  In the three month period ended March 31, 2010, our net loss totaled $2,804, compared to a net loss of $17,219 in the three month period ended March 31, 2009.  Since our inception, we have accumulated a deficit in the amount of $51,463.</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Liquidity</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Our management believes that our cash on hand as of March 31, 2010 in the amount of $3,544 is not sufficient to maintain our current minimal level of operations and to execute our planned objectives for the next approximately 12 months.  As of March 31, 2010, we owed $3,655 in accounts payable to vendors and service providers.  We also owe a total of $530 in notes payable, of which $500 is owed to a related party and $30 to a non-related entity.  All notes payable bear no interest and are due on demand.  We may be unable to satisfy any of our financial obligations.  Our ability to fund our operating expenses are in doubt, and we cannot guarantee that we will be able to satisfy such.  As a result, our independent auditors have expressed substantial doubt about our ability to c ontinue as a going concern in the independent auditors’ report to the financial statements included in our 10-K.  If our business fails, our investors may face a complete loss of their investment.</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In an effort to obtain working capital and funds in anticipation of pursuing our plan to establish our brand, which is set forth herein, on August 19, 2009, we entered into a Revolving Line of Credit with a non-related, third party entity for a total of $20,000.  Any principal balance borrowed against the Note accrues interest at a rate of 10% per year.  The entire unpaid balance and interest accrued thereupon are due on September 1, 2010.  As March 31, 2010, we have not drawn any funds on this line of credit and our balance owed is $0.</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Unfortunately, despite having secured a line of credit for $20,000, there can be guarantee that we can implement our new strategy or that our strategy will lead to revenues and positive cash flows.  If we are unable to generate cash flows with which to repay the line of credit, as well as our other existing liabilities, or if we require additional capital to maintain or expand our operations, we may need to sell additional equity or debt securities, which may be on terms unfavorable to us.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Plan of Operation</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During the second and third quarters of 2009, our officers and directors have received inquiries about our products and services.  Our management believes that, while inquiries do not directly equal sales, these are signs of a resurgent market for corporate and personal gifts and could potentially lead to sales.  Our management attributes this resurrected interest to the recovery of the stock market and various segments of the economy stabilizing.  For instance, the real estate activity has shown a pickup in activity and an easing of price declines.  Our management believes this turn around in the general business climate has led to a slight recovery in discretionary spending, as well as an availability of investment capital and business credit.</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In anticipation of the improving market for gift baskets and increased consumer and business spending, we have secured a revolving line of credit in the amount of $20,000.  We intend to use the funds from this line of credit to implement the following objectives: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i/>
          <w:sz w:val="20"/>
        </w:rPr>
        <w:t>Improve our website</w:t>
      </w:r>
      <w:r>
        <w:rPr>
          <w:rFonts w:ascii="Times New Roman" w:hAnsi="Times New Roman"/>
          <w:sz w:val="20"/>
        </w:rPr>
        <w:t>:  We have a website located at www.ExcaliberStore.com to serve as our primary method of attracting customers and generating sales.  The website is merely functional without e-commerce capability at this time.  We are in the process of improving our website through adding e-commerce functionality and improving the user interface.  There are options we are evaluating in terms of software for and outsourcing the processing of payments.  We have budgeted up to $6,000 to the redesign of our site and for the purchase of software.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We are also contemplating creating accounts with websites that already have e-commerce functionality enabled, whereby we would pay either a nominal fee or commission for sales and payment processing.  This option would allow us to conserve capital in that: (a) we would not have to hire a web developer to redesign the site; (b) we would not have to purchase special software; and (c) we would not have to set-up a merchant account.</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 w:name="PGBRK9"/>
      <w:bookmarkStart w:id="91" w:name="PGBRK9"/>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2" w:name="FTR9"/>
      <w:bookmarkStart w:id="93" w:name="FTR9"/>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4" w:name="GLFTR9"/>
      <w:bookmarkEnd w:id="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5" w:name="PN9"/>
      <w:bookmarkEnd w:id="95"/>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 w:name="HDR9"/>
      <w:bookmarkStart w:id="97" w:name="HDR9"/>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8" w:name="GLHDR9"/>
      <w:bookmarkEnd w:id="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720" w:right="0" w:hanging="0"/>
        <w:jc w:val="both"/>
        <w:rPr>
          <w:rFonts w:ascii="Times New Roman" w:hAnsi="Times New Roman"/>
          <w:sz w:val="20"/>
        </w:rPr>
      </w:pPr>
      <w:r>
        <w:rPr>
          <w:rFonts w:ascii="Times New Roman" w:hAnsi="Times New Roman"/>
          <w:i/>
          <w:sz w:val="20"/>
        </w:rPr>
        <w:t>Implement marketing and advertising</w:t>
      </w:r>
      <w:r>
        <w:rPr>
          <w:rFonts w:ascii="Times New Roman" w:hAnsi="Times New Roman"/>
          <w:sz w:val="20"/>
        </w:rPr>
        <w:t>:  Once we determine our approach to e-commerce, we will implement a web advertising campaign using services provided by Google, Bing and Yahoo.  The amount we budget to undertake web advertising activities will depend substantially upon whether we invest in developing an e-commerce website or enter into partnerships with other websites.  At this time, we have allocated up to $10,000 of our line of credit, if necessary, toward web advertising.</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In addition to web marketing, we also plan to take a direct sales approach, whereby our officers will attempt to generate interest and awareness of our brand.  Direct sales is not expected to require a material outlay of funds, other than for business cards, brochures and other print materials.  As such, we have allotted up to $2,000 to use for direct sales materials.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Our management does not anticipate the need to hire additional full- or part- time employees over the next 12 months, as the services provided by our current officers and directors appear sufficient at this time.  Our officers and directors work for us on a part-time basis, and are prepared to devote additional time, as necessary.  We do not expect to hire any additional employees over the next 12 months.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Our management does not expect to incur research and development costs.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do not have any off-balance sheet arrangements.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currently do not own any significant plant or equipment that we would seek to sell in the near future.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have not paid for expenses on behalf of our directors.  Additionally, we believe that this fact shall not materially change.</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We currently do not have any material contracts and or affiliations with third parties.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There are no known trends, events or uncertainties that have had or that are reasonably expected to have a material impact on our revenues from continuing operations.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99" w:name="cnp"/>
      <w:bookmarkEnd w:id="99"/>
      <w:r>
        <w:rPr>
          <w:rFonts w:ascii="Times New Roman" w:hAnsi="Times New Roman"/>
          <w:b/>
          <w:sz w:val="20"/>
        </w:rPr>
        <w:t>Controls and Procedures</w:t>
      </w:r>
    </w:p>
    <w:p>
      <w:pPr>
        <w:pStyle w:val="TextBody"/>
        <w:spacing w:before="0" w:after="0"/>
        <w:ind w:left="0" w:right="0" w:hanging="0"/>
        <w:jc w:val="both"/>
        <w:rPr/>
      </w:pPr>
      <w:r>
        <w:rPr>
          <w:rFonts w:ascii="times new roman" w:hAnsi="times new roman"/>
          <w:b/>
          <w:sz w:val="20"/>
        </w:rPr>
        <w:t>Disclosure Controls and Procedures</w:t>
      </w:r>
      <w:r>
        <w:rPr/>
        <w:t xml:space="preserve"> </w:t>
      </w:r>
    </w:p>
    <w:p>
      <w:pPr>
        <w:pStyle w:val="TextBody"/>
        <w:spacing w:before="0" w:after="0"/>
        <w:ind w:left="0" w:right="0" w:hanging="0"/>
        <w:rPr/>
      </w:pPr>
      <w:r>
        <w:rPr/>
      </w:r>
    </w:p>
    <w:p>
      <w:pPr>
        <w:pStyle w:val="TextBody"/>
        <w:spacing w:before="0" w:after="0"/>
        <w:ind w:left="0" w:right="0" w:firstLine="360"/>
        <w:jc w:val="both"/>
        <w:rPr/>
      </w:pPr>
      <w:r>
        <w:rPr>
          <w:rFonts w:ascii="times new roman" w:hAnsi="times new roman"/>
          <w:sz w:val="20"/>
        </w:rPr>
        <w:t>We maintain a set of disclosure controls and procedures designed to ensure that information we are required to disclose in reports filed under the Securities Exchange Act is recorded, processed, summarized and reported within the time periods specified by the SEC’s rules and forms.  Disclosure controls are also designed with the objective of ensuring that this information is accumulated and communicated to our management, including our chief executive officer and chief financial officer, as appropriate, to allow timely decisions regarding required disclosure.</w:t>
      </w:r>
      <w:r>
        <w:rPr/>
        <w:t xml:space="preserve"> </w:t>
      </w:r>
    </w:p>
    <w:p>
      <w:pPr>
        <w:pStyle w:val="TextBody"/>
        <w:spacing w:before="0" w:after="0"/>
        <w:ind w:left="0" w:right="0" w:hanging="0"/>
        <w:rPr/>
      </w:pPr>
      <w:r>
        <w:rPr/>
      </w:r>
    </w:p>
    <w:p>
      <w:pPr>
        <w:pStyle w:val="TextBody"/>
        <w:spacing w:before="0" w:after="0"/>
        <w:ind w:left="0" w:right="0" w:firstLine="360"/>
        <w:jc w:val="both"/>
        <w:rPr/>
      </w:pPr>
      <w:r>
        <w:rPr>
          <w:rFonts w:ascii="times new roman" w:hAnsi="times new roman"/>
          <w:sz w:val="20"/>
        </w:rPr>
        <w:t>Based upon their evaluation as of the end of the period covered by this report, our chief executive officer and chief financial officer concluded that our disclosure controls and procedures are effective to ensure that information required to be included in our periodic SEC filings is recorded, processed, summarized, and reported within the time periods specified in the SEC rules and forms.</w:t>
      </w:r>
      <w:r>
        <w:rPr/>
        <w:t xml:space="preserve"> </w:t>
      </w:r>
    </w:p>
    <w:p>
      <w:pPr>
        <w:pStyle w:val="TextBody"/>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00" w:name="PGBRK10"/>
      <w:bookmarkStart w:id="101" w:name="PGBRK10"/>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2" w:name="FTR10"/>
      <w:bookmarkStart w:id="103" w:name="FTR10"/>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04" w:name="GLFTR10"/>
      <w:bookmarkEnd w:id="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5" w:name="PN10"/>
      <w:bookmarkEnd w:id="105"/>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6" w:name="HDR10"/>
      <w:bookmarkStart w:id="107" w:name="HDR10"/>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08" w:name="GLHDR10"/>
      <w:bookmarkEnd w:id="1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360"/>
        <w:jc w:val="both"/>
        <w:rPr/>
      </w:pPr>
      <w:r>
        <w:rPr>
          <w:rFonts w:ascii="times new roman" w:hAnsi="times new roman"/>
          <w:sz w:val="20"/>
        </w:rPr>
        <w:t>Our Board of Directors were advised by management’s performance of the evaluation of internal control over financial reporting identified a material weakness as defined in Public Company Accounting Oversight Board Standard No. 5 in the Company’s internal control over financial reporting.</w:t>
      </w:r>
      <w:r>
        <w:rPr/>
        <w:t xml:space="preserve"> </w:t>
      </w:r>
    </w:p>
    <w:p>
      <w:pPr>
        <w:pStyle w:val="TextBody"/>
        <w:spacing w:before="0" w:after="0"/>
        <w:ind w:left="0" w:right="0" w:hanging="0"/>
        <w:rPr/>
      </w:pPr>
      <w:r>
        <w:rPr/>
      </w:r>
    </w:p>
    <w:p>
      <w:pPr>
        <w:pStyle w:val="TextBody"/>
        <w:spacing w:before="0" w:after="0"/>
        <w:ind w:left="0" w:right="0" w:firstLine="360"/>
        <w:jc w:val="both"/>
        <w:rPr/>
      </w:pPr>
      <w:r>
        <w:rPr>
          <w:rFonts w:ascii="times new roman" w:hAnsi="times new roman"/>
          <w:sz w:val="20"/>
        </w:rPr>
        <w:t>This deficiency consisted primarily of inadequate staffing and supervision that could lead to the untimely identification and resolution of accounting and disclosure matters and failure to perform timely and effective reviews.  However, the size of the Company prevents us from being able to employ sufficient resources to enable us to have adequate segregation of duties within our internal control system.  Management is required to apply its judgment in evaluating the cost-benefit relationship of possible controls and procedures. Management has taken all actions to ensure that the filing includes all required content and the financial statements presented conform to GAAP.</w:t>
      </w:r>
      <w:r>
        <w:rPr/>
        <w:t xml:space="preserve"> </w:t>
      </w:r>
    </w:p>
    <w:p>
      <w:pPr>
        <w:pStyle w:val="TextBody"/>
        <w:spacing w:before="0" w:after="0"/>
        <w:ind w:left="0" w:right="0" w:hanging="0"/>
        <w:rPr/>
      </w:pPr>
      <w:r>
        <w:rPr/>
      </w:r>
    </w:p>
    <w:p>
      <w:pPr>
        <w:pStyle w:val="TextBody"/>
        <w:spacing w:before="0" w:after="0"/>
        <w:ind w:left="0" w:right="0" w:hanging="0"/>
        <w:jc w:val="both"/>
        <w:rPr/>
      </w:pPr>
      <w:r>
        <w:rPr>
          <w:rFonts w:ascii="times new roman" w:hAnsi="times new roman"/>
          <w:b/>
          <w:sz w:val="20"/>
        </w:rPr>
        <w:t>Changes in internal controls over financial reporting</w:t>
      </w:r>
      <w:r>
        <w:rPr/>
        <w:t xml:space="preserve"> </w:t>
      </w:r>
    </w:p>
    <w:p>
      <w:pPr>
        <w:pStyle w:val="TextBody"/>
        <w:spacing w:before="0" w:after="0"/>
        <w:ind w:left="0" w:right="0" w:hanging="0"/>
        <w:rPr/>
      </w:pPr>
      <w:r>
        <w:rPr/>
      </w:r>
    </w:p>
    <w:p>
      <w:pPr>
        <w:pStyle w:val="TextBody"/>
        <w:spacing w:before="0" w:after="0"/>
        <w:ind w:left="0" w:right="0" w:firstLine="360"/>
        <w:jc w:val="both"/>
        <w:rPr/>
      </w:pPr>
      <w:r>
        <w:rPr>
          <w:rFonts w:ascii="times new roman" w:hAnsi="times new roman"/>
          <w:sz w:val="20"/>
        </w:rPr>
        <w:t>There was no change in our internal controls over financial reporting that occurred during the period covered by this report, which has materially affected, or is reasonably likely to materially affect, our internal controls over financial reporting.</w:t>
      </w:r>
      <w:r>
        <w:rPr/>
        <w:t xml:space="preserve">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9" w:name="PGBRK11"/>
      <w:bookmarkStart w:id="110" w:name="PGBRK11"/>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 w:name="FTR11"/>
      <w:bookmarkStart w:id="112" w:name="FTR11"/>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3" w:name="GLFTR11"/>
      <w:bookmarkEnd w:id="1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4" w:name="PN11"/>
      <w:bookmarkEnd w:id="114"/>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 w:name="HDR11"/>
      <w:bookmarkStart w:id="116" w:name="HDR11"/>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7" w:name="GLHDR11"/>
      <w:bookmarkEnd w:id="1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118" w:name="p2"/>
      <w:bookmarkEnd w:id="118"/>
      <w:r>
        <w:rPr>
          <w:rFonts w:ascii="Times New Roman" w:hAnsi="Times New Roman"/>
          <w:b/>
          <w:sz w:val="20"/>
        </w:rPr>
        <w:t>PART II – OTHER INFORMATION</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119" w:name="uregsec"/>
      <w:bookmarkEnd w:id="119"/>
      <w:r>
        <w:rPr>
          <w:rFonts w:ascii="Times New Roman" w:hAnsi="Times New Roman"/>
          <w:b/>
          <w:sz w:val="20"/>
        </w:rPr>
        <w:t>Unregistered Sales of Equity Securities</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On September 22, 2006, we issued 5,000,000 shares of our common stock to Stephanie Y. Jones, our founding shareholder and an officer and director.  This sale of stock did not involve any public offering, general advertising or solicitation.  The shares were issued in exchange for services performed by the founding shareholder on our behalf in the amount of $5,000.  Mrs. Jones received compensation in the form of common stock for performing services related to the formation and organization of our Company, including, but not limited to, designing and implementing a business plan and providing administrative office space for use by the Company; thus, these shares are considered to have been provided as founder’s shares.  Additionally, the services are considered to have been donated, and hav e resultantly been expensed and recorded as a contribution to capital.  At the time of the issuance, Mrs. Jones had fair access to and was in possession of all available material information about our company, as is the President and a director of Excaliber Enterprises, Ltd.  The shares bear a restrictive transfer legend.  On the basis of these facts, we claim that the issuance of stock to our founding shareholder qualifies for the exemption from registration contained in Section 4(2) of the Securities Act of 1933.</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On September 25, 2006, we sold 100,000 shares of our common stock to Nicole Jones, sister-in-law of our founding shareholder, Stephanie Jones.  The shares were issued for total cash in the amount of $5,000.  The shares bear a restrictive transfer legend.  At the time of the issuance, Mrs. Nicole Jones had fair access to and was in possession of all available material information about our company, as she is the sister-in-law of the president and director of Excaliber Enterprises, Ltd.  The shares bear a restrictive transfer legend.  On the basis of these facts, we claim that the issuance of stock to our founding shareholder qualifies for the exemption from registration contained in Section 4(2) of the Securities Act of 1933.</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120" w:name="exh"/>
      <w:bookmarkEnd w:id="120"/>
      <w:r>
        <w:rPr>
          <w:rFonts w:ascii="Times New Roman" w:hAnsi="Times New Roman"/>
          <w:b/>
          <w:sz w:val="20"/>
        </w:rPr>
        <w:t>Exhibits and Reports on Form 8-K</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258"/>
        <w:gridCol w:w="8947"/>
      </w:tblGrid>
      <w:tr>
        <w:trPr/>
        <w:tc>
          <w:tcPr>
            <w:tcW w:w="1258"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 Number</w:t>
            </w:r>
          </w:p>
        </w:tc>
        <w:tc>
          <w:tcPr>
            <w:tcW w:w="8947"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 and/or Identification of Exhibit</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c>
          <w:tcPr>
            <w:tcW w:w="89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Articles of Incorporation &amp; By-Laws</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(a) Articles of Incorporation *</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(b) By-Laws *</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w:t>
            </w:r>
          </w:p>
        </w:tc>
        <w:tc>
          <w:tcPr>
            <w:tcW w:w="89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Line of Credit Loan Agreement</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31</w:t>
            </w:r>
          </w:p>
        </w:tc>
        <w:tc>
          <w:tcPr>
            <w:tcW w:w="89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Rule 13a-14(a)/15d-14(a) Certifications</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(a) Stephanie Y. Jones</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0"/>
              <w:ind w:left="720" w:right="0" w:hanging="0"/>
              <w:jc w:val="left"/>
              <w:rPr>
                <w:rFonts w:ascii="times new roman" w:hAnsi="times new roman"/>
                <w:sz w:val="20"/>
              </w:rPr>
            </w:pPr>
            <w:r>
              <w:rPr>
                <w:rFonts w:ascii="times new roman" w:hAnsi="times new roman"/>
                <w:sz w:val="20"/>
              </w:rPr>
              <w:t>(b) Matthew L. Jones</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258"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32</w:t>
            </w:r>
          </w:p>
        </w:tc>
        <w:tc>
          <w:tcPr>
            <w:tcW w:w="894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under Section 906 of the Sarbanes-Oxley Act (18 U.S.C. Section 1350)</w:t>
            </w:r>
          </w:p>
        </w:tc>
      </w:tr>
      <w:tr>
        <w:trPr/>
        <w:tc>
          <w:tcPr>
            <w:tcW w:w="1258" w:type="dxa"/>
            <w:tcBorders/>
            <w:shd w:fill="auto" w:val="clear"/>
            <w:vAlign w:val="bottom"/>
          </w:tcPr>
          <w:p>
            <w:pPr>
              <w:pStyle w:val="TableContents"/>
              <w:spacing w:before="0" w:after="283"/>
              <w:rPr/>
            </w:pPr>
            <w:r>
              <w:rPr/>
              <w:t xml:space="preserve">  </w:t>
            </w:r>
          </w:p>
        </w:tc>
        <w:tc>
          <w:tcPr>
            <w:tcW w:w="8947" w:type="dxa"/>
            <w:tcBorders/>
            <w:shd w:fill="auto" w:val="clear"/>
            <w:vAlign w:val="bottom"/>
          </w:tcPr>
          <w:p>
            <w:pPr>
              <w:pStyle w:val="TableContents"/>
              <w:spacing w:before="0" w:after="283"/>
              <w:rPr/>
            </w:pPr>
            <w:r>
              <w:rPr/>
              <w:t xml:space="preserve">  </w:t>
            </w:r>
          </w:p>
        </w:tc>
      </w:tr>
      <w:tr>
        <w:trPr/>
        <w:tc>
          <w:tcPr>
            <w:tcW w:w="10205" w:type="dxa"/>
            <w:gridSpan w:val="2"/>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Incorporated by reference herein filed as exhibits to the Company’s Registration Statement on Form SB-2 previously filed with the SEC on September 11, 2007, and subsequent amendments made thereto.</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1" w:name="PGBRK12"/>
      <w:bookmarkStart w:id="122" w:name="PGBRK12"/>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 w:name="FTR12"/>
      <w:bookmarkStart w:id="124" w:name="FTR12"/>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5" w:name="GLFTR12"/>
      <w:bookmarkEnd w:id="1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6" w:name="PN12"/>
      <w:bookmarkEnd w:id="126"/>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 w:name="HDR12"/>
      <w:bookmarkStart w:id="128" w:name="HDR12"/>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9" w:name="GLHDR12"/>
      <w:bookmarkEnd w:id="1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130" w:name="sigs"/>
      <w:bookmarkEnd w:id="130"/>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requirements of the Exchange Act of 1934, the Registrant has duly caused this report to be signed on its behalf by the undersigned, thereunto duly authorized.</w:t>
      </w:r>
    </w:p>
    <w:p>
      <w:pPr>
        <w:pStyle w:val="TextBody"/>
        <w:spacing w:before="0" w:after="0"/>
        <w:ind w:left="0" w:right="0" w:hanging="0"/>
        <w:rPr/>
      </w:pPr>
      <w:r>
        <w:rPr/>
      </w:r>
    </w:p>
    <w:tbl>
      <w:tblPr>
        <w:tblW w:w="4000" w:type="pct"/>
        <w:jc w:val="center"/>
        <w:tblInd w:w="0" w:type="dxa"/>
        <w:tblCellMar>
          <w:top w:w="0" w:type="dxa"/>
          <w:left w:w="0" w:type="dxa"/>
          <w:bottom w:w="0" w:type="dxa"/>
          <w:right w:w="0" w:type="dxa"/>
        </w:tblCellMar>
      </w:tblPr>
      <w:tblGrid>
        <w:gridCol w:w="2721"/>
        <w:gridCol w:w="2721"/>
        <w:gridCol w:w="2722"/>
      </w:tblGrid>
      <w:tr>
        <w:trPr/>
        <w:tc>
          <w:tcPr>
            <w:tcW w:w="8164" w:type="dxa"/>
            <w:gridSpan w:val="3"/>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EXCALIBER ENTERPRISES, LTD.</w:t>
            </w:r>
          </w:p>
        </w:tc>
      </w:tr>
      <w:tr>
        <w:trPr/>
        <w:tc>
          <w:tcPr>
            <w:tcW w:w="8164" w:type="dxa"/>
            <w:gridSpan w:val="3"/>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(Registrant)</w:t>
            </w:r>
          </w:p>
        </w:tc>
      </w:tr>
      <w:tr>
        <w:trPr/>
        <w:tc>
          <w:tcPr>
            <w:tcW w:w="8164" w:type="dxa"/>
            <w:gridSpan w:val="3"/>
            <w:tcBorders/>
            <w:shd w:fill="auto" w:val="clear"/>
          </w:tcPr>
          <w:p>
            <w:pPr>
              <w:pStyle w:val="TableContents"/>
              <w:spacing w:before="0" w:after="283"/>
              <w:rPr/>
            </w:pPr>
            <w:r>
              <w:rPr/>
              <w:t xml:space="preserve">  </w:t>
            </w:r>
          </w:p>
        </w:tc>
      </w:tr>
      <w:tr>
        <w:trPr/>
        <w:tc>
          <w:tcPr>
            <w:tcW w:w="2721"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Signature</w:t>
            </w:r>
          </w:p>
        </w:tc>
        <w:tc>
          <w:tcPr>
            <w:tcW w:w="2721"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Title</w:t>
            </w:r>
          </w:p>
        </w:tc>
        <w:tc>
          <w:tcPr>
            <w:tcW w:w="2722"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Date</w:t>
            </w:r>
          </w:p>
        </w:tc>
      </w:tr>
      <w:tr>
        <w:trPr/>
        <w:tc>
          <w:tcPr>
            <w:tcW w:w="2721" w:type="dxa"/>
            <w:tcBorders/>
            <w:shd w:fill="auto" w:val="clear"/>
          </w:tcPr>
          <w:p>
            <w:pPr>
              <w:pStyle w:val="TableContents"/>
              <w:spacing w:before="0" w:after="283"/>
              <w:rPr/>
            </w:pPr>
            <w:r>
              <w:rPr/>
              <w:t xml:space="preserve">  </w:t>
            </w:r>
          </w:p>
        </w:tc>
        <w:tc>
          <w:tcPr>
            <w:tcW w:w="2721" w:type="dxa"/>
            <w:tcBorders/>
            <w:shd w:fill="auto" w:val="clear"/>
          </w:tcPr>
          <w:p>
            <w:pPr>
              <w:pStyle w:val="TableContents"/>
              <w:spacing w:before="0" w:after="283"/>
              <w:rPr/>
            </w:pPr>
            <w:r>
              <w:rPr/>
              <w:t xml:space="preserve">  </w:t>
            </w:r>
          </w:p>
        </w:tc>
        <w:tc>
          <w:tcPr>
            <w:tcW w:w="2722" w:type="dxa"/>
            <w:tcBorders/>
            <w:shd w:fill="auto" w:val="clear"/>
          </w:tcPr>
          <w:p>
            <w:pPr>
              <w:pStyle w:val="TableContents"/>
              <w:spacing w:before="0" w:after="283"/>
              <w:rPr/>
            </w:pPr>
            <w:r>
              <w:rPr/>
              <w:t xml:space="preserve">  </w:t>
            </w:r>
          </w:p>
        </w:tc>
      </w:tr>
      <w:tr>
        <w:trPr/>
        <w:tc>
          <w:tcPr>
            <w:tcW w:w="2721" w:type="dxa"/>
            <w:tcBorders/>
            <w:shd w:fill="auto" w:val="cle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Stephanie Y. Jones</w:t>
            </w:r>
          </w:p>
        </w:tc>
        <w:tc>
          <w:tcPr>
            <w:tcW w:w="27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President and</w:t>
            </w:r>
          </w:p>
        </w:tc>
        <w:tc>
          <w:tcPr>
            <w:tcW w:w="2722"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August 4, 2010</w:t>
            </w:r>
          </w:p>
        </w:tc>
      </w:tr>
      <w:tr>
        <w:trPr/>
        <w:tc>
          <w:tcPr>
            <w:tcW w:w="27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Stephanie Y. Jones</w:t>
            </w:r>
          </w:p>
        </w:tc>
        <w:tc>
          <w:tcPr>
            <w:tcW w:w="27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Chief Executive Officer</w:t>
            </w:r>
          </w:p>
        </w:tc>
        <w:tc>
          <w:tcPr>
            <w:tcW w:w="2722" w:type="dxa"/>
            <w:tcBorders/>
            <w:shd w:fill="auto" w:val="clear"/>
            <w:vAlign w:val="bottom"/>
          </w:tcPr>
          <w:p>
            <w:pPr>
              <w:pStyle w:val="TableContents"/>
              <w:spacing w:before="0" w:after="283"/>
              <w:rPr/>
            </w:pPr>
            <w:r>
              <w:rPr/>
              <w:t xml:space="preserve">  </w:t>
            </w:r>
          </w:p>
        </w:tc>
      </w:tr>
      <w:tr>
        <w:trPr/>
        <w:tc>
          <w:tcPr>
            <w:tcW w:w="2721" w:type="dxa"/>
            <w:tcBorders/>
            <w:shd w:fill="auto" w:val="clear"/>
            <w:vAlign w:val="bottom"/>
          </w:tcPr>
          <w:p>
            <w:pPr>
              <w:pStyle w:val="TableContents"/>
              <w:spacing w:before="0" w:after="283"/>
              <w:rPr/>
            </w:pPr>
            <w:r>
              <w:rPr/>
              <w:t xml:space="preserve">  </w:t>
            </w:r>
          </w:p>
        </w:tc>
        <w:tc>
          <w:tcPr>
            <w:tcW w:w="2721" w:type="dxa"/>
            <w:tcBorders/>
            <w:shd w:fill="auto" w:val="clear"/>
            <w:vAlign w:val="bottom"/>
          </w:tcPr>
          <w:p>
            <w:pPr>
              <w:pStyle w:val="TableContents"/>
              <w:spacing w:before="0" w:after="283"/>
              <w:rPr/>
            </w:pPr>
            <w:r>
              <w:rPr/>
              <w:t xml:space="preserve">  </w:t>
            </w:r>
          </w:p>
        </w:tc>
        <w:tc>
          <w:tcPr>
            <w:tcW w:w="2722" w:type="dxa"/>
            <w:tcBorders/>
            <w:shd w:fill="auto" w:val="clear"/>
            <w:vAlign w:val="bottom"/>
          </w:tcPr>
          <w:p>
            <w:pPr>
              <w:pStyle w:val="TableContents"/>
              <w:spacing w:before="0" w:after="283"/>
              <w:rPr/>
            </w:pPr>
            <w:r>
              <w:rPr/>
              <w:t xml:space="preserve">  </w:t>
            </w:r>
          </w:p>
        </w:tc>
      </w:tr>
      <w:tr>
        <w:trPr/>
        <w:tc>
          <w:tcPr>
            <w:tcW w:w="2721" w:type="dxa"/>
            <w:tcBorders/>
            <w:shd w:fill="auto" w:val="cle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Matthew L. Jones</w:t>
            </w:r>
          </w:p>
        </w:tc>
        <w:tc>
          <w:tcPr>
            <w:tcW w:w="27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Chief Financial Officer</w:t>
            </w:r>
          </w:p>
        </w:tc>
        <w:tc>
          <w:tcPr>
            <w:tcW w:w="2722"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August 4, 2010</w:t>
            </w:r>
          </w:p>
        </w:tc>
      </w:tr>
      <w:tr>
        <w:trPr/>
        <w:tc>
          <w:tcPr>
            <w:tcW w:w="27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Matthew L. Jones</w:t>
            </w:r>
          </w:p>
        </w:tc>
        <w:tc>
          <w:tcPr>
            <w:tcW w:w="2721" w:type="dxa"/>
            <w:tcBorders/>
            <w:shd w:fill="auto" w:val="clear"/>
            <w:vAlign w:val="bottom"/>
          </w:tcPr>
          <w:p>
            <w:pPr>
              <w:pStyle w:val="TableContents"/>
              <w:spacing w:before="0" w:after="283"/>
              <w:rPr/>
            </w:pPr>
            <w:r>
              <w:rPr/>
              <w:t xml:space="preserve">  </w:t>
            </w:r>
          </w:p>
        </w:tc>
        <w:tc>
          <w:tcPr>
            <w:tcW w:w="2722" w:type="dxa"/>
            <w:tcBorders/>
            <w:shd w:fill="auto" w:val="clear"/>
            <w:vAlign w:val="bottom"/>
          </w:tcPr>
          <w:p>
            <w:pPr>
              <w:pStyle w:val="TableContents"/>
              <w:spacing w:before="0" w:after="283"/>
              <w:rPr/>
            </w:pPr>
            <w:r>
              <w:rPr/>
              <w:t xml:space="preserve">  </w:t>
            </w:r>
          </w:p>
        </w:tc>
      </w:tr>
      <w:tr>
        <w:trPr/>
        <w:tc>
          <w:tcPr>
            <w:tcW w:w="2721" w:type="dxa"/>
            <w:tcBorders/>
            <w:shd w:fill="auto" w:val="clear"/>
            <w:vAlign w:val="bottom"/>
          </w:tcPr>
          <w:p>
            <w:pPr>
              <w:pStyle w:val="TableContents"/>
              <w:spacing w:before="0" w:after="283"/>
              <w:rPr/>
            </w:pPr>
            <w:r>
              <w:rPr/>
              <w:t xml:space="preserve">  </w:t>
            </w:r>
          </w:p>
        </w:tc>
        <w:tc>
          <w:tcPr>
            <w:tcW w:w="2721" w:type="dxa"/>
            <w:tcBorders/>
            <w:shd w:fill="auto" w:val="clear"/>
            <w:vAlign w:val="bottom"/>
          </w:tcPr>
          <w:p>
            <w:pPr>
              <w:pStyle w:val="TableContents"/>
              <w:spacing w:before="0" w:after="283"/>
              <w:rPr/>
            </w:pPr>
            <w:r>
              <w:rPr/>
              <w:t xml:space="preserve">  </w:t>
            </w:r>
          </w:p>
        </w:tc>
        <w:tc>
          <w:tcPr>
            <w:tcW w:w="2722" w:type="dxa"/>
            <w:tcBorders/>
            <w:shd w:fill="auto" w:val="clear"/>
            <w:vAlign w:val="bottom"/>
          </w:tcPr>
          <w:p>
            <w:pPr>
              <w:pStyle w:val="TableContents"/>
              <w:spacing w:before="0" w:after="283"/>
              <w:rPr/>
            </w:pPr>
            <w:r>
              <w:rPr/>
              <w:t xml:space="preserve">  </w:t>
            </w:r>
          </w:p>
        </w:tc>
      </w:tr>
      <w:tr>
        <w:trPr/>
        <w:tc>
          <w:tcPr>
            <w:tcW w:w="2721" w:type="dxa"/>
            <w:tcBorders/>
            <w:shd w:fill="auto" w:val="clear"/>
            <w:vAlign w:val="bottom"/>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/s/ Matthew L. Jones</w:t>
            </w:r>
          </w:p>
        </w:tc>
        <w:tc>
          <w:tcPr>
            <w:tcW w:w="27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Chief Accounting Officer</w:t>
            </w:r>
          </w:p>
        </w:tc>
        <w:tc>
          <w:tcPr>
            <w:tcW w:w="2722"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August 4, 2010</w:t>
            </w:r>
          </w:p>
        </w:tc>
      </w:tr>
      <w:tr>
        <w:trPr/>
        <w:tc>
          <w:tcPr>
            <w:tcW w:w="2721"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Matthew L. Jones</w:t>
            </w:r>
          </w:p>
        </w:tc>
        <w:tc>
          <w:tcPr>
            <w:tcW w:w="2721" w:type="dxa"/>
            <w:tcBorders/>
            <w:shd w:fill="auto" w:val="clear"/>
            <w:vAlign w:val="bottom"/>
          </w:tcPr>
          <w:p>
            <w:pPr>
              <w:pStyle w:val="TableContents"/>
              <w:spacing w:before="0" w:after="283"/>
              <w:rPr/>
            </w:pPr>
            <w:r>
              <w:rPr/>
              <w:t xml:space="preserve">  </w:t>
            </w:r>
          </w:p>
        </w:tc>
        <w:tc>
          <w:tcPr>
            <w:tcW w:w="2722" w:type="dxa"/>
            <w:tcBorders/>
            <w:shd w:fill="auto" w:val="cle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b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1" w:name="PGBRK13"/>
      <w:bookmarkStart w:id="132" w:name="PGBRK13"/>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 w:name="FTR13"/>
      <w:bookmarkStart w:id="134" w:name="FTR13"/>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5" w:name="GLFTR13"/>
      <w:bookmarkEnd w:id="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6" w:name="PN13"/>
      <w:bookmarkEnd w:id="136"/>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 w:name="HDR13"/>
      <w:bookmarkStart w:id="138" w:name="HDR13"/>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9" w:name="GLHDR13"/>
      <w:bookmarkEnd w:id="1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r>
        <w:br w:type="page"/>
      </w:r>
    </w:p>
    <w:p>
      <w:pPr>
        <w:pStyle w:val="TextBody"/>
        <w:spacing w:before="0" w:after="0"/>
        <w:rPr/>
      </w:pPr>
      <w:r>
        <w:rPr/>
      </w:r>
      <w:bookmarkStart w:id="140" w:name="excb_31-1.htm"/>
      <w:bookmarkStart w:id="141" w:name="ksexcb_311"/>
      <w:bookmarkStart w:id="142" w:name="excb_31-1.htm"/>
      <w:bookmarkStart w:id="143" w:name="ksexcb_311"/>
      <w:bookmarkEnd w:id="142"/>
      <w:bookmarkEnd w:id="143"/>
    </w:p>
    <w:p>
      <w:pPr>
        <w:pStyle w:val="TextBody"/>
        <w:spacing w:before="0" w:after="0"/>
        <w:ind w:left="0" w:right="0" w:hanging="0"/>
        <w:jc w:val="center"/>
        <w:rPr>
          <w:rFonts w:ascii="Times New Roman" w:hAnsi="Times New Roman"/>
          <w:b/>
          <w:sz w:val="20"/>
        </w:rPr>
      </w:pPr>
      <w:r>
        <w:rPr>
          <w:rFonts w:ascii="Times New Roman" w:hAnsi="Times New Roman"/>
          <w:b/>
          <w:sz w:val="20"/>
        </w:rPr>
        <w:t>CERTIFICATIONS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Stephanie Y. Jones, certify that:</w:t>
      </w:r>
    </w:p>
    <w:p>
      <w:pPr>
        <w:pStyle w:val="TextBody"/>
        <w:spacing w:before="0" w:after="0"/>
        <w:ind w:left="0" w:right="0" w:hanging="0"/>
        <w:rPr/>
      </w:pPr>
      <w:r>
        <w:rPr/>
      </w:r>
    </w:p>
    <w:p>
      <w:pPr>
        <w:pStyle w:val="Normal"/>
        <w:spacing w:before="0" w:after="0"/>
        <w:rPr>
          <w:sz w:val="4"/>
          <w:szCs w:val="4"/>
        </w:rPr>
      </w:pPr>
      <w:r>
        <w:rPr>
          <w:sz w:val="4"/>
          <w:szCs w:val="4"/>
        </w:rPr>
      </w:r>
      <w:bookmarkStart w:id="144" w:name="hangingindent"/>
      <w:bookmarkStart w:id="145" w:name="hangingindent"/>
      <w:bookmarkEnd w:id="145"/>
    </w:p>
    <w:tbl>
      <w:tblPr>
        <w:tblW w:w="5000" w:type="pct"/>
        <w:jc w:val="center"/>
        <w:tblInd w:w="0" w:type="dxa"/>
        <w:tblCellMar>
          <w:top w:w="0" w:type="dxa"/>
          <w:left w:w="0" w:type="dxa"/>
          <w:bottom w:w="0" w:type="dxa"/>
          <w:right w:w="0" w:type="dxa"/>
        </w:tblCellMar>
      </w:tblPr>
      <w:tblGrid>
        <w:gridCol w:w="178"/>
        <w:gridCol w:w="252"/>
        <w:gridCol w:w="9775"/>
      </w:tblGrid>
      <w:tr>
        <w:trPr/>
        <w:tc>
          <w:tcPr>
            <w:tcW w:w="178" w:type="dxa"/>
            <w:tcBorders/>
            <w:shd w:fill="auto" w:val="clear"/>
          </w:tcPr>
          <w:p>
            <w:pPr>
              <w:pStyle w:val="TableContents"/>
              <w:spacing w:before="0" w:after="0"/>
              <w:rPr/>
            </w:pPr>
            <w:r>
              <w:rPr/>
              <w:t xml:space="preserve">  </w:t>
            </w:r>
          </w:p>
        </w:tc>
        <w:tc>
          <w:tcPr>
            <w:tcW w:w="2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7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 have reviewed this quarterly report on Form 10-Q of Excaliber Enterprises, Ltd.;</w:t>
            </w:r>
          </w:p>
        </w:tc>
      </w:tr>
    </w:tbl>
    <w:p>
      <w:pPr>
        <w:pStyle w:val="TextBody"/>
        <w:spacing w:before="0" w:after="0"/>
        <w:ind w:left="0" w:right="0" w:hanging="0"/>
        <w:rPr/>
      </w:pPr>
      <w:r>
        <w:rPr/>
      </w:r>
    </w:p>
    <w:p>
      <w:pPr>
        <w:pStyle w:val="Normal"/>
        <w:spacing w:before="0" w:after="0"/>
        <w:rPr>
          <w:sz w:val="4"/>
          <w:szCs w:val="4"/>
        </w:rPr>
      </w:pPr>
      <w:r>
        <w:rPr>
          <w:sz w:val="4"/>
          <w:szCs w:val="4"/>
        </w:rPr>
      </w:r>
      <w:bookmarkStart w:id="146" w:name="hangingindent1"/>
      <w:bookmarkStart w:id="147" w:name="hangingindent1"/>
      <w:bookmarkEnd w:id="147"/>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148" w:name="hangingindent2"/>
      <w:bookmarkStart w:id="149" w:name="hangingindent2"/>
      <w:bookmarkEnd w:id="149"/>
    </w:p>
    <w:tbl>
      <w:tblPr>
        <w:tblW w:w="5000" w:type="pct"/>
        <w:jc w:val="center"/>
        <w:tblInd w:w="0" w:type="dxa"/>
        <w:tblCellMar>
          <w:top w:w="0" w:type="dxa"/>
          <w:left w:w="0" w:type="dxa"/>
          <w:bottom w:w="0" w:type="dxa"/>
          <w:right w:w="0" w:type="dxa"/>
        </w:tblCellMar>
      </w:tblPr>
      <w:tblGrid>
        <w:gridCol w:w="85"/>
        <w:gridCol w:w="144"/>
        <w:gridCol w:w="9976"/>
      </w:tblGrid>
      <w:tr>
        <w:trPr/>
        <w:tc>
          <w:tcPr>
            <w:tcW w:w="85"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bookmarkStart w:id="150" w:name="b.31.3"/>
            <w:bookmarkEnd w:id="150"/>
            <w:r>
              <w:rPr>
                <w:rFonts w:ascii="Times New Roman" w:hAnsi="Times New Roman"/>
                <w:sz w:val="20"/>
              </w:rPr>
              <w:t>3.</w:t>
            </w:r>
          </w:p>
        </w:tc>
        <w:tc>
          <w:tcPr>
            <w:tcW w:w="997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151" w:name="hangingindent3"/>
      <w:bookmarkStart w:id="152" w:name="hangingindent3"/>
      <w:bookmarkEnd w:id="152"/>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153" w:name="hangingindent4"/>
      <w:bookmarkStart w:id="154" w:name="hangingindent4"/>
      <w:bookmarkEnd w:id="154"/>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155" w:name="hangingindent5"/>
      <w:bookmarkStart w:id="156" w:name="hangingindent5"/>
      <w:bookmarkEnd w:id="156"/>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57" w:name="hangingindent6"/>
      <w:bookmarkStart w:id="158" w:name="hangingindent6"/>
      <w:bookmarkEnd w:id="158"/>
    </w:p>
    <w:tbl>
      <w:tblPr>
        <w:tblW w:w="5000" w:type="pct"/>
        <w:jc w:val="center"/>
        <w:tblInd w:w="0" w:type="dxa"/>
        <w:tblCellMar>
          <w:top w:w="0" w:type="dxa"/>
          <w:left w:w="0" w:type="dxa"/>
          <w:bottom w:w="0" w:type="dxa"/>
          <w:right w:w="0" w:type="dxa"/>
        </w:tblCellMar>
      </w:tblPr>
      <w:tblGrid>
        <w:gridCol w:w="84"/>
        <w:gridCol w:w="155"/>
        <w:gridCol w:w="9966"/>
      </w:tblGrid>
      <w:tr>
        <w:trPr/>
        <w:tc>
          <w:tcPr>
            <w:tcW w:w="84"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59" w:name="hangingindent7"/>
      <w:bookmarkStart w:id="160" w:name="hangingindent7"/>
      <w:bookmarkEnd w:id="160"/>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61" w:name="hangingindent8"/>
      <w:bookmarkStart w:id="162" w:name="hangingindent8"/>
      <w:bookmarkEnd w:id="162"/>
    </w:p>
    <w:tbl>
      <w:tblPr>
        <w:tblW w:w="5000" w:type="pct"/>
        <w:jc w:val="center"/>
        <w:tblInd w:w="0" w:type="dxa"/>
        <w:tblCellMar>
          <w:top w:w="0" w:type="dxa"/>
          <w:left w:w="0" w:type="dxa"/>
          <w:bottom w:w="0" w:type="dxa"/>
          <w:right w:w="0" w:type="dxa"/>
        </w:tblCellMar>
      </w:tblPr>
      <w:tblGrid>
        <w:gridCol w:w="84"/>
        <w:gridCol w:w="143"/>
        <w:gridCol w:w="9978"/>
      </w:tblGrid>
      <w:tr>
        <w:trPr/>
        <w:tc>
          <w:tcPr>
            <w:tcW w:w="84"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7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163" w:name="hangingindent9"/>
      <w:bookmarkStart w:id="164" w:name="hangingindent9"/>
      <w:bookmarkEnd w:id="164"/>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65" w:name="hangingindent10"/>
      <w:bookmarkStart w:id="166" w:name="hangingindent10"/>
      <w:bookmarkEnd w:id="166"/>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August 4, 2010</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 Stephanie Y. Jones</w:t>
      </w:r>
    </w:p>
    <w:p>
      <w:pPr>
        <w:pStyle w:val="TextBody"/>
        <w:spacing w:before="0" w:after="0"/>
        <w:ind w:left="0" w:right="0" w:hanging="0"/>
        <w:jc w:val="both"/>
        <w:rPr/>
      </w:pPr>
      <w:r>
        <w:rPr/>
        <w:t>     </w:t>
      </w:r>
      <w:r>
        <w:rPr>
          <w:rFonts w:ascii="Times New Roman" w:hAnsi="Times New Roman"/>
          <w:sz w:val="20"/>
        </w:rPr>
        <w:t>Stephanie Y. Jones</w:t>
      </w:r>
    </w:p>
    <w:p>
      <w:pPr>
        <w:pStyle w:val="TextBody"/>
        <w:spacing w:before="0" w:after="0"/>
        <w:ind w:left="0" w:right="0" w:hanging="0"/>
        <w:jc w:val="both"/>
        <w:rPr/>
      </w:pPr>
      <w:r>
        <w:rPr/>
        <w:t>     </w:t>
      </w:r>
      <w:r>
        <w:rPr>
          <w:rFonts w:ascii="Times New Roman" w:hAnsi="Times New Roman"/>
          <w:sz w:val="20"/>
        </w:rPr>
        <w:t>President and CEO</w:t>
      </w:r>
    </w:p>
    <w:p>
      <w:pPr>
        <w:pStyle w:val="TextBody"/>
        <w:spacing w:before="0" w:after="0"/>
        <w:ind w:left="0" w:right="0" w:hanging="0"/>
        <w:rPr/>
      </w:pPr>
      <w:r>
        <w:rPr/>
      </w:r>
    </w:p>
    <w:p>
      <w:pPr>
        <w:pStyle w:val="TextBody"/>
        <w:rPr/>
      </w:pPr>
      <w:r>
        <w:rPr/>
      </w:r>
      <w:r>
        <w:br w:type="page"/>
      </w:r>
    </w:p>
    <w:p>
      <w:pPr>
        <w:pStyle w:val="TextBody"/>
        <w:spacing w:before="0" w:after="0"/>
        <w:ind w:left="0" w:right="0" w:hanging="0"/>
        <w:jc w:val="center"/>
        <w:rPr>
          <w:rFonts w:ascii="Times New Roman" w:hAnsi="Times New Roman"/>
          <w:b/>
          <w:sz w:val="20"/>
        </w:rPr>
      </w:pPr>
      <w:bookmarkStart w:id="167" w:name="excb_ex31-2.htm"/>
      <w:bookmarkStart w:id="168" w:name="ksexcb_ex312"/>
      <w:bookmarkEnd w:id="167"/>
      <w:bookmarkEnd w:id="168"/>
      <w:r>
        <w:rPr>
          <w:rFonts w:ascii="Times New Roman" w:hAnsi="Times New Roman"/>
          <w:b/>
          <w:sz w:val="20"/>
        </w:rPr>
        <w:t>CERTIFICATIONS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Matthew L. Jones, certify that:</w:t>
      </w:r>
    </w:p>
    <w:p>
      <w:pPr>
        <w:pStyle w:val="TextBody"/>
        <w:spacing w:before="0" w:after="0"/>
        <w:ind w:left="0" w:right="0" w:hanging="0"/>
        <w:rPr/>
      </w:pPr>
      <w:r>
        <w:rPr/>
      </w:r>
    </w:p>
    <w:p>
      <w:pPr>
        <w:pStyle w:val="Normal"/>
        <w:spacing w:before="0" w:after="0"/>
        <w:rPr>
          <w:sz w:val="4"/>
          <w:szCs w:val="4"/>
        </w:rPr>
      </w:pPr>
      <w:r>
        <w:rPr>
          <w:sz w:val="4"/>
          <w:szCs w:val="4"/>
        </w:rPr>
      </w:r>
      <w:bookmarkStart w:id="169" w:name="hangingindent11"/>
      <w:bookmarkStart w:id="170" w:name="hangingindent11"/>
      <w:bookmarkEnd w:id="170"/>
    </w:p>
    <w:tbl>
      <w:tblPr>
        <w:tblW w:w="5000" w:type="pct"/>
        <w:jc w:val="center"/>
        <w:tblInd w:w="0" w:type="dxa"/>
        <w:tblCellMar>
          <w:top w:w="0" w:type="dxa"/>
          <w:left w:w="0" w:type="dxa"/>
          <w:bottom w:w="0" w:type="dxa"/>
          <w:right w:w="0" w:type="dxa"/>
        </w:tblCellMar>
      </w:tblPr>
      <w:tblGrid>
        <w:gridCol w:w="178"/>
        <w:gridCol w:w="252"/>
        <w:gridCol w:w="9775"/>
      </w:tblGrid>
      <w:tr>
        <w:trPr/>
        <w:tc>
          <w:tcPr>
            <w:tcW w:w="178" w:type="dxa"/>
            <w:tcBorders/>
            <w:shd w:fill="auto" w:val="clear"/>
          </w:tcPr>
          <w:p>
            <w:pPr>
              <w:pStyle w:val="TableContents"/>
              <w:spacing w:before="0" w:after="0"/>
              <w:rPr/>
            </w:pPr>
            <w:r>
              <w:rPr/>
              <w:t xml:space="preserve">  </w:t>
            </w:r>
          </w:p>
        </w:tc>
        <w:tc>
          <w:tcPr>
            <w:tcW w:w="2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7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 have reviewed this quarterly report on Form 10-Q of Excaliber Enterprises, Ltd.;</w:t>
            </w:r>
          </w:p>
        </w:tc>
      </w:tr>
    </w:tbl>
    <w:p>
      <w:pPr>
        <w:pStyle w:val="TextBody"/>
        <w:spacing w:before="0" w:after="0"/>
        <w:ind w:left="0" w:right="0" w:hanging="0"/>
        <w:rPr/>
      </w:pPr>
      <w:r>
        <w:rPr/>
      </w:r>
    </w:p>
    <w:p>
      <w:pPr>
        <w:pStyle w:val="Normal"/>
        <w:spacing w:before="0" w:after="0"/>
        <w:rPr>
          <w:sz w:val="4"/>
          <w:szCs w:val="4"/>
        </w:rPr>
      </w:pPr>
      <w:r>
        <w:rPr>
          <w:sz w:val="4"/>
          <w:szCs w:val="4"/>
        </w:rPr>
      </w:r>
      <w:bookmarkStart w:id="171" w:name="hangingindent12"/>
      <w:bookmarkStart w:id="172" w:name="hangingindent12"/>
      <w:bookmarkEnd w:id="172"/>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173" w:name="hangingindent13"/>
      <w:bookmarkStart w:id="174" w:name="hangingindent13"/>
      <w:bookmarkEnd w:id="174"/>
    </w:p>
    <w:tbl>
      <w:tblPr>
        <w:tblW w:w="5000" w:type="pct"/>
        <w:jc w:val="center"/>
        <w:tblInd w:w="0" w:type="dxa"/>
        <w:tblCellMar>
          <w:top w:w="0" w:type="dxa"/>
          <w:left w:w="0" w:type="dxa"/>
          <w:bottom w:w="0" w:type="dxa"/>
          <w:right w:w="0" w:type="dxa"/>
        </w:tblCellMar>
      </w:tblPr>
      <w:tblGrid>
        <w:gridCol w:w="85"/>
        <w:gridCol w:w="144"/>
        <w:gridCol w:w="9976"/>
      </w:tblGrid>
      <w:tr>
        <w:trPr/>
        <w:tc>
          <w:tcPr>
            <w:tcW w:w="85"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bookmarkStart w:id="175" w:name="b.31.31"/>
            <w:bookmarkEnd w:id="175"/>
            <w:r>
              <w:rPr>
                <w:rFonts w:ascii="Times New Roman" w:hAnsi="Times New Roman"/>
                <w:sz w:val="20"/>
              </w:rPr>
              <w:t>3.</w:t>
            </w:r>
          </w:p>
        </w:tc>
        <w:tc>
          <w:tcPr>
            <w:tcW w:w="997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176" w:name="hangingindent14"/>
      <w:bookmarkStart w:id="177" w:name="hangingindent14"/>
      <w:bookmarkEnd w:id="177"/>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178" w:name="hangingindent15"/>
      <w:bookmarkStart w:id="179" w:name="hangingindent15"/>
      <w:bookmarkEnd w:id="179"/>
    </w:p>
    <w:tbl>
      <w:tblPr>
        <w:tblW w:w="5000" w:type="pct"/>
        <w:jc w:val="center"/>
        <w:tblInd w:w="0" w:type="dxa"/>
        <w:tblCellMar>
          <w:top w:w="0" w:type="dxa"/>
          <w:left w:w="0" w:type="dxa"/>
          <w:bottom w:w="0" w:type="dxa"/>
          <w:right w:w="0" w:type="dxa"/>
        </w:tblCellMar>
      </w:tblPr>
      <w:tblGrid>
        <w:gridCol w:w="77"/>
        <w:gridCol w:w="155"/>
        <w:gridCol w:w="9973"/>
      </w:tblGrid>
      <w:tr>
        <w:trPr/>
        <w:tc>
          <w:tcPr>
            <w:tcW w:w="77"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180" w:name="hangingindent16"/>
      <w:bookmarkStart w:id="181" w:name="hangingindent16"/>
      <w:bookmarkEnd w:id="181"/>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82" w:name="hangingindent17"/>
      <w:bookmarkStart w:id="183" w:name="hangingindent17"/>
      <w:bookmarkEnd w:id="183"/>
    </w:p>
    <w:tbl>
      <w:tblPr>
        <w:tblW w:w="5000" w:type="pct"/>
        <w:jc w:val="center"/>
        <w:tblInd w:w="0" w:type="dxa"/>
        <w:tblCellMar>
          <w:top w:w="0" w:type="dxa"/>
          <w:left w:w="0" w:type="dxa"/>
          <w:bottom w:w="0" w:type="dxa"/>
          <w:right w:w="0" w:type="dxa"/>
        </w:tblCellMar>
      </w:tblPr>
      <w:tblGrid>
        <w:gridCol w:w="84"/>
        <w:gridCol w:w="155"/>
        <w:gridCol w:w="9966"/>
      </w:tblGrid>
      <w:tr>
        <w:trPr/>
        <w:tc>
          <w:tcPr>
            <w:tcW w:w="84"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84" w:name="hangingindent18"/>
      <w:bookmarkStart w:id="185" w:name="hangingindent18"/>
      <w:bookmarkEnd w:id="185"/>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5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86" w:name="hangingindent19"/>
      <w:bookmarkStart w:id="187" w:name="hangingindent19"/>
      <w:bookmarkEnd w:id="187"/>
    </w:p>
    <w:tbl>
      <w:tblPr>
        <w:tblW w:w="5000" w:type="pct"/>
        <w:jc w:val="center"/>
        <w:tblInd w:w="0" w:type="dxa"/>
        <w:tblCellMar>
          <w:top w:w="0" w:type="dxa"/>
          <w:left w:w="0" w:type="dxa"/>
          <w:bottom w:w="0" w:type="dxa"/>
          <w:right w:w="0" w:type="dxa"/>
        </w:tblCellMar>
      </w:tblPr>
      <w:tblGrid>
        <w:gridCol w:w="84"/>
        <w:gridCol w:w="143"/>
        <w:gridCol w:w="9978"/>
      </w:tblGrid>
      <w:tr>
        <w:trPr/>
        <w:tc>
          <w:tcPr>
            <w:tcW w:w="84"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7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188" w:name="hangingindent20"/>
      <w:bookmarkStart w:id="189" w:name="hangingindent20"/>
      <w:bookmarkEnd w:id="189"/>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90" w:name="hangingindent21"/>
      <w:bookmarkStart w:id="191" w:name="hangingindent21"/>
      <w:bookmarkEnd w:id="191"/>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August 4, 2010</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 Matthew L. Jones</w:t>
      </w:r>
    </w:p>
    <w:p>
      <w:pPr>
        <w:pStyle w:val="TextBody"/>
        <w:spacing w:before="0" w:after="0"/>
        <w:ind w:left="0" w:right="0" w:hanging="0"/>
        <w:jc w:val="both"/>
        <w:rPr/>
      </w:pPr>
      <w:r>
        <w:rPr/>
        <w:t>     </w:t>
      </w:r>
      <w:r>
        <w:rPr>
          <w:rFonts w:ascii="Times New Roman" w:hAnsi="Times New Roman"/>
          <w:sz w:val="20"/>
        </w:rPr>
        <w:t>Matthew L. Jones</w:t>
      </w:r>
    </w:p>
    <w:p>
      <w:pPr>
        <w:pStyle w:val="TextBody"/>
        <w:spacing w:before="0" w:after="0"/>
        <w:ind w:left="0" w:right="0" w:hanging="0"/>
        <w:jc w:val="both"/>
        <w:rPr/>
      </w:pPr>
      <w:r>
        <w:rPr/>
        <w:t>     </w:t>
      </w:r>
      <w:r>
        <w:rPr>
          <w:rFonts w:ascii="Times New Roman" w:hAnsi="Times New Roman"/>
          <w:sz w:val="20"/>
        </w:rPr>
        <w:t>President and CEO</w:t>
      </w:r>
    </w:p>
    <w:p>
      <w:pPr>
        <w:pStyle w:val="TextBody"/>
        <w:spacing w:before="0" w:after="0"/>
        <w:ind w:left="0" w:right="0" w:hanging="0"/>
        <w:rPr/>
      </w:pPr>
      <w:r>
        <w:rPr/>
      </w:r>
    </w:p>
    <w:p>
      <w:pPr>
        <w:pStyle w:val="TextBody"/>
        <w:rPr/>
      </w:pPr>
      <w:r>
        <w:rPr/>
      </w:r>
      <w:r>
        <w:br w:type="page"/>
      </w:r>
    </w:p>
    <w:p>
      <w:pPr>
        <w:pStyle w:val="TextBody"/>
        <w:spacing w:before="0" w:after="0"/>
        <w:ind w:left="0" w:right="0" w:hanging="0"/>
        <w:jc w:val="center"/>
        <w:rPr>
          <w:rFonts w:ascii="Times New Roman" w:hAnsi="Times New Roman"/>
          <w:sz w:val="20"/>
        </w:rPr>
      </w:pPr>
      <w:bookmarkStart w:id="192" w:name="excb_ex32.htm"/>
      <w:bookmarkStart w:id="193" w:name="ksexcb_ex32"/>
      <w:bookmarkEnd w:id="192"/>
      <w:bookmarkEnd w:id="193"/>
      <w:r>
        <w:rPr>
          <w:rFonts w:ascii="Times New Roman" w:hAnsi="Times New Roman"/>
          <w:sz w:val="20"/>
        </w:rPr>
        <w:t>CERTIFICATION PURSUANT TO</w:t>
      </w:r>
    </w:p>
    <w:p>
      <w:pPr>
        <w:pStyle w:val="TextBody"/>
        <w:spacing w:before="0" w:after="0"/>
        <w:ind w:left="0" w:right="0" w:hanging="0"/>
        <w:jc w:val="center"/>
        <w:rPr>
          <w:rFonts w:ascii="Times New Roman" w:hAnsi="Times New Roman"/>
          <w:sz w:val="20"/>
        </w:rPr>
      </w:pPr>
      <w:r>
        <w:rPr>
          <w:rFonts w:ascii="Times New Roman" w:hAnsi="Times New Roman"/>
          <w:sz w:val="20"/>
        </w:rPr>
        <w:t>18 U.S.C. SECTION 1350,</w:t>
      </w:r>
    </w:p>
    <w:p>
      <w:pPr>
        <w:pStyle w:val="TextBody"/>
        <w:spacing w:before="0" w:after="0"/>
        <w:ind w:left="0" w:right="0" w:hanging="0"/>
        <w:jc w:val="center"/>
        <w:rPr>
          <w:rFonts w:ascii="Times New Roman" w:hAnsi="Times New Roman"/>
          <w:sz w:val="20"/>
        </w:rPr>
      </w:pPr>
      <w:r>
        <w:rPr>
          <w:rFonts w:ascii="Times New Roman" w:hAnsi="Times New Roman"/>
          <w:sz w:val="20"/>
        </w:rPr>
        <w:t>AS ADOPTED PURSUANT TO</w:t>
      </w:r>
    </w:p>
    <w:p>
      <w:pPr>
        <w:pStyle w:val="TextBody"/>
        <w:spacing w:before="0" w:after="0"/>
        <w:ind w:left="0" w:right="0" w:hanging="0"/>
        <w:jc w:val="center"/>
        <w:rPr>
          <w:rFonts w:ascii="Times New Roman" w:hAnsi="Times New Roman"/>
          <w:sz w:val="20"/>
        </w:rPr>
      </w:pPr>
      <w:r>
        <w:rPr>
          <w:rFonts w:ascii="Times New Roman" w:hAnsi="Times New Roman"/>
          <w:sz w:val="20"/>
        </w:rPr>
        <w:t>SECTION 906 OF THE SARBANES-OXLEY ACT OF 2002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quarterly report of Excaliber Enterprises, Ltd. (the "Company") on Form 10-Q for the three months ended March 31, 2010, as filed with the Securities and Exchange Commission on the date hereof (the "Report"), I, Stephanie Y. Jones, acting in the capacity as the Chief Executive Officer of the Company, and I, Matthew L. Jones, acting in the capacity as the Chief Financial Officer of the Company, certify to the best of our knowledge, pursuant to 18 U.S.C. Section 1350, as adopted pursuant to Section 906 of the Sarbanes-Oxley Act of 2002, that:</w:t>
      </w:r>
    </w:p>
    <w:p>
      <w:pPr>
        <w:pStyle w:val="TextBody"/>
        <w:spacing w:before="0" w:after="0"/>
        <w:ind w:left="0" w:right="0" w:hanging="0"/>
        <w:rPr/>
      </w:pPr>
      <w:r>
        <w:rPr/>
      </w:r>
    </w:p>
    <w:p>
      <w:pPr>
        <w:pStyle w:val="Normal"/>
        <w:spacing w:before="0" w:after="0"/>
        <w:rPr>
          <w:sz w:val="4"/>
          <w:szCs w:val="4"/>
        </w:rPr>
      </w:pPr>
      <w:r>
        <w:rPr>
          <w:sz w:val="4"/>
          <w:szCs w:val="4"/>
        </w:rPr>
      </w:r>
      <w:bookmarkStart w:id="194" w:name="hangingindent22"/>
      <w:bookmarkStart w:id="195" w:name="hangingindent22"/>
      <w:bookmarkEnd w:id="195"/>
    </w:p>
    <w:tbl>
      <w:tblPr>
        <w:tblW w:w="5000" w:type="pct"/>
        <w:jc w:val="center"/>
        <w:tblInd w:w="0" w:type="dxa"/>
        <w:tblCellMar>
          <w:top w:w="0" w:type="dxa"/>
          <w:left w:w="0" w:type="dxa"/>
          <w:bottom w:w="0" w:type="dxa"/>
          <w:right w:w="0" w:type="dxa"/>
        </w:tblCellMar>
      </w:tblPr>
      <w:tblGrid>
        <w:gridCol w:w="123"/>
        <w:gridCol w:w="252"/>
        <w:gridCol w:w="9830"/>
      </w:tblGrid>
      <w:tr>
        <w:trPr/>
        <w:tc>
          <w:tcPr>
            <w:tcW w:w="123" w:type="dxa"/>
            <w:tcBorders/>
            <w:shd w:fill="auto" w:val="clear"/>
          </w:tcPr>
          <w:p>
            <w:pPr>
              <w:pStyle w:val="TableContents"/>
              <w:spacing w:before="0" w:after="0"/>
              <w:rPr/>
            </w:pPr>
            <w:r>
              <w:rPr/>
              <w:t xml:space="preserve">  </w:t>
            </w:r>
          </w:p>
        </w:tc>
        <w:tc>
          <w:tcPr>
            <w:tcW w:w="2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3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Report fully complies with the requirements of section 13(a) or 15(d)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96" w:name="hangingindent23"/>
      <w:bookmarkStart w:id="197" w:name="hangingindent23"/>
      <w:bookmarkEnd w:id="197"/>
    </w:p>
    <w:tbl>
      <w:tblPr>
        <w:tblW w:w="5000" w:type="pct"/>
        <w:jc w:val="center"/>
        <w:tblInd w:w="0" w:type="dxa"/>
        <w:tblCellMar>
          <w:top w:w="0" w:type="dxa"/>
          <w:left w:w="0" w:type="dxa"/>
          <w:bottom w:w="0" w:type="dxa"/>
          <w:right w:w="0" w:type="dxa"/>
        </w:tblCellMar>
      </w:tblPr>
      <w:tblGrid>
        <w:gridCol w:w="108"/>
        <w:gridCol w:w="234"/>
        <w:gridCol w:w="9863"/>
      </w:tblGrid>
      <w:tr>
        <w:trPr/>
        <w:tc>
          <w:tcPr>
            <w:tcW w:w="108" w:type="dxa"/>
            <w:tcBorders/>
            <w:shd w:fill="auto" w:val="clear"/>
          </w:tcPr>
          <w:p>
            <w:pPr>
              <w:pStyle w:val="TableContents"/>
              <w:spacing w:before="0" w:after="0"/>
              <w:rPr/>
            </w:pPr>
            <w:r>
              <w:rPr/>
              <w:t xml:space="preserve">  </w:t>
            </w:r>
          </w:p>
        </w:tc>
        <w:tc>
          <w:tcPr>
            <w:tcW w:w="23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86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 of operations of the Company.</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Stephanie Y. Jones</w:t>
      </w:r>
    </w:p>
    <w:p>
      <w:pPr>
        <w:pStyle w:val="TextBody"/>
        <w:spacing w:before="0" w:after="0"/>
        <w:ind w:left="0" w:right="0" w:hanging="0"/>
        <w:jc w:val="left"/>
        <w:rPr/>
      </w:pPr>
      <w:r>
        <w:rPr/>
        <w:t>     </w:t>
      </w:r>
      <w:r>
        <w:rPr>
          <w:rFonts w:ascii="Times New Roman" w:hAnsi="Times New Roman"/>
          <w:sz w:val="20"/>
        </w:rPr>
        <w:t>Stephanie Y. Jones</w:t>
      </w:r>
    </w:p>
    <w:p>
      <w:pPr>
        <w:pStyle w:val="TextBody"/>
        <w:spacing w:before="0" w:after="0"/>
        <w:ind w:left="0" w:right="0" w:hanging="0"/>
        <w:jc w:val="left"/>
        <w:rPr/>
      </w:pPr>
      <w:r>
        <w:rPr/>
        <w:t>     </w:t>
      </w:r>
      <w:r>
        <w:rPr>
          <w:rFonts w:ascii="Times New Roman" w:hAnsi="Times New Roman"/>
          <w:sz w:val="20"/>
        </w:rPr>
        <w:t>Chief Executive Officer</w:t>
      </w:r>
    </w:p>
    <w:p>
      <w:pPr>
        <w:pStyle w:val="TextBody"/>
        <w:spacing w:before="0" w:after="0"/>
        <w:ind w:left="0" w:right="0" w:hanging="0"/>
        <w:jc w:val="left"/>
        <w:rPr/>
      </w:pPr>
      <w:r>
        <w:rPr/>
        <w:t>     </w:t>
      </w:r>
      <w:r>
        <w:rPr>
          <w:rFonts w:ascii="Times New Roman" w:hAnsi="Times New Roman"/>
          <w:sz w:val="20"/>
        </w:rPr>
        <w:t>August 4, 2010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Matthew L. Jones</w:t>
      </w:r>
    </w:p>
    <w:p>
      <w:pPr>
        <w:pStyle w:val="TextBody"/>
        <w:spacing w:before="0" w:after="0"/>
        <w:ind w:left="0" w:right="0" w:hanging="0"/>
        <w:jc w:val="left"/>
        <w:rPr/>
      </w:pPr>
      <w:r>
        <w:rPr/>
        <w:t>     </w:t>
      </w:r>
      <w:r>
        <w:rPr>
          <w:rFonts w:ascii="Times New Roman" w:hAnsi="Times New Roman"/>
          <w:sz w:val="20"/>
        </w:rPr>
        <w:t>Matthew L. Jones</w:t>
      </w:r>
    </w:p>
    <w:p>
      <w:pPr>
        <w:pStyle w:val="TextBody"/>
        <w:spacing w:before="0" w:after="0"/>
        <w:ind w:left="0" w:right="0" w:hanging="0"/>
        <w:jc w:val="left"/>
        <w:rPr/>
      </w:pPr>
      <w:r>
        <w:rPr/>
        <w:t>     </w:t>
      </w:r>
      <w:r>
        <w:rPr>
          <w:rFonts w:ascii="Times New Roman" w:hAnsi="Times New Roman"/>
          <w:sz w:val="20"/>
        </w:rPr>
        <w:t>Chief Financial Officer</w:t>
      </w:r>
    </w:p>
    <w:p>
      <w:pPr>
        <w:pStyle w:val="TextBody"/>
        <w:spacing w:before="0" w:after="0"/>
        <w:ind w:left="0" w:right="0" w:hanging="0"/>
        <w:jc w:val="left"/>
        <w:rPr/>
      </w:pPr>
      <w:r>
        <w:rPr/>
        <w:t>     </w:t>
      </w:r>
      <w:r>
        <w:rPr>
          <w:rFonts w:ascii="Times New Roman" w:hAnsi="Times New Roman"/>
          <w:sz w:val="20"/>
        </w:rPr>
        <w:t>August 4, 2010</w:t>
      </w:r>
    </w:p>
    <w:p>
      <w:pPr>
        <w:pStyle w:val="TextBody"/>
        <w:spacing w:before="0" w:after="0"/>
        <w:ind w:left="0" w:right="0" w:hanging="0"/>
        <w:rPr/>
      </w:pPr>
      <w:r>
        <w:rPr/>
      </w:r>
    </w:p>
    <w:p>
      <w:pPr>
        <w:pStyle w:val="TextBody"/>
        <w:spacing w:before="0" w:after="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6022</Words>
  <CharactersWithSpaces>39167</CharactersWithSpaces>
  <Paragraphs>1385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