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189230</wp:posOffset>
            </wp:positionH>
            <wp:positionV relativeFrom="page">
              <wp:posOffset>237490</wp:posOffset>
            </wp:positionV>
            <wp:extent cx="717042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312420</wp:posOffset>
            </wp:positionV>
            <wp:extent cx="7170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0420" cy="6350"/>
                    </a:xfrm>
                    <a:prstGeom prst="rect">
                      <a:avLst/>
                    </a:prstGeom>
                    <a:noFill/>
                  </pic:spPr>
                </pic:pic>
              </a:graphicData>
            </a:graphic>
          </wp:anchor>
        </w:drawing>
        <w:t>UNITED STATES</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SECURITIES AND EXCHANGE COMMISSION</w:t>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Washington, D.C. 20549</w:t>
      </w:r>
    </w:p>
    <w:p>
      <w:pPr>
        <w:spacing w:after="0" w:line="144"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FORM 8-K</w:t>
      </w:r>
    </w:p>
    <w:p>
      <w:pPr>
        <w:spacing w:after="0" w:line="159"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CURRENT REPORT</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6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 xml:space="preserve">Date of Report (Date of earliest event reported): </w:t>
      </w:r>
      <w:r>
        <w:rPr>
          <w:rFonts w:ascii="Arial" w:cs="Arial" w:eastAsia="Arial" w:hAnsi="Arial"/>
          <w:sz w:val="13"/>
          <w:szCs w:val="13"/>
          <w:b w:val="1"/>
          <w:bCs w:val="1"/>
          <w:u w:val="single" w:color="auto"/>
          <w:color w:val="auto"/>
        </w:rPr>
        <w:t>June 14, 2021</w:t>
      </w:r>
    </w:p>
    <w:p>
      <w:pPr>
        <w:spacing w:after="0" w:line="15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VistaGen Therapeutics, Inc.</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282"/>
          </w:cols>
          <w:pgMar w:left="298" w:top="706" w:right="319" w:bottom="1440" w:gutter="0" w:footer="0" w:header="0"/>
        </w:sectPr>
      </w:pPr>
    </w:p>
    <w:p>
      <w:pPr>
        <w:spacing w:after="0" w:line="149" w:lineRule="exact"/>
        <w:rPr>
          <w:sz w:val="24"/>
          <w:szCs w:val="24"/>
          <w:color w:val="auto"/>
        </w:rPr>
      </w:pPr>
    </w:p>
    <w:p>
      <w:pPr>
        <w:jc w:val="center"/>
        <w:ind w:right="498"/>
        <w:spacing w:after="0"/>
        <w:rPr>
          <w:sz w:val="20"/>
          <w:szCs w:val="20"/>
          <w:color w:val="auto"/>
        </w:rPr>
      </w:pPr>
      <w:r>
        <w:rPr>
          <w:rFonts w:ascii="Arial" w:cs="Arial" w:eastAsia="Arial" w:hAnsi="Arial"/>
          <w:sz w:val="13"/>
          <w:szCs w:val="13"/>
          <w:b w:val="1"/>
          <w:bCs w:val="1"/>
          <w:color w:val="auto"/>
        </w:rPr>
        <w:t>NEVADA</w:t>
      </w:r>
    </w:p>
    <w:p>
      <w:pPr>
        <w:spacing w:after="0" w:line="16" w:lineRule="exact"/>
        <w:rPr>
          <w:sz w:val="24"/>
          <w:szCs w:val="24"/>
          <w:color w:val="auto"/>
        </w:rPr>
      </w:pPr>
    </w:p>
    <w:p>
      <w:pPr>
        <w:jc w:val="center"/>
        <w:ind w:right="498"/>
        <w:spacing w:after="0"/>
        <w:rPr>
          <w:sz w:val="20"/>
          <w:szCs w:val="20"/>
          <w:color w:val="auto"/>
        </w:rPr>
      </w:pPr>
      <w:r>
        <w:rPr>
          <w:rFonts w:ascii="Arial" w:cs="Arial" w:eastAsia="Arial" w:hAnsi="Arial"/>
          <w:sz w:val="12"/>
          <w:szCs w:val="12"/>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380"/>
        <w:spacing w:after="0"/>
        <w:rPr>
          <w:sz w:val="20"/>
          <w:szCs w:val="20"/>
          <w:color w:val="auto"/>
        </w:rPr>
      </w:pPr>
      <w:r>
        <w:rPr>
          <w:rFonts w:ascii="Arial" w:cs="Arial" w:eastAsia="Arial" w:hAnsi="Arial"/>
          <w:sz w:val="13"/>
          <w:szCs w:val="13"/>
          <w:b w:val="1"/>
          <w:bCs w:val="1"/>
          <w:color w:val="auto"/>
        </w:rPr>
        <w:t>000-54014</w:t>
      </w:r>
    </w:p>
    <w:p>
      <w:pPr>
        <w:spacing w:after="0" w:line="16" w:lineRule="exact"/>
        <w:rPr>
          <w:sz w:val="24"/>
          <w:szCs w:val="24"/>
          <w:color w:val="auto"/>
        </w:rPr>
      </w:pPr>
    </w:p>
    <w:p>
      <w:pPr>
        <w:jc w:val="center"/>
        <w:ind w:right="1380"/>
        <w:spacing w:after="0"/>
        <w:rPr>
          <w:sz w:val="20"/>
          <w:szCs w:val="20"/>
          <w:color w:val="auto"/>
        </w:rPr>
      </w:pPr>
      <w:r>
        <w:rPr>
          <w:rFonts w:ascii="Arial" w:cs="Arial" w:eastAsia="Arial" w:hAnsi="Arial"/>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20-5093315</w:t>
      </w:r>
    </w:p>
    <w:p>
      <w:pPr>
        <w:spacing w:after="0" w:line="16" w:lineRule="exact"/>
        <w:rPr>
          <w:sz w:val="24"/>
          <w:szCs w:val="24"/>
          <w:color w:val="auto"/>
        </w:rPr>
      </w:pPr>
    </w:p>
    <w:p>
      <w:pPr>
        <w:jc w:val="center"/>
        <w:ind w:right="880"/>
        <w:spacing w:after="0"/>
        <w:rPr>
          <w:sz w:val="20"/>
          <w:szCs w:val="20"/>
          <w:color w:val="auto"/>
        </w:rPr>
      </w:pPr>
      <w:r>
        <w:rPr>
          <w:rFonts w:ascii="Arial" w:cs="Arial" w:eastAsia="Arial" w:hAnsi="Arial"/>
          <w:sz w:val="11"/>
          <w:szCs w:val="11"/>
          <w:i w:val="1"/>
          <w:iCs w:val="1"/>
          <w:color w:val="auto"/>
        </w:rPr>
        <w:t>(IRS Employer Identification Number)</w:t>
      </w:r>
    </w:p>
    <w:p>
      <w:pPr>
        <w:spacing w:after="0" w:line="177" w:lineRule="exact"/>
        <w:rPr>
          <w:sz w:val="24"/>
          <w:szCs w:val="24"/>
          <w:color w:val="auto"/>
        </w:rPr>
      </w:pPr>
    </w:p>
    <w:p>
      <w:pPr>
        <w:sectPr>
          <w:pgSz w:w="11900" w:h="16838" w:orient="portrait"/>
          <w:cols w:equalWidth="0" w:num="3">
            <w:col w:w="4222" w:space="720"/>
            <w:col w:w="2780" w:space="720"/>
            <w:col w:w="2840"/>
          </w:cols>
          <w:pgMar w:left="298" w:top="706" w:right="319" w:bottom="1440" w:gutter="0" w:footer="0" w:header="0"/>
          <w:type w:val="continuous"/>
        </w:sectPr>
      </w:pPr>
    </w:p>
    <w:p>
      <w:pPr>
        <w:ind w:left="5182"/>
        <w:spacing w:after="0"/>
        <w:rPr>
          <w:sz w:val="20"/>
          <w:szCs w:val="20"/>
          <w:color w:val="auto"/>
        </w:rPr>
      </w:pPr>
      <w:r>
        <w:rPr>
          <w:rFonts w:ascii="Arial" w:cs="Arial" w:eastAsia="Arial" w:hAnsi="Arial"/>
          <w:sz w:val="13"/>
          <w:szCs w:val="13"/>
          <w:b w:val="1"/>
          <w:bCs w:val="1"/>
          <w:color w:val="auto"/>
        </w:rPr>
        <w:t>343 Allerton Ave.</w:t>
      </w:r>
    </w:p>
    <w:p>
      <w:pPr>
        <w:spacing w:after="0" w:line="16" w:lineRule="exact"/>
        <w:rPr>
          <w:sz w:val="24"/>
          <w:szCs w:val="24"/>
          <w:color w:val="auto"/>
        </w:rPr>
      </w:pPr>
    </w:p>
    <w:p>
      <w:pPr>
        <w:ind w:left="4602"/>
        <w:spacing w:after="0"/>
        <w:rPr>
          <w:sz w:val="20"/>
          <w:szCs w:val="20"/>
          <w:color w:val="auto"/>
        </w:rPr>
      </w:pPr>
      <w:r>
        <w:rPr>
          <w:rFonts w:ascii="Arial" w:cs="Arial" w:eastAsia="Arial" w:hAnsi="Arial"/>
          <w:sz w:val="13"/>
          <w:szCs w:val="13"/>
          <w:b w:val="1"/>
          <w:bCs w:val="1"/>
          <w:color w:val="auto"/>
        </w:rPr>
        <w:t>South San Francisco, California 94090</w:t>
      </w:r>
    </w:p>
    <w:p>
      <w:pPr>
        <w:spacing w:after="0" w:line="7" w:lineRule="exact"/>
        <w:rPr>
          <w:sz w:val="24"/>
          <w:szCs w:val="24"/>
          <w:color w:val="auto"/>
        </w:rPr>
      </w:pPr>
    </w:p>
    <w:p>
      <w:pPr>
        <w:ind w:left="4662"/>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(650) 577-3600</w:t>
      </w:r>
    </w:p>
    <w:p>
      <w:pPr>
        <w:spacing w:after="0" w:line="16" w:lineRule="exact"/>
        <w:rPr>
          <w:sz w:val="24"/>
          <w:szCs w:val="24"/>
          <w:color w:val="auto"/>
        </w:rPr>
      </w:pPr>
    </w:p>
    <w:p>
      <w:pPr>
        <w:jc w:val="center"/>
        <w:ind w:right="-21"/>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Not Applicable</w:t>
      </w:r>
    </w:p>
    <w:p>
      <w:pPr>
        <w:spacing w:after="0" w:line="16" w:lineRule="exact"/>
        <w:rPr>
          <w:sz w:val="24"/>
          <w:szCs w:val="24"/>
          <w:color w:val="auto"/>
        </w:rPr>
      </w:pPr>
    </w:p>
    <w:p>
      <w:pPr>
        <w:jc w:val="center"/>
        <w:ind w:right="-41"/>
        <w:spacing w:after="0"/>
        <w:rPr>
          <w:sz w:val="20"/>
          <w:szCs w:val="20"/>
          <w:color w:val="auto"/>
        </w:rPr>
      </w:pPr>
      <w:r>
        <w:rPr>
          <w:rFonts w:ascii="Arial" w:cs="Arial" w:eastAsia="Arial" w:hAnsi="Arial"/>
          <w:sz w:val="11"/>
          <w:szCs w:val="11"/>
          <w:i w:val="1"/>
          <w:iCs w:val="1"/>
          <w:color w:val="auto"/>
        </w:rPr>
        <w:t>(Former name or former address, if changed since last report)</w:t>
      </w:r>
    </w:p>
    <w:p>
      <w:pPr>
        <w:sectPr>
          <w:pgSz w:w="11900" w:h="16838" w:orient="portrait"/>
          <w:cols w:equalWidth="0" w:num="1">
            <w:col w:w="11282"/>
          </w:cols>
          <w:pgMar w:left="298" w:top="706" w:right="319" w:bottom="1440" w:gutter="0" w:footer="0" w:header="0"/>
          <w:type w:val="continuous"/>
        </w:sectPr>
      </w:pPr>
    </w:p>
    <w:p>
      <w:pPr>
        <w:spacing w:after="0" w:line="289" w:lineRule="exact"/>
        <w:rPr>
          <w:sz w:val="24"/>
          <w:szCs w:val="24"/>
          <w:color w:val="auto"/>
        </w:rPr>
      </w:pPr>
    </w:p>
    <w:p>
      <w:pPr>
        <w:ind w:left="2"/>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 -12)</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 -2(b))</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 -4(c))</w:t>
      </w:r>
    </w:p>
    <w:p>
      <w:pPr>
        <w:spacing w:after="0" w:line="153" w:lineRule="exact"/>
        <w:rPr>
          <w:sz w:val="24"/>
          <w:szCs w:val="24"/>
          <w:color w:val="auto"/>
        </w:rPr>
      </w:pPr>
    </w:p>
    <w:tbl>
      <w:tblPr>
        <w:tblLayout w:type="fixed"/>
        <w:tblInd w:w="2"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34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313"/>
        </w:trPr>
        <w:tc>
          <w:tcPr>
            <w:tcW w:w="680" w:type="dxa"/>
            <w:vAlign w:val="bottom"/>
          </w:tcPr>
          <w:p>
            <w:pPr>
              <w:spacing w:after="0"/>
              <w:rPr>
                <w:sz w:val="24"/>
                <w:szCs w:val="24"/>
                <w:color w:val="auto"/>
              </w:rPr>
            </w:pPr>
          </w:p>
        </w:tc>
        <w:tc>
          <w:tcPr>
            <w:tcW w:w="338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w w:val="88"/>
              </w:rPr>
              <w:t>Title of each class</w:t>
            </w:r>
          </w:p>
        </w:tc>
        <w:tc>
          <w:tcPr>
            <w:tcW w:w="234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color w:val="auto"/>
                <w:w w:val="90"/>
              </w:rPr>
              <w:t>Trading Symbol(s)</w:t>
            </w:r>
          </w:p>
        </w:tc>
        <w:tc>
          <w:tcPr>
            <w:tcW w:w="422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color w:val="auto"/>
                <w:w w:val="87"/>
              </w:rPr>
              <w:t>Name of each exchange on which registered</w:t>
            </w:r>
          </w:p>
        </w:tc>
      </w:tr>
      <w:tr>
        <w:trPr>
          <w:trHeight w:val="151"/>
        </w:trPr>
        <w:tc>
          <w:tcPr>
            <w:tcW w:w="680" w:type="dxa"/>
            <w:vAlign w:val="bottom"/>
          </w:tcPr>
          <w:p>
            <w:pPr>
              <w:spacing w:after="0"/>
              <w:rPr>
                <w:sz w:val="13"/>
                <w:szCs w:val="13"/>
                <w:color w:val="auto"/>
              </w:rPr>
            </w:pPr>
          </w:p>
        </w:tc>
        <w:tc>
          <w:tcPr>
            <w:tcW w:w="3380" w:type="dxa"/>
            <w:vAlign w:val="bottom"/>
          </w:tcPr>
          <w:p>
            <w:pPr>
              <w:jc w:val="center"/>
              <w:ind w:left="37"/>
              <w:spacing w:after="0"/>
              <w:rPr>
                <w:sz w:val="20"/>
                <w:szCs w:val="20"/>
                <w:color w:val="auto"/>
              </w:rPr>
            </w:pPr>
            <w:r>
              <w:rPr>
                <w:rFonts w:ascii="Arial" w:cs="Arial" w:eastAsia="Arial" w:hAnsi="Arial"/>
                <w:sz w:val="13"/>
                <w:szCs w:val="13"/>
                <w:color w:val="auto"/>
                <w:w w:val="87"/>
              </w:rPr>
              <w:t>Common Stock, par value $0.001 per share</w:t>
            </w:r>
          </w:p>
        </w:tc>
        <w:tc>
          <w:tcPr>
            <w:tcW w:w="2340" w:type="dxa"/>
            <w:vAlign w:val="bottom"/>
          </w:tcPr>
          <w:p>
            <w:pPr>
              <w:jc w:val="center"/>
              <w:ind w:right="197"/>
              <w:spacing w:after="0"/>
              <w:rPr>
                <w:sz w:val="20"/>
                <w:szCs w:val="20"/>
                <w:color w:val="auto"/>
              </w:rPr>
            </w:pPr>
            <w:r>
              <w:rPr>
                <w:rFonts w:ascii="Arial" w:cs="Arial" w:eastAsia="Arial" w:hAnsi="Arial"/>
                <w:sz w:val="13"/>
                <w:szCs w:val="13"/>
                <w:color w:val="auto"/>
                <w:w w:val="99"/>
              </w:rPr>
              <w:t>VTGN</w:t>
            </w:r>
          </w:p>
        </w:tc>
        <w:tc>
          <w:tcPr>
            <w:tcW w:w="4220" w:type="dxa"/>
            <w:vAlign w:val="bottom"/>
          </w:tcPr>
          <w:p>
            <w:pPr>
              <w:jc w:val="center"/>
              <w:ind w:right="297"/>
              <w:spacing w:after="0"/>
              <w:rPr>
                <w:sz w:val="20"/>
                <w:szCs w:val="20"/>
                <w:color w:val="auto"/>
              </w:rPr>
            </w:pPr>
            <w:r>
              <w:rPr>
                <w:rFonts w:ascii="Arial" w:cs="Arial" w:eastAsia="Arial" w:hAnsi="Arial"/>
                <w:sz w:val="13"/>
                <w:szCs w:val="13"/>
                <w:color w:val="auto"/>
                <w:w w:val="89"/>
              </w:rPr>
              <w:t>Nasdaq Capital Market</w:t>
            </w:r>
          </w:p>
        </w:tc>
      </w:tr>
    </w:tbl>
    <w:p>
      <w:pPr>
        <w:spacing w:after="0" w:line="146" w:lineRule="exact"/>
        <w:rPr>
          <w:sz w:val="24"/>
          <w:szCs w:val="24"/>
          <w:color w:val="auto"/>
        </w:rPr>
      </w:pPr>
    </w:p>
    <w:p>
      <w:pPr>
        <w:ind w:left="2"/>
        <w:spacing w:after="0" w:line="269"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09" w:lineRule="exact"/>
        <w:rPr>
          <w:sz w:val="24"/>
          <w:szCs w:val="24"/>
          <w:color w:val="auto"/>
        </w:rPr>
      </w:pPr>
    </w:p>
    <w:p>
      <w:pPr>
        <w:ind w:left="9702"/>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11" w:lineRule="exact"/>
        <w:rPr>
          <w:sz w:val="24"/>
          <w:szCs w:val="24"/>
          <w:color w:val="auto"/>
        </w:rPr>
      </w:pPr>
    </w:p>
    <w:p>
      <w:pPr>
        <w:ind w:left="2"/>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170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246380</wp:posOffset>
            </wp:positionV>
            <wp:extent cx="71704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506730</wp:posOffset>
            </wp:positionV>
            <wp:extent cx="717042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2"/>
          </w:cols>
          <w:pgMar w:left="298" w:top="706"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On June 14, 2021, VistaGen Therapeutics, Inc. (the “</w:t>
      </w:r>
      <w:r>
        <w:rPr>
          <w:rFonts w:ascii="Arial" w:cs="Arial" w:eastAsia="Arial" w:hAnsi="Arial"/>
          <w:sz w:val="12"/>
          <w:szCs w:val="12"/>
          <w:i w:val="1"/>
          <w:iCs w:val="1"/>
          <w:color w:val="auto"/>
        </w:rPr>
        <w:t>Company</w:t>
      </w:r>
      <w:r>
        <w:rPr>
          <w:rFonts w:ascii="Arial" w:cs="Arial" w:eastAsia="Arial" w:hAnsi="Arial"/>
          <w:sz w:val="12"/>
          <w:szCs w:val="12"/>
          <w:color w:val="auto"/>
        </w:rPr>
        <w:t>”) began utilizing a new corporate presentation, a copy of which is attached to this Current Report on Form 8-K as Exhibit 99.1.</w:t>
      </w:r>
    </w:p>
    <w:p>
      <w:pPr>
        <w:spacing w:after="0" w:line="175" w:lineRule="exact"/>
        <w:rPr>
          <w:sz w:val="20"/>
          <w:szCs w:val="20"/>
          <w:color w:val="auto"/>
        </w:rPr>
      </w:pPr>
    </w:p>
    <w:p>
      <w:pPr>
        <w:jc w:val="both"/>
        <w:ind w:right="40" w:firstLine="469"/>
        <w:spacing w:after="0" w:line="260" w:lineRule="auto"/>
        <w:rPr>
          <w:sz w:val="20"/>
          <w:szCs w:val="20"/>
          <w:color w:val="auto"/>
        </w:rPr>
      </w:pPr>
      <w:r>
        <w:rPr>
          <w:rFonts w:ascii="Arial" w:cs="Arial" w:eastAsia="Arial" w:hAnsi="Arial"/>
          <w:sz w:val="13"/>
          <w:szCs w:val="13"/>
          <w:color w:val="auto"/>
        </w:rPr>
        <w:t>The information in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3"/>
          <w:szCs w:val="13"/>
          <w:i w:val="1"/>
          <w:iCs w:val="1"/>
          <w:color w:val="auto"/>
        </w:rPr>
        <w:t>Exchange Act</w:t>
      </w:r>
      <w:r>
        <w:rPr>
          <w:rFonts w:ascii="Arial" w:cs="Arial" w:eastAsia="Arial" w:hAnsi="Arial"/>
          <w:sz w:val="13"/>
          <w:szCs w:val="13"/>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r>
        <w:rPr>
          <w:rFonts w:ascii="Arial" w:cs="Arial" w:eastAsia="Arial" w:hAnsi="Arial"/>
          <w:sz w:val="13"/>
          <w:szCs w:val="13"/>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(d) Exhibits Index</w:t>
            </w:r>
          </w:p>
        </w:tc>
        <w:tc>
          <w:tcPr>
            <w:tcW w:w="220" w:type="dxa"/>
            <w:vAlign w:val="bottom"/>
          </w:tcPr>
          <w:p>
            <w:pPr>
              <w:spacing w:after="0"/>
              <w:rPr>
                <w:sz w:val="14"/>
                <w:szCs w:val="14"/>
                <w:color w:val="auto"/>
              </w:rPr>
            </w:pPr>
          </w:p>
        </w:tc>
        <w:tc>
          <w:tcPr>
            <w:tcW w:w="9920" w:type="dxa"/>
            <w:vAlign w:val="bottom"/>
          </w:tcPr>
          <w:p>
            <w:pPr>
              <w:spacing w:after="0"/>
              <w:rPr>
                <w:sz w:val="14"/>
                <w:szCs w:val="14"/>
                <w:color w:val="auto"/>
              </w:rPr>
            </w:pPr>
          </w:p>
        </w:tc>
      </w:tr>
      <w:tr>
        <w:trPr>
          <w:trHeight w:val="313"/>
        </w:trPr>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Exhibit No.</w:t>
            </w:r>
          </w:p>
        </w:tc>
        <w:tc>
          <w:tcPr>
            <w:tcW w:w="220" w:type="dxa"/>
            <w:vAlign w:val="bottom"/>
          </w:tcPr>
          <w:p>
            <w:pPr>
              <w:spacing w:after="0"/>
              <w:rPr>
                <w:sz w:val="24"/>
                <w:szCs w:val="24"/>
                <w:color w:val="auto"/>
              </w:rPr>
            </w:pPr>
          </w:p>
        </w:tc>
        <w:tc>
          <w:tcPr>
            <w:tcW w:w="9920" w:type="dxa"/>
            <w:vAlign w:val="bottom"/>
            <w:tcBorders>
              <w:bottom w:val="single" w:sz="8" w:color="auto"/>
            </w:tcBorders>
          </w:tcPr>
          <w:p>
            <w:pPr>
              <w:ind w:left="4640"/>
              <w:spacing w:after="0"/>
              <w:rPr>
                <w:sz w:val="20"/>
                <w:szCs w:val="20"/>
                <w:color w:val="auto"/>
              </w:rPr>
            </w:pPr>
            <w:r>
              <w:rPr>
                <w:rFonts w:ascii="Arial" w:cs="Arial" w:eastAsia="Arial" w:hAnsi="Arial"/>
                <w:sz w:val="13"/>
                <w:szCs w:val="13"/>
                <w:b w:val="1"/>
                <w:bCs w:val="1"/>
                <w:color w:val="auto"/>
              </w:rPr>
              <w:t>Description</w:t>
            </w:r>
          </w:p>
        </w:tc>
      </w:tr>
      <w:tr>
        <w:trPr>
          <w:trHeight w:val="156"/>
        </w:trPr>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920" w:type="dxa"/>
            <w:vAlign w:val="bottom"/>
          </w:tcPr>
          <w:p>
            <w:pPr>
              <w:spacing w:after="0"/>
              <w:rPr>
                <w:sz w:val="13"/>
                <w:szCs w:val="13"/>
                <w:color w:val="auto"/>
              </w:rPr>
            </w:pPr>
          </w:p>
        </w:tc>
      </w:tr>
      <w:tr>
        <w:trPr>
          <w:trHeight w:val="136"/>
        </w:trPr>
        <w:tc>
          <w:tcPr>
            <w:tcW w:w="1140" w:type="dxa"/>
            <w:vAlign w:val="bottom"/>
            <w:gridSpan w:val="3"/>
            <w:shd w:val="clear" w:color="auto" w:fill="CCEEFF"/>
          </w:tcPr>
          <w:p>
            <w:pPr>
              <w:jc w:val="center"/>
              <w:ind w:right="440"/>
              <w:spacing w:after="0" w:line="127" w:lineRule="exact"/>
              <w:rPr>
                <w:rFonts w:ascii="Arial" w:cs="Arial" w:eastAsia="Arial" w:hAnsi="Arial"/>
                <w:sz w:val="13"/>
                <w:szCs w:val="13"/>
                <w:color w:val="0000EE"/>
              </w:rPr>
            </w:pPr>
            <w:hyperlink w:anchor="page5">
              <w:r>
                <w:rPr>
                  <w:rFonts w:ascii="Arial" w:cs="Arial" w:eastAsia="Arial" w:hAnsi="Arial"/>
                  <w:sz w:val="13"/>
                  <w:szCs w:val="13"/>
                  <w:color w:val="0000EE"/>
                </w:rPr>
                <w:t>99.</w:t>
              </w:r>
              <w:r>
                <w:rPr>
                  <w:rFonts w:ascii="Arial" w:cs="Arial" w:eastAsia="Arial" w:hAnsi="Arial"/>
                  <w:sz w:val="13"/>
                  <w:szCs w:val="13"/>
                  <w:u w:val="single" w:color="auto"/>
                  <w:color w:val="0000EE"/>
                </w:rPr>
                <w:t>1</w:t>
              </w:r>
            </w:hyperlink>
          </w:p>
        </w:tc>
        <w:tc>
          <w:tcPr>
            <w:tcW w:w="10140" w:type="dxa"/>
            <w:vAlign w:val="bottom"/>
            <w:gridSpan w:val="2"/>
            <w:shd w:val="clear" w:color="auto" w:fill="CCEEFF"/>
          </w:tcPr>
          <w:p>
            <w:pPr>
              <w:ind w:left="220"/>
              <w:spacing w:after="0" w:line="127" w:lineRule="exact"/>
              <w:rPr>
                <w:sz w:val="20"/>
                <w:szCs w:val="20"/>
                <w:color w:val="auto"/>
              </w:rPr>
            </w:pPr>
            <w:r>
              <w:rPr>
                <w:rFonts w:ascii="Arial" w:cs="Arial" w:eastAsia="Arial" w:hAnsi="Arial"/>
                <w:sz w:val="13"/>
                <w:szCs w:val="13"/>
                <w:color w:val="auto"/>
              </w:rPr>
              <w:t>VistaGen Therapeutics, Inc. Corporate Presentation, dated June 2021.</w:t>
            </w:r>
          </w:p>
        </w:tc>
      </w:tr>
      <w:tr>
        <w:trPr>
          <w:trHeight w:val="938"/>
        </w:trPr>
        <w:tc>
          <w:tcPr>
            <w:tcW w:w="4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80"/>
          </w:cols>
          <w:pgMar w:left="300" w:top="598" w:right="319" w:bottom="1440" w:gutter="0" w:footer="0" w:header="0"/>
        </w:sectPr>
      </w:pPr>
    </w:p>
    <w:bookmarkStart w:id="2" w:name="page3"/>
    <w:bookmarkEnd w:id="2"/>
    <w:p>
      <w:pPr>
        <w:ind w:left="5580"/>
        <w:spacing w:after="0"/>
        <w:rPr>
          <w:sz w:val="20"/>
          <w:szCs w:val="20"/>
          <w:color w:val="auto"/>
        </w:rPr>
      </w:pPr>
      <w:r>
        <w:rPr>
          <w:rFonts w:ascii="Arial" w:cs="Arial" w:eastAsia="Arial" w:hAnsi="Arial"/>
          <w:sz w:val="13"/>
          <w:szCs w:val="13"/>
          <w:b w:val="1"/>
          <w:bCs w:val="1"/>
          <w:color w:val="auto"/>
        </w:rPr>
        <w:t>Signatures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VistaGen Therapeutics, Inc.</w:t>
      </w:r>
    </w:p>
    <w:p>
      <w:pPr>
        <w:spacing w:after="0" w:line="163"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3"/>
          <w:szCs w:val="13"/>
          <w:color w:val="auto"/>
        </w:rPr>
        <w:t>Date: June 14, 2021</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8255</wp:posOffset>
            </wp:positionV>
            <wp:extent cx="322516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25165" cy="12700"/>
                    </a:xfrm>
                    <a:prstGeom prst="rect">
                      <a:avLst/>
                    </a:prstGeom>
                    <a:noFill/>
                  </pic:spPr>
                </pic:pic>
              </a:graphicData>
            </a:graphic>
          </wp:anchor>
        </w:drawing>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Shawn K. Singh</w:t>
      </w:r>
    </w:p>
    <w:p>
      <w:pPr>
        <w:spacing w:after="0" w:line="12" w:lineRule="exact"/>
        <w:rPr>
          <w:sz w:val="20"/>
          <w:szCs w:val="20"/>
          <w:color w:val="auto"/>
        </w:rPr>
      </w:pPr>
    </w:p>
    <w:p>
      <w:pPr>
        <w:ind w:left="620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401955</wp:posOffset>
            </wp:positionV>
            <wp:extent cx="717042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EXHIBIT INDEX</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Exhibit No.</w:t>
            </w:r>
          </w:p>
        </w:tc>
        <w:tc>
          <w:tcPr>
            <w:tcW w:w="10140" w:type="dxa"/>
            <w:vAlign w:val="bottom"/>
            <w:gridSpan w:val="2"/>
          </w:tcPr>
          <w:p>
            <w:pPr>
              <w:ind w:left="220"/>
              <w:spacing w:after="0"/>
              <w:rPr>
                <w:sz w:val="20"/>
                <w:szCs w:val="20"/>
                <w:color w:val="auto"/>
              </w:rPr>
            </w:pPr>
            <w:r>
              <w:rPr>
                <w:rFonts w:ascii="Arial" w:cs="Arial" w:eastAsia="Arial" w:hAnsi="Arial"/>
                <w:sz w:val="13"/>
                <w:szCs w:val="13"/>
                <w:b w:val="1"/>
                <w:bCs w:val="1"/>
                <w:color w:val="auto"/>
              </w:rPr>
              <w:t>Description</w:t>
            </w:r>
          </w:p>
        </w:tc>
      </w:tr>
      <w:tr>
        <w:trPr>
          <w:trHeight w:val="156"/>
        </w:trPr>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920" w:type="dxa"/>
            <w:vAlign w:val="bottom"/>
            <w:tcBorders>
              <w:top w:val="single" w:sz="8" w:color="auto"/>
            </w:tcBorders>
          </w:tcPr>
          <w:p>
            <w:pPr>
              <w:spacing w:after="0"/>
              <w:rPr>
                <w:sz w:val="13"/>
                <w:szCs w:val="13"/>
                <w:color w:val="auto"/>
              </w:rPr>
            </w:pPr>
          </w:p>
        </w:tc>
      </w:tr>
      <w:tr>
        <w:trPr>
          <w:trHeight w:val="136"/>
        </w:trPr>
        <w:tc>
          <w:tcPr>
            <w:tcW w:w="1140" w:type="dxa"/>
            <w:vAlign w:val="bottom"/>
            <w:gridSpan w:val="3"/>
            <w:shd w:val="clear" w:color="auto" w:fill="CCEEFF"/>
          </w:tcPr>
          <w:p>
            <w:pPr>
              <w:jc w:val="center"/>
              <w:ind w:right="440"/>
              <w:spacing w:after="0" w:line="127" w:lineRule="exact"/>
              <w:rPr>
                <w:rFonts w:ascii="Arial" w:cs="Arial" w:eastAsia="Arial" w:hAnsi="Arial"/>
                <w:sz w:val="13"/>
                <w:szCs w:val="13"/>
                <w:color w:val="0000EE"/>
              </w:rPr>
            </w:pPr>
            <w:hyperlink w:anchor="page5">
              <w:r>
                <w:rPr>
                  <w:rFonts w:ascii="Arial" w:cs="Arial" w:eastAsia="Arial" w:hAnsi="Arial"/>
                  <w:sz w:val="13"/>
                  <w:szCs w:val="13"/>
                  <w:color w:val="0000EE"/>
                </w:rPr>
                <w:t>99.</w:t>
              </w:r>
              <w:r>
                <w:rPr>
                  <w:rFonts w:ascii="Arial" w:cs="Arial" w:eastAsia="Arial" w:hAnsi="Arial"/>
                  <w:sz w:val="13"/>
                  <w:szCs w:val="13"/>
                  <w:u w:val="single" w:color="auto"/>
                  <w:color w:val="0000EE"/>
                </w:rPr>
                <w:t>1</w:t>
              </w:r>
            </w:hyperlink>
          </w:p>
        </w:tc>
        <w:tc>
          <w:tcPr>
            <w:tcW w:w="10140" w:type="dxa"/>
            <w:vAlign w:val="bottom"/>
            <w:gridSpan w:val="2"/>
            <w:shd w:val="clear" w:color="auto" w:fill="CCEEFF"/>
          </w:tcPr>
          <w:p>
            <w:pPr>
              <w:ind w:left="220"/>
              <w:spacing w:after="0" w:line="127" w:lineRule="exact"/>
              <w:rPr>
                <w:sz w:val="20"/>
                <w:szCs w:val="20"/>
                <w:color w:val="auto"/>
              </w:rPr>
            </w:pPr>
            <w:r>
              <w:rPr>
                <w:rFonts w:ascii="Arial" w:cs="Arial" w:eastAsia="Arial" w:hAnsi="Arial"/>
                <w:sz w:val="13"/>
                <w:szCs w:val="13"/>
                <w:color w:val="auto"/>
              </w:rPr>
              <w:t>VistaGen Therapeutics, Inc. Corporate Presentation, dated June 2021.</w:t>
            </w:r>
          </w:p>
        </w:tc>
      </w:tr>
      <w:tr>
        <w:trPr>
          <w:trHeight w:val="781"/>
        </w:trPr>
        <w:tc>
          <w:tcPr>
            <w:tcW w:w="4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80"/>
          </w:cols>
          <w:pgMar w:left="300" w:top="442" w:right="319" w:bottom="1440" w:gutter="0" w:footer="0" w:header="0"/>
        </w:sectPr>
      </w:pPr>
    </w:p>
    <w:bookmarkStart w:id="4" w:name="page5"/>
    <w:bookmarkEnd w:id="4"/>
    <w:p>
      <w:pPr>
        <w:ind w:left="950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25400</wp:posOffset>
            </wp:positionV>
            <wp:extent cx="7214870" cy="5669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0" w:num="1">
            <w:col w:w="10160"/>
          </w:cols>
          <w:pgMar w:left="1440" w:top="247"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2021-06-15T05:37:03Z</dcterms:created>
  <dcterms:modified xsi:type="dcterms:W3CDTF">2021-06-15T05:37:03Z</dcterms:modified>
</cp:coreProperties>
</file>