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(RULE 13d - 102)</w:t>
      </w:r>
    </w:p>
    <w:p>
      <w:pPr>
        <w:spacing w:after="0" w:line="234"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13d-1(b), (c) AND (d) AND AMENDMENTS THERETO FILED PURSUANT TO 13d-2(b)</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$0.001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92840H103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ind w:left="5560" w:hanging="701"/>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52"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7"/>
          <w:szCs w:val="17"/>
          <w:i w:val="1"/>
          <w:iCs w:val="1"/>
          <w:color w:val="auto"/>
        </w:rPr>
        <w:t>see the Notes</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left="1060" w:hanging="1052"/>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60" w:hanging="105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40" w:hanging="379"/>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60" w:hanging="399"/>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10" w:lineRule="exact"/>
        <w:rPr>
          <w:rFonts w:ascii="Arial" w:cs="Arial" w:eastAsia="Arial" w:hAnsi="Arial"/>
          <w:sz w:val="18"/>
          <w:szCs w:val="18"/>
          <w:color w:val="auto"/>
        </w:rPr>
      </w:pPr>
    </w:p>
    <w:p>
      <w:pPr>
        <w:ind w:left="1060" w:hanging="105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60" w:hanging="105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2040" w:right="729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2040" w:right="7019" w:hanging="2032"/>
        <w:spacing w:after="0" w:line="530" w:lineRule="auto"/>
        <w:tabs>
          <w:tab w:leader="none" w:pos="106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77,000</w:t>
      </w:r>
    </w:p>
    <w:p>
      <w:pPr>
        <w:ind w:left="2040" w:right="689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jc w:val="center"/>
        <w:ind w:left="2040" w:right="661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77,000</w:t>
      </w:r>
    </w:p>
    <w:p>
      <w:pPr>
        <w:ind w:left="2040" w:right="2599" w:hanging="2032"/>
        <w:spacing w:after="0" w:line="501" w:lineRule="auto"/>
        <w:tabs>
          <w:tab w:leader="none" w:pos="10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77,000 shares of Common Stock. See Item 4.</w:t>
      </w:r>
    </w:p>
    <w:p>
      <w:pPr>
        <w:ind w:left="1060" w:hanging="105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00" w:lineRule="exact"/>
        <w:rPr>
          <w:sz w:val="20"/>
          <w:szCs w:val="20"/>
          <w:color w:val="auto"/>
        </w:rPr>
      </w:pPr>
    </w:p>
    <w:p>
      <w:pPr>
        <w:spacing w:after="0" w:line="241" w:lineRule="exact"/>
        <w:rPr>
          <w:sz w:val="20"/>
          <w:szCs w:val="20"/>
          <w:color w:val="auto"/>
        </w:rPr>
      </w:pPr>
    </w:p>
    <w:p>
      <w:pPr>
        <w:ind w:left="2040" w:right="4099" w:hanging="2032"/>
        <w:spacing w:after="0" w:line="501" w:lineRule="auto"/>
        <w:tabs>
          <w:tab w:leader="none" w:pos="1068"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9.99% (1)</w:t>
      </w:r>
    </w:p>
    <w:p>
      <w:pPr>
        <w:ind w:left="1060" w:hanging="105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 Calculated in accordance with the Ownership Limitation.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2" w:name="page3"/>
    <w:bookmarkEnd w:id="2"/>
    <w:p>
      <w:pPr>
        <w:ind w:left="1060" w:hanging="105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Platinum Management (NY) LLC</w:t>
      </w:r>
    </w:p>
    <w:p>
      <w:pPr>
        <w:spacing w:after="0" w:line="225" w:lineRule="exact"/>
        <w:rPr>
          <w:sz w:val="20"/>
          <w:szCs w:val="20"/>
          <w:color w:val="auto"/>
        </w:rPr>
      </w:pPr>
    </w:p>
    <w:p>
      <w:pPr>
        <w:ind w:left="1060" w:hanging="105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40" w:hanging="379"/>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60" w:hanging="399"/>
        <w:spacing w:after="0"/>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10" w:lineRule="exact"/>
        <w:rPr>
          <w:rFonts w:ascii="Arial" w:cs="Arial" w:eastAsia="Arial" w:hAnsi="Arial"/>
          <w:sz w:val="18"/>
          <w:szCs w:val="18"/>
          <w:color w:val="auto"/>
        </w:rPr>
      </w:pPr>
    </w:p>
    <w:p>
      <w:pPr>
        <w:ind w:left="1060" w:hanging="105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60" w:hanging="105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2040" w:right="729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2040" w:right="7019" w:hanging="2032"/>
        <w:spacing w:after="0" w:line="530" w:lineRule="auto"/>
        <w:tabs>
          <w:tab w:leader="none" w:pos="1068"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77,000</w:t>
      </w:r>
    </w:p>
    <w:p>
      <w:pPr>
        <w:ind w:left="2040" w:right="689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jc w:val="center"/>
        <w:ind w:left="2040" w:right="661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77,000</w:t>
      </w:r>
    </w:p>
    <w:p>
      <w:pPr>
        <w:ind w:left="2040" w:right="2599" w:hanging="2032"/>
        <w:spacing w:after="0" w:line="501"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77,000 shares of Common Stock. See Item 4.</w:t>
      </w:r>
    </w:p>
    <w:p>
      <w:pPr>
        <w:ind w:left="1060" w:hanging="105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60"/>
        <w:spacing w:after="0"/>
        <w:tabs>
          <w:tab w:leader="none" w:pos="3700" w:val="left"/>
        </w:tabs>
        <w:rPr>
          <w:sz w:val="20"/>
          <w:szCs w:val="20"/>
          <w:color w:val="auto"/>
        </w:rPr>
      </w:pPr>
      <w:r>
        <w:rPr>
          <w:rFonts w:ascii="Arial" w:cs="Arial" w:eastAsia="Arial" w:hAnsi="Arial"/>
          <w:sz w:val="18"/>
          <w:szCs w:val="18"/>
          <w:color w:val="auto"/>
        </w:rPr>
        <w:t>EXCLUDES CERTAIN SHARES</w:t>
      </w:r>
      <w:r>
        <w:rPr>
          <w:sz w:val="20"/>
          <w:szCs w:val="20"/>
          <w:color w:val="auto"/>
        </w:rPr>
        <w:tab/>
      </w:r>
      <w:r>
        <w:rPr>
          <w:rFonts w:ascii="Arial" w:cs="Arial" w:eastAsia="Arial" w:hAnsi="Arial"/>
          <w:sz w:val="16"/>
          <w:szCs w:val="16"/>
          <w:color w:val="auto"/>
        </w:rPr>
        <w:t>[X] See Item 4.</w:t>
      </w:r>
    </w:p>
    <w:p>
      <w:pPr>
        <w:spacing w:after="0" w:line="211" w:lineRule="exact"/>
        <w:rPr>
          <w:sz w:val="20"/>
          <w:szCs w:val="20"/>
          <w:color w:val="auto"/>
        </w:rPr>
      </w:pPr>
    </w:p>
    <w:p>
      <w:pPr>
        <w:ind w:left="2040" w:right="4099" w:hanging="2032"/>
        <w:spacing w:after="0" w:line="501" w:lineRule="auto"/>
        <w:tabs>
          <w:tab w:leader="none" w:pos="106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9.99% (1)</w:t>
      </w:r>
    </w:p>
    <w:p>
      <w:pPr>
        <w:ind w:left="1060" w:hanging="1052"/>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 Calculated in accordance with the Ownership Limitation.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3" w:name="page4"/>
    <w:bookmarkEnd w:id="3"/>
    <w:p>
      <w:pPr>
        <w:spacing w:after="0" w:line="50" w:lineRule="exact"/>
        <w:rPr>
          <w:sz w:val="20"/>
          <w:szCs w:val="20"/>
          <w:color w:val="auto"/>
        </w:rPr>
      </w:pPr>
    </w:p>
    <w:p>
      <w:pPr>
        <w:ind w:left="1060" w:hanging="1052"/>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Mark Nordlicht</w:t>
      </w:r>
    </w:p>
    <w:p>
      <w:pPr>
        <w:spacing w:after="0" w:line="225" w:lineRule="exact"/>
        <w:rPr>
          <w:sz w:val="20"/>
          <w:szCs w:val="20"/>
          <w:color w:val="auto"/>
        </w:rPr>
      </w:pPr>
    </w:p>
    <w:p>
      <w:pPr>
        <w:ind w:left="1060" w:hanging="105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40" w:hanging="379"/>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60" w:hanging="399"/>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10" w:lineRule="exact"/>
        <w:rPr>
          <w:rFonts w:ascii="Arial" w:cs="Arial" w:eastAsia="Arial" w:hAnsi="Arial"/>
          <w:sz w:val="18"/>
          <w:szCs w:val="18"/>
          <w:color w:val="auto"/>
        </w:rPr>
      </w:pPr>
    </w:p>
    <w:p>
      <w:pPr>
        <w:ind w:left="1060" w:hanging="105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60" w:hanging="105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2040" w:right="729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2040" w:right="7019" w:hanging="2032"/>
        <w:spacing w:after="0" w:line="530" w:lineRule="auto"/>
        <w:tabs>
          <w:tab w:leader="none" w:pos="10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77,000</w:t>
      </w:r>
    </w:p>
    <w:p>
      <w:pPr>
        <w:ind w:left="2040" w:right="689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jc w:val="center"/>
        <w:ind w:left="2040" w:right="661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77,000</w:t>
      </w:r>
    </w:p>
    <w:p>
      <w:pPr>
        <w:ind w:left="2040" w:right="2599" w:hanging="2032"/>
        <w:spacing w:after="0" w:line="501" w:lineRule="auto"/>
        <w:tabs>
          <w:tab w:leader="none" w:pos="10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77,000 shares of Common Stock. See Item 4.</w:t>
      </w:r>
    </w:p>
    <w:p>
      <w:pPr>
        <w:ind w:left="1060" w:hanging="105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60"/>
        <w:spacing w:after="0"/>
        <w:tabs>
          <w:tab w:leader="none" w:pos="3700" w:val="left"/>
        </w:tabs>
        <w:rPr>
          <w:sz w:val="20"/>
          <w:szCs w:val="20"/>
          <w:color w:val="auto"/>
        </w:rPr>
      </w:pPr>
      <w:r>
        <w:rPr>
          <w:rFonts w:ascii="Arial" w:cs="Arial" w:eastAsia="Arial" w:hAnsi="Arial"/>
          <w:sz w:val="18"/>
          <w:szCs w:val="18"/>
          <w:color w:val="auto"/>
        </w:rPr>
        <w:t>EXCLUDES CERTAIN SHARES</w:t>
      </w:r>
      <w:r>
        <w:rPr>
          <w:sz w:val="20"/>
          <w:szCs w:val="20"/>
          <w:color w:val="auto"/>
        </w:rPr>
        <w:tab/>
      </w:r>
      <w:r>
        <w:rPr>
          <w:rFonts w:ascii="Arial" w:cs="Arial" w:eastAsia="Arial" w:hAnsi="Arial"/>
          <w:sz w:val="16"/>
          <w:szCs w:val="16"/>
          <w:color w:val="auto"/>
        </w:rPr>
        <w:t>[X] See Item 4.</w:t>
      </w:r>
    </w:p>
    <w:p>
      <w:pPr>
        <w:spacing w:after="0" w:line="211" w:lineRule="exact"/>
        <w:rPr>
          <w:sz w:val="20"/>
          <w:szCs w:val="20"/>
          <w:color w:val="auto"/>
        </w:rPr>
      </w:pPr>
    </w:p>
    <w:p>
      <w:pPr>
        <w:ind w:left="2040" w:right="4099" w:hanging="2032"/>
        <w:spacing w:after="0" w:line="501" w:lineRule="auto"/>
        <w:tabs>
          <w:tab w:leader="none" w:pos="10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9.99% (1)</w:t>
      </w:r>
    </w:p>
    <w:p>
      <w:pPr>
        <w:ind w:left="1060" w:hanging="105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 Calculated in accordance with the Ownership Limitation.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 (“Issuer”)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Long Term Growth VII,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Management (NY)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 Nordlicht</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250 West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New York, NY 10019</w:t>
      </w: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Long Term Growth VII, LLC – Delaware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Platinum Management (NY) LLC – Delaware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 Nordlicht – United States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(the “Common Stock”)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92840H103</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56" w:lineRule="exact"/>
        <w:rPr>
          <w:sz w:val="20"/>
          <w:szCs w:val="20"/>
          <w:color w:val="auto"/>
        </w:rPr>
      </w:pPr>
    </w:p>
    <w:p>
      <w:pPr>
        <w:ind w:left="1000" w:hanging="38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00" w:hanging="38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00" w:hanging="389"/>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225" w:lineRule="exact"/>
        <w:rPr>
          <w:rFonts w:ascii="Arial" w:cs="Arial" w:eastAsia="Arial" w:hAnsi="Arial"/>
          <w:sz w:val="18"/>
          <w:szCs w:val="18"/>
          <w:color w:val="auto"/>
        </w:rPr>
      </w:pPr>
    </w:p>
    <w:p>
      <w:pPr>
        <w:ind w:left="1000" w:hanging="38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225" w:lineRule="exact"/>
        <w:rPr>
          <w:rFonts w:ascii="Arial" w:cs="Arial" w:eastAsia="Arial" w:hAnsi="Arial"/>
          <w:sz w:val="18"/>
          <w:szCs w:val="18"/>
          <w:color w:val="auto"/>
        </w:rPr>
      </w:pPr>
    </w:p>
    <w:p>
      <w:pPr>
        <w:ind w:left="1000" w:hanging="395"/>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Savings association as defined in Section 3(b) of the Federal Deposit Insurance Act.</w:t>
      </w:r>
    </w:p>
    <w:p>
      <w:pPr>
        <w:spacing w:after="0" w:line="225" w:lineRule="exact"/>
        <w:rPr>
          <w:sz w:val="20"/>
          <w:szCs w:val="20"/>
          <w:color w:val="auto"/>
        </w:rPr>
      </w:pPr>
    </w:p>
    <w:p>
      <w:pPr>
        <w:ind w:left="1000" w:hanging="375"/>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00" w:hanging="375"/>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225" w:lineRule="exact"/>
        <w:rPr>
          <w:sz w:val="20"/>
          <w:szCs w:val="20"/>
          <w:color w:val="auto"/>
        </w:rPr>
      </w:pPr>
    </w:p>
    <w:p>
      <w:pPr>
        <w:ind w:left="1420" w:hanging="815"/>
        <w:spacing w:after="0" w:line="277" w:lineRule="auto"/>
        <w:tabs>
          <w:tab w:leader="none" w:pos="10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 w:name="page6"/>
    <w:bookmarkEnd w:id="5"/>
    <w:p>
      <w:pPr>
        <w:spacing w:after="0"/>
        <w:tabs>
          <w:tab w:leader="none" w:pos="15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close of business on December 31, 2014,</w:t>
      </w:r>
    </w:p>
    <w:p>
      <w:pPr>
        <w:spacing w:after="0" w:line="25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77,000 shares of 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the number of shares beneficially owned includes 77,000 shares of Common Stock owned by Platinum Long Term Growth VII, LLC (“Platinum VII”).</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number of shares beneficially owned excludes 637,500 shares of Common Stock that may be acquired by Platinum VII upon exchange of 425,000 shares of Series A Convertible Preferred Stock. Pursuant to that Note Exchange and Purchase Agreement by and between the Issuer and Platinum VII, there is a limitation on exchange such that the number of shares of Common Stock that may be acquired by Platinum VII upon exchange of the Series A Convertible Preferred Stock is limited to the extent necessary to ensure that, following such exchange, the total number of shares of Common Stock then beneficially owned by the holder does not exceed 9.99% of the total number of issued and outstanding shares of Common Stock of the Issuer without providing the Issuer with 61 days’ prior notice thereof (the “Ownership Limitation”).</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the number of shares beneficially owned also excludes 561,629 shares of Common Stock that may be acquired by Platinum VII upon conversion of various convertible notes or exercise of various common stock purchase warrants issued by the Issuer (before giving effect to accrued but unpaid interest on such convertible notes). Pursuant to the terms of the respective convertible notes and common stock purchase warrant agreements, there is a limitation on conversion of the notes and exercise of the warrants such that the number of shares of Common Stock that may be acquired by the holder upon such conversion or exercise is limited to the extent necessary to ensure that, following such conversion or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number of shares beneficially owned also excludes Series A Exchange Warrants that may be issued to Platinum VII upon exchange of the Series A Convertible Preferred Stock. Assuming exchange of all 425,000 shares of Series A Convertible Preferred Stock, the Series A Exchange Warrants entitle the holder to acquire up to 318,750 shares of Common Stock. Pursuant to the terms of the Series A Exchange Warrant agreement, there is a limitation on exercise of the Series A Exchange Warrants such that the number of shares of Common Stock that may be acquired by the holder upon such exercise is limited to the extent necessary to ensure that, following such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spacing w:after="0" w:line="2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ownership calculation was based on 1,293,928 shares of Common Stock outstanding as of November 17, 2014 as reported in the Issuer’s Quarterly Report on Form 10-Q filed with the Securities and Exchange Commission on November 19, 2014.</w:t>
      </w:r>
    </w:p>
    <w:p>
      <w:pPr>
        <w:spacing w:after="0" w:line="19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9.99% calculated in accordance with the Ownership Limitation.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320" w:hanging="664"/>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of Common Stock: 0</w:t>
      </w:r>
    </w:p>
    <w:p>
      <w:pPr>
        <w:spacing w:after="0" w:line="252" w:lineRule="exact"/>
        <w:rPr>
          <w:rFonts w:ascii="Arial" w:cs="Arial" w:eastAsia="Arial" w:hAnsi="Arial"/>
          <w:sz w:val="18"/>
          <w:szCs w:val="18"/>
          <w:color w:val="auto"/>
        </w:rPr>
      </w:pPr>
    </w:p>
    <w:p>
      <w:pPr>
        <w:ind w:left="1320" w:hanging="664"/>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of Common Stock: 77,000</w:t>
      </w:r>
    </w:p>
    <w:p>
      <w:pPr>
        <w:spacing w:after="0" w:line="252" w:lineRule="exact"/>
        <w:rPr>
          <w:rFonts w:ascii="Arial" w:cs="Arial" w:eastAsia="Arial" w:hAnsi="Arial"/>
          <w:sz w:val="18"/>
          <w:szCs w:val="18"/>
          <w:color w:val="auto"/>
        </w:rPr>
      </w:pPr>
    </w:p>
    <w:p>
      <w:pPr>
        <w:ind w:left="1340" w:hanging="684"/>
        <w:spacing w:after="0"/>
        <w:tabs>
          <w:tab w:leader="none" w:pos="1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Common Stock: 0</w:t>
      </w:r>
    </w:p>
    <w:p>
      <w:pPr>
        <w:spacing w:after="0" w:line="252" w:lineRule="exact"/>
        <w:rPr>
          <w:rFonts w:ascii="Arial" w:cs="Arial" w:eastAsia="Arial" w:hAnsi="Arial"/>
          <w:sz w:val="18"/>
          <w:szCs w:val="18"/>
          <w:color w:val="auto"/>
        </w:rPr>
      </w:pPr>
    </w:p>
    <w:p>
      <w:pPr>
        <w:ind w:left="1320" w:hanging="664"/>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Common Stock: 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The shares of Common Stock (the “Shares”) reported in this Schedule 13G are held directly by Platinum Long Term Growth VII, LLC. Platinum Management (NY) LLC is the investment manager of Platinum Long Term Growth VII, LLC. Mr. Nordlicht is the Chief Investment Officer of Platinum Management (NY) LLC and has voting and investment control of the Shares held by Platinum Long Term Growth VII, LLC. Each of Platinum Management (NY) LLC and Mr. Nordlicht expressly disclaims beneficial ownership of the Shares held by Platinum Long Term Growth VII, LLC.</w:t>
      </w:r>
    </w:p>
    <w:p>
      <w:pPr>
        <w:spacing w:after="0" w:line="200" w:lineRule="exact"/>
        <w:rPr>
          <w:sz w:val="20"/>
          <w:szCs w:val="20"/>
          <w:color w:val="auto"/>
        </w:rPr>
      </w:pP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 </w:t>
      </w:r>
      <w:r>
        <w:rPr>
          <w:rFonts w:ascii="Arial" w:cs="Arial" w:eastAsia="Arial" w:hAnsi="Arial"/>
          <w:sz w:val="18"/>
          <w:szCs w:val="18"/>
          <w:b w:val="1"/>
          <w:bCs w:val="1"/>
          <w:color w:val="auto"/>
        </w:rPr>
        <w:t>N/A</w:t>
      </w:r>
    </w:p>
    <w:p>
      <w:pPr>
        <w:spacing w:after="0" w:line="210"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 </w:t>
      </w:r>
      <w:r>
        <w:rPr>
          <w:rFonts w:ascii="Arial" w:cs="Arial" w:eastAsia="Arial" w:hAnsi="Arial"/>
          <w:sz w:val="18"/>
          <w:szCs w:val="18"/>
          <w:b w:val="1"/>
          <w:bCs w:val="1"/>
          <w:color w:val="auto"/>
        </w:rPr>
        <w:t>N/A</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 </w:t>
      </w:r>
      <w:r>
        <w:rPr>
          <w:rFonts w:ascii="Arial" w:cs="Arial" w:eastAsia="Arial" w:hAnsi="Arial"/>
          <w:sz w:val="18"/>
          <w:szCs w:val="18"/>
          <w:b w:val="1"/>
          <w:bCs w:val="1"/>
          <w:color w:val="auto"/>
        </w:rPr>
        <w:t>See previously filed Joint Filing Agreement</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w:t>
      </w:r>
      <w:r>
        <w:rPr>
          <w:rFonts w:ascii="Arial" w:cs="Arial" w:eastAsia="Arial" w:hAnsi="Arial"/>
          <w:sz w:val="18"/>
          <w:szCs w:val="18"/>
          <w:b w:val="1"/>
          <w:bCs w:val="1"/>
          <w:color w:val="auto"/>
        </w:rPr>
        <w:t>N/A</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18,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MANDELBAUM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Daniel Mandelbaum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Management (NY)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MANDELBAUM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Daniel Mandelbaum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MARK NORDLICHT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Nordlicht</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10"/>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lvl w:ilvl="1">
      <w:lvlJc w:val="left"/>
      <w:lvlText w:val="(%2)"/>
      <w:numFmt w:val="lowerLetter"/>
      <w:start w:val="1"/>
    </w:lvl>
  </w:abstractNum>
  <w:abstractNum w:abstractNumId="3">
    <w:nsid w:val="1F16E9E8"/>
    <w:multiLevelType w:val="hybridMultilevel"/>
    <w:lvl w:ilvl="0">
      <w:lvlJc w:val="left"/>
      <w:lvlText w:val="%1."/>
      <w:numFmt w:val="decimal"/>
      <w:start w:val="5"/>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lvl w:ilvl="1">
      <w:lvlJc w:val="left"/>
      <w:lvlText w:val="(%2)"/>
      <w:numFmt w:val="lowerLetter"/>
      <w:start w:val="1"/>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
    </w:lvl>
    <w:lvl w:ilvl="1">
      <w:lvlJc w:val="left"/>
      <w:lvlText w:val="(%2)"/>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9"/>
    </w:lvl>
  </w:abstractNum>
  <w:abstractNum w:abstractNumId="15">
    <w:nsid w:val="25E45D32"/>
    <w:multiLevelType w:val="hybridMultilevel"/>
    <w:lvl w:ilvl="0">
      <w:lvlJc w:val="left"/>
      <w:lvlText w:val="(%1)"/>
      <w:numFmt w:val="lowerLetter"/>
      <w:start w:val="1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2020-01-22T16:25:08Z</dcterms:created>
  <dcterms:modified xsi:type="dcterms:W3CDTF">2020-01-22T16:25:08Z</dcterms:modified>
</cp:coreProperties>
</file>