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3"/>
              </w:rPr>
              <w:t>UNITED STATES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00" w:type="dxa"/>
            <w:vAlign w:val="bottom"/>
            <w:gridSpan w:val="3"/>
          </w:tcPr>
          <w:p>
            <w:pPr>
              <w:jc w:val="center"/>
              <w:ind w:right="1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3"/>
              </w:rPr>
              <w:t>Effectiveness Date: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August 28, 2015 10:00 A.M.</w:t>
            </w:r>
          </w:p>
        </w:tc>
      </w:tr>
      <w:tr>
        <w:trPr>
          <w:trHeight w:val="324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S-1</w:t>
            </w:r>
          </w:p>
        </w:tc>
      </w:tr>
      <w:tr>
        <w:trPr>
          <w:trHeight w:val="31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0001411685</w:t>
              </w:r>
            </w:hyperlink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VistaGen Therapeutics, Inc.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333-205782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411685" TargetMode="External"/><Relationship Id="rId9" Type="http://schemas.openxmlformats.org/officeDocument/2006/relationships/hyperlink" Target="http://www.sec.gov/cgi-bin/browse-edgar?action=getcompany&amp;filenum=333-2057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2020-01-24T14:31:26Z</dcterms:created>
  <dcterms:modified xsi:type="dcterms:W3CDTF">2020-01-24T14:31:26Z</dcterms:modified>
</cp:coreProperties>
</file>