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397510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0"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FORM 8-K</w:t>
      </w:r>
    </w:p>
    <w:p>
      <w:pPr>
        <w:spacing w:after="0" w:line="21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PURSUANT TO SECTION 13 OR 15(d) of the SECURITIES EXCHANGE ACT OF 1934</w:t>
      </w:r>
    </w:p>
    <w:p>
      <w:pPr>
        <w:spacing w:after="0" w:line="23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 xml:space="preserve">Date of Report (Date of earliest event reported): </w:t>
      </w:r>
      <w:r>
        <w:rPr>
          <w:rFonts w:ascii="Arial" w:cs="Arial" w:eastAsia="Arial" w:hAnsi="Arial"/>
          <w:sz w:val="18"/>
          <w:szCs w:val="18"/>
          <w:b w:val="1"/>
          <w:bCs w:val="1"/>
          <w:u w:val="single" w:color="auto"/>
          <w:color w:val="auto"/>
        </w:rPr>
        <w:t>February 11, 2021</w:t>
      </w:r>
    </w:p>
    <w:p>
      <w:pPr>
        <w:spacing w:after="0" w:line="21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VistaGen Therapeutics, Inc.</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i w:val="1"/>
          <w:iCs w:val="1"/>
          <w:color w:val="auto"/>
        </w:rPr>
        <w:t>(Exact name of registrant as specified in its charter)</w:t>
      </w:r>
    </w:p>
    <w:p>
      <w:pPr>
        <w:sectPr>
          <w:pgSz w:w="11900" w:h="16838" w:orient="portrait"/>
          <w:cols w:equalWidth="0" w:num="1">
            <w:col w:w="11240"/>
          </w:cols>
          <w:pgMar w:left="320" w:top="949" w:right="339" w:bottom="1440" w:gutter="0" w:footer="0" w:header="0"/>
        </w:sectPr>
      </w:pPr>
    </w:p>
    <w:p>
      <w:pPr>
        <w:spacing w:after="0" w:line="205" w:lineRule="exact"/>
        <w:rPr>
          <w:sz w:val="24"/>
          <w:szCs w:val="24"/>
          <w:color w:val="auto"/>
        </w:rPr>
      </w:pPr>
    </w:p>
    <w:p>
      <w:pPr>
        <w:jc w:val="center"/>
        <w:ind w:right="220"/>
        <w:spacing w:after="0"/>
        <w:rPr>
          <w:sz w:val="20"/>
          <w:szCs w:val="20"/>
          <w:color w:val="auto"/>
        </w:rPr>
      </w:pPr>
      <w:r>
        <w:rPr>
          <w:rFonts w:ascii="Arial" w:cs="Arial" w:eastAsia="Arial" w:hAnsi="Arial"/>
          <w:sz w:val="18"/>
          <w:szCs w:val="18"/>
          <w:b w:val="1"/>
          <w:bCs w:val="1"/>
          <w:color w:val="auto"/>
        </w:rPr>
        <w:t>NEVADA</w:t>
      </w:r>
    </w:p>
    <w:p>
      <w:pPr>
        <w:spacing w:after="0" w:line="21" w:lineRule="exact"/>
        <w:rPr>
          <w:sz w:val="24"/>
          <w:szCs w:val="24"/>
          <w:color w:val="auto"/>
        </w:rPr>
      </w:pPr>
    </w:p>
    <w:p>
      <w:pPr>
        <w:jc w:val="center"/>
        <w:ind w:right="220"/>
        <w:spacing w:after="0"/>
        <w:rPr>
          <w:sz w:val="20"/>
          <w:szCs w:val="20"/>
          <w:color w:val="auto"/>
        </w:rPr>
      </w:pPr>
      <w:r>
        <w:rPr>
          <w:rFonts w:ascii="Arial" w:cs="Arial" w:eastAsia="Arial" w:hAnsi="Arial"/>
          <w:sz w:val="16"/>
          <w:szCs w:val="16"/>
          <w:i w:val="1"/>
          <w:iCs w:val="1"/>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720"/>
        <w:spacing w:after="0"/>
        <w:rPr>
          <w:sz w:val="20"/>
          <w:szCs w:val="20"/>
          <w:color w:val="auto"/>
        </w:rPr>
      </w:pPr>
      <w:r>
        <w:rPr>
          <w:rFonts w:ascii="Arial" w:cs="Arial" w:eastAsia="Arial" w:hAnsi="Arial"/>
          <w:sz w:val="18"/>
          <w:szCs w:val="18"/>
          <w:b w:val="1"/>
          <w:bCs w:val="1"/>
          <w:color w:val="auto"/>
        </w:rPr>
        <w:t>000-54014</w:t>
      </w:r>
    </w:p>
    <w:p>
      <w:pPr>
        <w:spacing w:after="0" w:line="21" w:lineRule="exact"/>
        <w:rPr>
          <w:sz w:val="24"/>
          <w:szCs w:val="24"/>
          <w:color w:val="auto"/>
        </w:rPr>
      </w:pPr>
    </w:p>
    <w:p>
      <w:pPr>
        <w:jc w:val="center"/>
        <w:ind w:right="720"/>
        <w:spacing w:after="0"/>
        <w:rPr>
          <w:sz w:val="20"/>
          <w:szCs w:val="20"/>
          <w:color w:val="auto"/>
        </w:rPr>
      </w:pPr>
      <w:r>
        <w:rPr>
          <w:rFonts w:ascii="Arial" w:cs="Arial" w:eastAsia="Arial" w:hAnsi="Arial"/>
          <w:sz w:val="16"/>
          <w:szCs w:val="16"/>
          <w:i w:val="1"/>
          <w:iCs w:val="1"/>
          <w:color w:val="auto"/>
        </w:rPr>
        <w:t>(Commission File Number)</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500"/>
        <w:spacing w:after="0"/>
        <w:rPr>
          <w:sz w:val="20"/>
          <w:szCs w:val="20"/>
          <w:color w:val="auto"/>
        </w:rPr>
      </w:pPr>
      <w:r>
        <w:rPr>
          <w:rFonts w:ascii="Arial" w:cs="Arial" w:eastAsia="Arial" w:hAnsi="Arial"/>
          <w:sz w:val="18"/>
          <w:szCs w:val="18"/>
          <w:b w:val="1"/>
          <w:bCs w:val="1"/>
          <w:color w:val="auto"/>
        </w:rPr>
        <w:t>20-5093315</w:t>
      </w:r>
    </w:p>
    <w:p>
      <w:pPr>
        <w:spacing w:after="0" w:line="21" w:lineRule="exact"/>
        <w:rPr>
          <w:sz w:val="24"/>
          <w:szCs w:val="24"/>
          <w:color w:val="auto"/>
        </w:rPr>
      </w:pPr>
    </w:p>
    <w:p>
      <w:pPr>
        <w:jc w:val="center"/>
        <w:ind w:right="500"/>
        <w:spacing w:after="0"/>
        <w:rPr>
          <w:sz w:val="20"/>
          <w:szCs w:val="20"/>
          <w:color w:val="auto"/>
        </w:rPr>
      </w:pPr>
      <w:r>
        <w:rPr>
          <w:rFonts w:ascii="Arial" w:cs="Arial" w:eastAsia="Arial" w:hAnsi="Arial"/>
          <w:sz w:val="16"/>
          <w:szCs w:val="16"/>
          <w:i w:val="1"/>
          <w:iCs w:val="1"/>
          <w:color w:val="auto"/>
        </w:rPr>
        <w:t>(IRS Employer Identification Number)</w:t>
      </w:r>
    </w:p>
    <w:p>
      <w:pPr>
        <w:spacing w:after="0" w:line="200" w:lineRule="exact"/>
        <w:rPr>
          <w:sz w:val="24"/>
          <w:szCs w:val="24"/>
          <w:color w:val="auto"/>
        </w:rPr>
      </w:pPr>
    </w:p>
    <w:p>
      <w:pPr>
        <w:sectPr>
          <w:pgSz w:w="11900" w:h="16838" w:orient="portrait"/>
          <w:cols w:equalWidth="0" w:num="3">
            <w:col w:w="3960" w:space="720"/>
            <w:col w:w="2640" w:space="720"/>
            <w:col w:w="3200"/>
          </w:cols>
          <w:pgMar w:left="320" w:top="949" w:right="339" w:bottom="1440" w:gutter="0" w:footer="0" w:header="0"/>
          <w:type w:val="continuous"/>
        </w:sectPr>
      </w:pPr>
    </w:p>
    <w:p>
      <w:pPr>
        <w:spacing w:after="0" w:line="36" w:lineRule="exact"/>
        <w:rPr>
          <w:sz w:val="24"/>
          <w:szCs w:val="24"/>
          <w:color w:val="auto"/>
        </w:rPr>
      </w:pPr>
    </w:p>
    <w:p>
      <w:pPr>
        <w:ind w:left="4980"/>
        <w:spacing w:after="0"/>
        <w:rPr>
          <w:sz w:val="20"/>
          <w:szCs w:val="20"/>
          <w:color w:val="auto"/>
        </w:rPr>
      </w:pPr>
      <w:r>
        <w:rPr>
          <w:rFonts w:ascii="Arial" w:cs="Arial" w:eastAsia="Arial" w:hAnsi="Arial"/>
          <w:sz w:val="18"/>
          <w:szCs w:val="18"/>
          <w:b w:val="1"/>
          <w:bCs w:val="1"/>
          <w:color w:val="auto"/>
        </w:rPr>
        <w:t>343 Allerton Ave.</w:t>
      </w:r>
    </w:p>
    <w:p>
      <w:pPr>
        <w:spacing w:after="0" w:line="21" w:lineRule="exact"/>
        <w:rPr>
          <w:sz w:val="24"/>
          <w:szCs w:val="24"/>
          <w:color w:val="auto"/>
        </w:rPr>
      </w:pPr>
    </w:p>
    <w:p>
      <w:pPr>
        <w:ind w:left="4180"/>
        <w:spacing w:after="0"/>
        <w:rPr>
          <w:sz w:val="20"/>
          <w:szCs w:val="20"/>
          <w:color w:val="auto"/>
        </w:rPr>
      </w:pPr>
      <w:r>
        <w:rPr>
          <w:rFonts w:ascii="Arial" w:cs="Arial" w:eastAsia="Arial" w:hAnsi="Arial"/>
          <w:sz w:val="18"/>
          <w:szCs w:val="18"/>
          <w:b w:val="1"/>
          <w:bCs w:val="1"/>
          <w:color w:val="auto"/>
        </w:rPr>
        <w:t>South San Francisco, California 94090</w:t>
      </w:r>
    </w:p>
    <w:p>
      <w:pPr>
        <w:spacing w:after="0" w:line="9" w:lineRule="exact"/>
        <w:rPr>
          <w:sz w:val="24"/>
          <w:szCs w:val="24"/>
          <w:color w:val="auto"/>
        </w:rPr>
      </w:pPr>
    </w:p>
    <w:p>
      <w:pPr>
        <w:ind w:left="4260"/>
        <w:spacing w:after="0"/>
        <w:rPr>
          <w:sz w:val="20"/>
          <w:szCs w:val="20"/>
          <w:color w:val="auto"/>
        </w:rPr>
      </w:pPr>
      <w:r>
        <w:rPr>
          <w:rFonts w:ascii="Arial" w:cs="Arial" w:eastAsia="Arial" w:hAnsi="Arial"/>
          <w:sz w:val="18"/>
          <w:szCs w:val="18"/>
          <w:i w:val="1"/>
          <w:iCs w:val="1"/>
          <w:color w:val="auto"/>
        </w:rPr>
        <w:t>(Address of principal executive offices)</w:t>
      </w:r>
    </w:p>
    <w:p>
      <w:pPr>
        <w:spacing w:after="0" w:line="21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(650) 577-3600</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5"/>
          <w:szCs w:val="15"/>
          <w:i w:val="1"/>
          <w:iCs w:val="1"/>
          <w:color w:val="auto"/>
        </w:rPr>
        <w:t>(Registrant’s telephone number, including area code)</w:t>
      </w:r>
    </w:p>
    <w:p>
      <w:pPr>
        <w:sectPr>
          <w:pgSz w:w="11900" w:h="16838" w:orient="portrait"/>
          <w:cols w:equalWidth="0" w:num="1">
            <w:col w:w="11240"/>
          </w:cols>
          <w:pgMar w:left="320" w:top="949" w:right="339" w:bottom="1440" w:gutter="0" w:footer="0" w:header="0"/>
          <w:type w:val="continuous"/>
        </w:sectPr>
      </w:pPr>
    </w:p>
    <w:p>
      <w:pPr>
        <w:spacing w:after="0" w:line="24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jc w:val="center"/>
        <w:ind w:right="-59"/>
        <w:spacing w:after="0"/>
        <w:rPr>
          <w:sz w:val="20"/>
          <w:szCs w:val="20"/>
          <w:color w:val="auto"/>
        </w:rPr>
      </w:pPr>
      <w:r>
        <w:rPr>
          <w:rFonts w:ascii="Arial" w:cs="Arial" w:eastAsia="Arial" w:hAnsi="Arial"/>
          <w:sz w:val="18"/>
          <w:szCs w:val="18"/>
          <w:i w:val="1"/>
          <w:iCs w:val="1"/>
          <w:color w:val="auto"/>
        </w:rPr>
        <w:t>(Former name or former address, if changed since last report)</w:t>
      </w:r>
    </w:p>
    <w:p>
      <w:pPr>
        <w:spacing w:after="0" w:line="151" w:lineRule="exact"/>
        <w:rPr>
          <w:sz w:val="24"/>
          <w:szCs w:val="24"/>
          <w:color w:val="auto"/>
        </w:rPr>
      </w:pPr>
    </w:p>
    <w:p>
      <w:pPr>
        <w:ind w:right="220"/>
        <w:spacing w:after="0" w:line="26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18"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3"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 -12)</w:t>
      </w:r>
    </w:p>
    <w:p>
      <w:pPr>
        <w:spacing w:after="0" w:line="9"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 -2(b))</w:t>
      </w:r>
    </w:p>
    <w:p>
      <w:pPr>
        <w:spacing w:after="0" w:line="9"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 -4(c))</w:t>
      </w:r>
    </w:p>
    <w:p>
      <w:pPr>
        <w:spacing w:after="0" w:line="211" w:lineRule="exact"/>
        <w:rPr>
          <w:sz w:val="24"/>
          <w:szCs w:val="24"/>
          <w:color w:val="auto"/>
        </w:rPr>
      </w:pPr>
    </w:p>
    <w:tbl>
      <w:tblPr>
        <w:tblLayout w:type="fixed"/>
        <w:tblInd w:w="0" w:type="dxa"/>
        <w:tblCellMar>
          <w:top w:w="0" w:type="dxa"/>
          <w:left w:w="0" w:type="dxa"/>
          <w:bottom w:w="0" w:type="dxa"/>
          <w:right w:w="0" w:type="dxa"/>
        </w:tblCellMar>
      </w:tblPr>
      <w:tr>
        <w:trPr>
          <w:trHeight w:val="222"/>
        </w:trPr>
        <w:tc>
          <w:tcPr>
            <w:tcW w:w="4200" w:type="dxa"/>
            <w:vAlign w:val="bottom"/>
          </w:tcPr>
          <w:p>
            <w:pPr>
              <w:spacing w:after="0"/>
              <w:rPr>
                <w:sz w:val="20"/>
                <w:szCs w:val="20"/>
                <w:color w:val="auto"/>
              </w:rPr>
            </w:pPr>
            <w:r>
              <w:rPr>
                <w:rFonts w:ascii="Arial" w:cs="Arial" w:eastAsia="Arial" w:hAnsi="Arial"/>
                <w:sz w:val="18"/>
                <w:szCs w:val="18"/>
                <w:color w:val="auto"/>
                <w:w w:val="91"/>
              </w:rPr>
              <w:t>Securities registered pursuant to Section 12(b) of the Act:</w:t>
            </w:r>
          </w:p>
        </w:tc>
        <w:tc>
          <w:tcPr>
            <w:tcW w:w="2200" w:type="dxa"/>
            <w:vAlign w:val="bottom"/>
          </w:tcPr>
          <w:p>
            <w:pPr>
              <w:spacing w:after="0"/>
              <w:rPr>
                <w:sz w:val="19"/>
                <w:szCs w:val="19"/>
                <w:color w:val="auto"/>
              </w:rPr>
            </w:pPr>
          </w:p>
        </w:tc>
        <w:tc>
          <w:tcPr>
            <w:tcW w:w="4840" w:type="dxa"/>
            <w:vAlign w:val="bottom"/>
          </w:tcPr>
          <w:p>
            <w:pPr>
              <w:spacing w:after="0"/>
              <w:rPr>
                <w:sz w:val="19"/>
                <w:szCs w:val="19"/>
                <w:color w:val="auto"/>
              </w:rPr>
            </w:pPr>
          </w:p>
        </w:tc>
      </w:tr>
      <w:tr>
        <w:trPr>
          <w:trHeight w:val="441"/>
        </w:trPr>
        <w:tc>
          <w:tcPr>
            <w:tcW w:w="4200" w:type="dxa"/>
            <w:vAlign w:val="bottom"/>
            <w:tcBorders>
              <w:bottom w:val="single" w:sz="8" w:color="auto"/>
            </w:tcBorders>
          </w:tcPr>
          <w:p>
            <w:pPr>
              <w:jc w:val="center"/>
              <w:ind w:right="152"/>
              <w:spacing w:after="0"/>
              <w:rPr>
                <w:sz w:val="20"/>
                <w:szCs w:val="20"/>
                <w:color w:val="auto"/>
              </w:rPr>
            </w:pPr>
            <w:r>
              <w:rPr>
                <w:rFonts w:ascii="Arial" w:cs="Arial" w:eastAsia="Arial" w:hAnsi="Arial"/>
                <w:sz w:val="18"/>
                <w:szCs w:val="18"/>
                <w:color w:val="auto"/>
                <w:w w:val="88"/>
              </w:rPr>
              <w:t>Title of each class</w:t>
            </w:r>
          </w:p>
        </w:tc>
        <w:tc>
          <w:tcPr>
            <w:tcW w:w="2200" w:type="dxa"/>
            <w:vAlign w:val="bottom"/>
            <w:tcBorders>
              <w:bottom w:val="single" w:sz="8" w:color="auto"/>
            </w:tcBorders>
          </w:tcPr>
          <w:p>
            <w:pPr>
              <w:jc w:val="center"/>
              <w:ind w:right="472"/>
              <w:spacing w:after="0"/>
              <w:rPr>
                <w:sz w:val="20"/>
                <w:szCs w:val="20"/>
                <w:color w:val="auto"/>
              </w:rPr>
            </w:pPr>
            <w:r>
              <w:rPr>
                <w:rFonts w:ascii="Arial" w:cs="Arial" w:eastAsia="Arial" w:hAnsi="Arial"/>
                <w:sz w:val="18"/>
                <w:szCs w:val="18"/>
                <w:color w:val="auto"/>
                <w:w w:val="89"/>
              </w:rPr>
              <w:t>Trading Symbol(s)</w:t>
            </w:r>
          </w:p>
        </w:tc>
        <w:tc>
          <w:tcPr>
            <w:tcW w:w="4840" w:type="dxa"/>
            <w:vAlign w:val="bottom"/>
            <w:tcBorders>
              <w:bottom w:val="single" w:sz="8" w:color="auto"/>
            </w:tcBorders>
          </w:tcPr>
          <w:p>
            <w:pPr>
              <w:jc w:val="center"/>
              <w:ind w:right="232"/>
              <w:spacing w:after="0"/>
              <w:rPr>
                <w:sz w:val="20"/>
                <w:szCs w:val="20"/>
                <w:color w:val="auto"/>
              </w:rPr>
            </w:pPr>
            <w:r>
              <w:rPr>
                <w:rFonts w:ascii="Arial" w:cs="Arial" w:eastAsia="Arial" w:hAnsi="Arial"/>
                <w:sz w:val="18"/>
                <w:szCs w:val="18"/>
                <w:color w:val="auto"/>
                <w:w w:val="87"/>
              </w:rPr>
              <w:t>Name of each exchange on which registered</w:t>
            </w:r>
          </w:p>
        </w:tc>
      </w:tr>
      <w:tr>
        <w:trPr>
          <w:trHeight w:val="222"/>
        </w:trPr>
        <w:tc>
          <w:tcPr>
            <w:tcW w:w="4200" w:type="dxa"/>
            <w:vAlign w:val="bottom"/>
          </w:tcPr>
          <w:p>
            <w:pPr>
              <w:jc w:val="center"/>
              <w:ind w:right="152"/>
              <w:spacing w:after="0"/>
              <w:rPr>
                <w:sz w:val="20"/>
                <w:szCs w:val="20"/>
                <w:color w:val="auto"/>
              </w:rPr>
            </w:pPr>
            <w:r>
              <w:rPr>
                <w:rFonts w:ascii="Arial" w:cs="Arial" w:eastAsia="Arial" w:hAnsi="Arial"/>
                <w:sz w:val="18"/>
                <w:szCs w:val="18"/>
                <w:color w:val="auto"/>
                <w:w w:val="87"/>
              </w:rPr>
              <w:t>Common Stock, par value $0.001 per share</w:t>
            </w:r>
          </w:p>
        </w:tc>
        <w:tc>
          <w:tcPr>
            <w:tcW w:w="2200" w:type="dxa"/>
            <w:vAlign w:val="bottom"/>
          </w:tcPr>
          <w:p>
            <w:pPr>
              <w:jc w:val="center"/>
              <w:ind w:right="472"/>
              <w:spacing w:after="0"/>
              <w:rPr>
                <w:sz w:val="20"/>
                <w:szCs w:val="20"/>
                <w:color w:val="auto"/>
              </w:rPr>
            </w:pPr>
            <w:r>
              <w:rPr>
                <w:rFonts w:ascii="Arial" w:cs="Arial" w:eastAsia="Arial" w:hAnsi="Arial"/>
                <w:sz w:val="18"/>
                <w:szCs w:val="18"/>
                <w:color w:val="auto"/>
                <w:w w:val="95"/>
              </w:rPr>
              <w:t>VTGN</w:t>
            </w:r>
          </w:p>
        </w:tc>
        <w:tc>
          <w:tcPr>
            <w:tcW w:w="4840" w:type="dxa"/>
            <w:vAlign w:val="bottom"/>
          </w:tcPr>
          <w:p>
            <w:pPr>
              <w:jc w:val="center"/>
              <w:ind w:right="232"/>
              <w:spacing w:after="0"/>
              <w:rPr>
                <w:sz w:val="20"/>
                <w:szCs w:val="20"/>
                <w:color w:val="auto"/>
              </w:rPr>
            </w:pPr>
            <w:r>
              <w:rPr>
                <w:rFonts w:ascii="Arial" w:cs="Arial" w:eastAsia="Arial" w:hAnsi="Arial"/>
                <w:sz w:val="18"/>
                <w:szCs w:val="18"/>
                <w:color w:val="auto"/>
                <w:w w:val="89"/>
              </w:rPr>
              <w:t>Nasdaq Capital Market</w:t>
            </w:r>
          </w:p>
        </w:tc>
      </w:tr>
    </w:tbl>
    <w:p>
      <w:pPr>
        <w:spacing w:after="0" w:line="201" w:lineRule="exact"/>
        <w:rPr>
          <w:sz w:val="24"/>
          <w:szCs w:val="24"/>
          <w:color w:val="auto"/>
        </w:rPr>
      </w:pPr>
    </w:p>
    <w:p>
      <w:pPr>
        <w:jc w:val="both"/>
        <w:ind w:right="20"/>
        <w:spacing w:after="0" w:line="268"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(17 CFR 230.405) or Rule 12b-2 of the Securities Exchange Act of 1934 (17 CFR 240.12b-2)</w:t>
      </w:r>
    </w:p>
    <w:p>
      <w:pPr>
        <w:spacing w:after="0" w:line="153" w:lineRule="exact"/>
        <w:rPr>
          <w:sz w:val="24"/>
          <w:szCs w:val="24"/>
          <w:color w:val="auto"/>
        </w:rPr>
      </w:pPr>
    </w:p>
    <w:p>
      <w:pPr>
        <w:ind w:left="9040"/>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281" w:lineRule="exact"/>
        <w:rPr>
          <w:sz w:val="24"/>
          <w:szCs w:val="24"/>
          <w:color w:val="auto"/>
        </w:rPr>
      </w:pPr>
    </w:p>
    <w:p>
      <w:pPr>
        <w:jc w:val="both"/>
        <w:spacing w:after="0" w:line="229"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126365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203835</wp:posOffset>
            </wp:positionV>
            <wp:extent cx="71323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949" w:right="339" w:bottom="1440" w:gutter="0" w:footer="0" w:header="0"/>
          <w:type w:val="continuous"/>
        </w:sectPr>
      </w:pPr>
    </w:p>
    <w:bookmarkStart w:id="1" w:name="page2"/>
    <w:bookmarkEnd w:id="1"/>
    <w:p>
      <w:pPr>
        <w:spacing w:after="0"/>
        <w:tabs>
          <w:tab w:leader="none" w:pos="900" w:val="left"/>
        </w:tabs>
        <w:rPr>
          <w:sz w:val="20"/>
          <w:szCs w:val="20"/>
          <w:color w:val="auto"/>
        </w:rPr>
      </w:pPr>
      <w:r>
        <w:rPr>
          <w:rFonts w:ascii="Arial" w:cs="Arial" w:eastAsia="Arial" w:hAnsi="Arial"/>
          <w:sz w:val="18"/>
          <w:szCs w:val="18"/>
          <w:b w:val="1"/>
          <w:bCs w:val="1"/>
          <w:color w:val="auto"/>
        </w:rPr>
        <w:t>Item 2.02</w:t>
      </w:r>
      <w:r>
        <w:rPr>
          <w:sz w:val="20"/>
          <w:szCs w:val="20"/>
          <w:color w:val="auto"/>
        </w:rPr>
        <w:tab/>
      </w:r>
      <w:r>
        <w:rPr>
          <w:rFonts w:ascii="Arial" w:cs="Arial" w:eastAsia="Arial" w:hAnsi="Arial"/>
          <w:sz w:val="15"/>
          <w:szCs w:val="15"/>
          <w:b w:val="1"/>
          <w:bCs w:val="1"/>
          <w:color w:val="auto"/>
        </w:rPr>
        <w:t>Results of Operations and Financial Condition.</w:t>
      </w:r>
    </w:p>
    <w:p>
      <w:pPr>
        <w:spacing w:after="0" w:line="231" w:lineRule="exact"/>
        <w:rPr>
          <w:sz w:val="20"/>
          <w:szCs w:val="20"/>
          <w:color w:val="auto"/>
        </w:rPr>
      </w:pPr>
    </w:p>
    <w:p>
      <w:pPr>
        <w:jc w:val="both"/>
        <w:ind w:firstLine="648"/>
        <w:spacing w:after="0" w:line="331" w:lineRule="auto"/>
        <w:rPr>
          <w:sz w:val="20"/>
          <w:szCs w:val="20"/>
          <w:color w:val="auto"/>
        </w:rPr>
      </w:pPr>
      <w:r>
        <w:rPr>
          <w:rFonts w:ascii="Arial" w:cs="Arial" w:eastAsia="Arial" w:hAnsi="Arial"/>
          <w:sz w:val="16"/>
          <w:szCs w:val="16"/>
          <w:color w:val="auto"/>
        </w:rPr>
        <w:t>On February 11, 2021, VistaGen Therapeutics, Inc. (the “</w:t>
      </w:r>
      <w:r>
        <w:rPr>
          <w:rFonts w:ascii="Arial" w:cs="Arial" w:eastAsia="Arial" w:hAnsi="Arial"/>
          <w:sz w:val="16"/>
          <w:szCs w:val="16"/>
          <w:i w:val="1"/>
          <w:iCs w:val="1"/>
          <w:color w:val="auto"/>
        </w:rPr>
        <w:t>Company</w:t>
      </w:r>
      <w:r>
        <w:rPr>
          <w:rFonts w:ascii="Arial" w:cs="Arial" w:eastAsia="Arial" w:hAnsi="Arial"/>
          <w:sz w:val="16"/>
          <w:szCs w:val="16"/>
          <w:color w:val="auto"/>
        </w:rPr>
        <w:t>”) issued a press release to announce the Company’s financial results for its fiscal year 2021 third quarter ended December 31, 2020. A copy of the press release is attached to this Current Report on Form 8-K as Exhibit 99.1.</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Disclaimer.</w:t>
      </w:r>
    </w:p>
    <w:p>
      <w:pPr>
        <w:spacing w:after="0" w:line="231"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The information in this Current Report on Form 8-K, including the information set forth in Exhibit 99.1, is being furnished and shall not be deemed “filed” for purposes of Section 18 of the Securities Exchange Act of 1934, as amended (the “</w:t>
      </w:r>
      <w:r>
        <w:rPr>
          <w:rFonts w:ascii="Arial" w:cs="Arial" w:eastAsia="Arial" w:hAnsi="Arial"/>
          <w:sz w:val="18"/>
          <w:szCs w:val="18"/>
          <w:i w:val="1"/>
          <w:iCs w:val="1"/>
          <w:color w:val="auto"/>
        </w:rPr>
        <w:t>Exchange Act</w:t>
      </w:r>
      <w:r>
        <w:rPr>
          <w:rFonts w:ascii="Arial" w:cs="Arial" w:eastAsia="Arial" w:hAnsi="Arial"/>
          <w:sz w:val="18"/>
          <w:szCs w:val="18"/>
          <w:color w:val="auto"/>
        </w:rPr>
        <w:t>”), nor shall Exhibit 99.1 filed herewith be deemed incorporated by reference in any filing under the Securities Act of 1933, as amended, or the Exchange Act, except as shall be expressly set forth by specific reference in such a filing.</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 Exhibits Index</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Exhibit No.</w:t>
            </w:r>
          </w:p>
        </w:tc>
        <w:tc>
          <w:tcPr>
            <w:tcW w:w="220" w:type="dxa"/>
            <w:vAlign w:val="bottom"/>
          </w:tcPr>
          <w:p>
            <w:pPr>
              <w:spacing w:after="0"/>
              <w:rPr>
                <w:sz w:val="20"/>
                <w:szCs w:val="20"/>
                <w:color w:val="auto"/>
              </w:rPr>
            </w:pPr>
          </w:p>
        </w:tc>
        <w:tc>
          <w:tcPr>
            <w:tcW w:w="9880" w:type="dxa"/>
            <w:vAlign w:val="bottom"/>
            <w:tcBorders>
              <w:bottom w:val="single" w:sz="8" w:color="auto"/>
            </w:tcBorders>
          </w:tcPr>
          <w:p>
            <w:pPr>
              <w:ind w:left="4500"/>
              <w:spacing w:after="0"/>
              <w:rPr>
                <w:sz w:val="20"/>
                <w:szCs w:val="20"/>
                <w:color w:val="auto"/>
              </w:rPr>
            </w:pPr>
            <w:r>
              <w:rPr>
                <w:rFonts w:ascii="Arial" w:cs="Arial" w:eastAsia="Arial" w:hAnsi="Arial"/>
                <w:sz w:val="18"/>
                <w:szCs w:val="18"/>
                <w:b w:val="1"/>
                <w:bCs w:val="1"/>
                <w:color w:val="auto"/>
              </w:rPr>
              <w:t>Description</w:t>
            </w:r>
          </w:p>
        </w:tc>
      </w:tr>
      <w:tr>
        <w:trPr>
          <w:trHeight w:val="216"/>
        </w:trPr>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80" w:type="dxa"/>
            <w:vAlign w:val="bottom"/>
          </w:tcPr>
          <w:p>
            <w:pPr>
              <w:spacing w:after="0"/>
              <w:rPr>
                <w:sz w:val="18"/>
                <w:szCs w:val="18"/>
                <w:color w:val="auto"/>
              </w:rPr>
            </w:pPr>
          </w:p>
        </w:tc>
      </w:tr>
      <w:tr>
        <w:trPr>
          <w:trHeight w:val="216"/>
        </w:trPr>
        <w:tc>
          <w:tcPr>
            <w:tcW w:w="1140" w:type="dxa"/>
            <w:vAlign w:val="bottom"/>
            <w:shd w:val="clear" w:color="auto" w:fill="CCEEFF"/>
          </w:tcPr>
          <w:p>
            <w:pPr>
              <w:jc w:val="center"/>
              <w:ind w:right="312"/>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99.1</w:t>
              </w:r>
            </w:hyperlink>
          </w:p>
        </w:tc>
        <w:tc>
          <w:tcPr>
            <w:tcW w:w="220" w:type="dxa"/>
            <w:vAlign w:val="bottom"/>
            <w:shd w:val="clear" w:color="auto" w:fill="CCEEFF"/>
          </w:tcPr>
          <w:p>
            <w:pPr>
              <w:spacing w:after="0"/>
              <w:rPr>
                <w:sz w:val="18"/>
                <w:szCs w:val="18"/>
                <w:color w:val="auto"/>
              </w:rPr>
            </w:pPr>
          </w:p>
        </w:tc>
        <w:tc>
          <w:tcPr>
            <w:tcW w:w="9880" w:type="dxa"/>
            <w:vAlign w:val="bottom"/>
            <w:shd w:val="clear" w:color="auto" w:fill="CCEEFF"/>
          </w:tcPr>
          <w:p>
            <w:pPr>
              <w:spacing w:after="0"/>
              <w:rPr>
                <w:sz w:val="20"/>
                <w:szCs w:val="20"/>
                <w:color w:val="auto"/>
              </w:rPr>
            </w:pPr>
            <w:r>
              <w:rPr>
                <w:rFonts w:ascii="Arial" w:cs="Arial" w:eastAsia="Arial" w:hAnsi="Arial"/>
                <w:sz w:val="18"/>
                <w:szCs w:val="18"/>
                <w:color w:val="auto"/>
              </w:rPr>
              <w:t>Press Release issued by VistaGen Therapeutics, Inc., dated February 11, 2021</w:t>
            </w:r>
          </w:p>
        </w:tc>
      </w:tr>
      <w:tr>
        <w:trPr>
          <w:trHeight w:val="1303"/>
        </w:trPr>
        <w:tc>
          <w:tcPr>
            <w:tcW w:w="11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8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557" w:right="339" w:bottom="1440" w:gutter="0" w:footer="0" w:header="0"/>
        </w:sectPr>
      </w:pPr>
    </w:p>
    <w:bookmarkStart w:id="2" w:name="page3"/>
    <w:bookmarkEnd w:id="2"/>
    <w:p>
      <w:pPr>
        <w:ind w:left="5540"/>
        <w:spacing w:after="0"/>
        <w:rPr>
          <w:sz w:val="20"/>
          <w:szCs w:val="20"/>
          <w:color w:val="auto"/>
        </w:rPr>
      </w:pPr>
      <w:r>
        <w:rPr>
          <w:rFonts w:ascii="Arial" w:cs="Arial" w:eastAsia="Arial" w:hAnsi="Arial"/>
          <w:sz w:val="18"/>
          <w:szCs w:val="18"/>
          <w:b w:val="1"/>
          <w:bCs w:val="1"/>
          <w:color w:val="auto"/>
        </w:rPr>
        <w:t>Signatures</w:t>
      </w:r>
    </w:p>
    <w:p>
      <w:pPr>
        <w:spacing w:after="0" w:line="231" w:lineRule="exact"/>
        <w:rPr>
          <w:sz w:val="20"/>
          <w:szCs w:val="20"/>
          <w:color w:val="auto"/>
        </w:rPr>
      </w:pPr>
    </w:p>
    <w:p>
      <w:pPr>
        <w:ind w:firstLine="648"/>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86" w:lineRule="exact"/>
        <w:rPr>
          <w:sz w:val="20"/>
          <w:szCs w:val="20"/>
          <w:color w:val="auto"/>
        </w:rPr>
      </w:pPr>
    </w:p>
    <w:p>
      <w:pPr>
        <w:ind w:left="5400"/>
        <w:spacing w:after="0"/>
        <w:rPr>
          <w:sz w:val="20"/>
          <w:szCs w:val="20"/>
          <w:color w:val="auto"/>
        </w:rPr>
      </w:pPr>
      <w:r>
        <w:rPr>
          <w:rFonts w:ascii="Arial" w:cs="Arial" w:eastAsia="Arial" w:hAnsi="Arial"/>
          <w:sz w:val="18"/>
          <w:szCs w:val="18"/>
          <w:color w:val="auto"/>
        </w:rPr>
        <w:t>VistaGen Therapeutics, Inc.</w:t>
      </w:r>
    </w:p>
    <w:p>
      <w:pPr>
        <w:spacing w:after="0" w:line="225" w:lineRule="exact"/>
        <w:rPr>
          <w:sz w:val="20"/>
          <w:szCs w:val="20"/>
          <w:color w:val="auto"/>
        </w:rPr>
      </w:pPr>
    </w:p>
    <w:p>
      <w:pPr>
        <w:ind w:left="60"/>
        <w:spacing w:after="0"/>
        <w:tabs>
          <w:tab w:leader="none" w:pos="5380" w:val="left"/>
          <w:tab w:leader="none" w:pos="5940" w:val="left"/>
        </w:tabs>
        <w:rPr>
          <w:sz w:val="20"/>
          <w:szCs w:val="20"/>
          <w:color w:val="auto"/>
        </w:rPr>
      </w:pPr>
      <w:r>
        <w:rPr>
          <w:rFonts w:ascii="Arial" w:cs="Arial" w:eastAsia="Arial" w:hAnsi="Arial"/>
          <w:sz w:val="18"/>
          <w:szCs w:val="18"/>
          <w:color w:val="auto"/>
        </w:rPr>
        <w:t>Date: February 12,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5"/>
          <w:szCs w:val="15"/>
          <w:i w:val="1"/>
          <w:iCs w:val="1"/>
          <w:color w:val="auto"/>
        </w:rPr>
        <w:t>/s/ Shawn K. Singh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10795</wp:posOffset>
            </wp:positionV>
            <wp:extent cx="335153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351530" cy="17145"/>
                    </a:xfrm>
                    <a:prstGeom prst="rect">
                      <a:avLst/>
                    </a:prstGeom>
                    <a:noFill/>
                  </pic:spPr>
                </pic:pic>
              </a:graphicData>
            </a:graphic>
          </wp:anchor>
        </w:drawing>
      </w:r>
    </w:p>
    <w:p>
      <w:pPr>
        <w:spacing w:after="0" w:line="16"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Shawn K. Singh</w:t>
      </w:r>
    </w:p>
    <w:p>
      <w:pPr>
        <w:spacing w:after="0" w:line="15"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281305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680"/>
          </w:cols>
          <w:pgMar w:left="320" w:top="989" w:right="89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1200150" cy="77152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00150" cy="7715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VistaGen Therapeutics Reports Fiscal 2021 Third Quarter Financial Results and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Provides Update on Expected Clinical Studies in Calendar 2021</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Multiple clinical studies anticipated to launch in Calendar 2021, notably pivotal Phase 3 clinical</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studies of PH94B as a potential acute treatment of anxiety in adults with social anxiety disorder (SAD)</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Strengthened Balance Sheet upon closing of $100 million underwritten public offering</w:t>
      </w:r>
    </w:p>
    <w:p>
      <w:pPr>
        <w:spacing w:after="0" w:line="219" w:lineRule="exact"/>
        <w:rPr>
          <w:sz w:val="20"/>
          <w:szCs w:val="20"/>
          <w:color w:val="auto"/>
        </w:rPr>
      </w:pPr>
    </w:p>
    <w:p>
      <w:pPr>
        <w:ind w:right="140"/>
        <w:spacing w:after="0" w:line="301" w:lineRule="auto"/>
        <w:rPr>
          <w:sz w:val="20"/>
          <w:szCs w:val="20"/>
          <w:color w:val="auto"/>
        </w:rPr>
      </w:pPr>
      <w:r>
        <w:rPr>
          <w:rFonts w:ascii="Arial" w:cs="Arial" w:eastAsia="Arial" w:hAnsi="Arial"/>
          <w:sz w:val="16"/>
          <w:szCs w:val="16"/>
          <w:b w:val="1"/>
          <w:bCs w:val="1"/>
          <w:color w:val="auto"/>
        </w:rPr>
        <w:t xml:space="preserve">SOUTH SAN FRANCISCO, Calif., February 11, 2021 </w:t>
      </w:r>
      <w:r>
        <w:rPr>
          <w:rFonts w:ascii="Arial" w:cs="Arial" w:eastAsia="Arial" w:hAnsi="Arial"/>
          <w:sz w:val="16"/>
          <w:szCs w:val="16"/>
          <w:color w:val="auto"/>
        </w:rPr>
        <w:t>– VistaGen Therapeutics, Inc. (NASDAQ: VTGN), a biopharmaceutical company committed to</w:t>
      </w:r>
      <w:r>
        <w:rPr>
          <w:rFonts w:ascii="Arial" w:cs="Arial" w:eastAsia="Arial" w:hAnsi="Arial"/>
          <w:sz w:val="16"/>
          <w:szCs w:val="16"/>
          <w:b w:val="1"/>
          <w:bCs w:val="1"/>
          <w:color w:val="auto"/>
        </w:rPr>
        <w:t xml:space="preserve"> </w:t>
      </w:r>
      <w:r>
        <w:rPr>
          <w:rFonts w:ascii="Arial" w:cs="Arial" w:eastAsia="Arial" w:hAnsi="Arial"/>
          <w:sz w:val="16"/>
          <w:szCs w:val="16"/>
          <w:color w:val="auto"/>
        </w:rPr>
        <w:t>developing and commercializing a new generation of medicines with the potential to go beyond the current standard of care for anxiety, depression and other central nervous system (CNS) disorders, today reported its financial results for its fiscal 2021 third quarter ended December 31, 2020, and provided an update on planned clinical advancement of its CNS pipeline throughout the remainder of this calendar year.</w:t>
      </w:r>
    </w:p>
    <w:p>
      <w:pPr>
        <w:spacing w:after="0" w:line="163"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 xml:space="preserve">“Calendar 2020 was transformative, highlighted by closing a PH94B partnership, a positive meeting with the FDA regarding the key aspects of the study design for our upcoming pivotal Phase 3 studies of our PH94B nasal spray in social anxiety disorder and, during the most recent quarter, closing a $100 million financing which involved significant participation from leading healthcare institutional investors such as Acuta Capital, New Enterprise Associates, OrbiMed and Venrock Healthcare Capital Partners, among others. We are encouraged by these transformative milestones. Together, they have further advanced our tenacious pursuit to bring life-changing medications to the millions affected by anxiety, depression and other mental health challenges worldwide,” said </w:t>
      </w:r>
      <w:r>
        <w:rPr>
          <w:rFonts w:ascii="Arial" w:cs="Arial" w:eastAsia="Arial" w:hAnsi="Arial"/>
          <w:sz w:val="18"/>
          <w:szCs w:val="18"/>
          <w:u w:val="single" w:color="auto"/>
          <w:color w:val="0563C1"/>
        </w:rPr>
        <w:t>Shawn</w:t>
      </w:r>
      <w:r>
        <w:rPr>
          <w:rFonts w:ascii="Arial" w:cs="Arial" w:eastAsia="Arial" w:hAnsi="Arial"/>
          <w:sz w:val="18"/>
          <w:szCs w:val="18"/>
          <w:color w:val="auto"/>
        </w:rPr>
        <w:t xml:space="preserve"> </w:t>
      </w:r>
      <w:r>
        <w:rPr>
          <w:rFonts w:ascii="Arial" w:cs="Arial" w:eastAsia="Arial" w:hAnsi="Arial"/>
          <w:sz w:val="18"/>
          <w:szCs w:val="18"/>
          <w:u w:val="single" w:color="auto"/>
          <w:color w:val="0563C1"/>
        </w:rPr>
        <w:t>Singh, Chief Executive Officer of VistaGen</w:t>
      </w:r>
      <w:r>
        <w:rPr>
          <w:rFonts w:ascii="Arial" w:cs="Arial" w:eastAsia="Arial" w:hAnsi="Arial"/>
          <w:sz w:val="18"/>
          <w:szCs w:val="18"/>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1950720</wp:posOffset>
            </wp:positionH>
            <wp:positionV relativeFrom="paragraph">
              <wp:posOffset>-142875</wp:posOffset>
            </wp:positionV>
            <wp:extent cx="25400"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5400" cy="128905"/>
                    </a:xfrm>
                    <a:prstGeom prst="rect">
                      <a:avLst/>
                    </a:prstGeom>
                    <a:noFill/>
                  </pic:spPr>
                </pic:pic>
              </a:graphicData>
            </a:graphic>
          </wp:anchor>
        </w:drawing>
      </w:r>
    </w:p>
    <w:p>
      <w:pPr>
        <w:spacing w:after="0" w:line="178" w:lineRule="exact"/>
        <w:rPr>
          <w:sz w:val="20"/>
          <w:szCs w:val="20"/>
          <w:color w:val="auto"/>
        </w:rPr>
      </w:pPr>
    </w:p>
    <w:p>
      <w:pPr>
        <w:ind w:right="40"/>
        <w:spacing w:after="0" w:line="314" w:lineRule="auto"/>
        <w:rPr>
          <w:sz w:val="20"/>
          <w:szCs w:val="20"/>
          <w:color w:val="auto"/>
        </w:rPr>
      </w:pPr>
      <w:r>
        <w:rPr>
          <w:rFonts w:ascii="Arial" w:cs="Arial" w:eastAsia="Arial" w:hAnsi="Arial"/>
          <w:sz w:val="15"/>
          <w:szCs w:val="15"/>
          <w:color w:val="auto"/>
        </w:rPr>
        <w:t>Mr. Singh continued, “We believe we have sufficient capital to fund all of our currently planned nonclinical and clinical studies across our pipeline. As a result, we expect to launch several clinical studies this calendar year, notably our pivotal Phase 3 clinical studies of PH94B as a potential acute treatment of anxiety in adults with social anxiety disorder, as well several small exploratory PH94B Phase 2 studies in adult patients experiencing additional anxiety-related disorders. This year, we will also complete preparations to launch Phase 2B clinical development of PH10 as a potential rapid-onset stand-alone treatment for major depressive disorder in early 2022. Finally, later this year, based on successful preclinical studies involving AV-101 alone and in combination with probenecid, we will launch Phase 1B clinical development of the combination to enable potential exploratory Phase 2 development of in several CNS disorders.”</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Highlights in Fiscal Q3 2021:</w:t>
      </w:r>
    </w:p>
    <w:p>
      <w:pPr>
        <w:spacing w:after="0" w:line="21" w:lineRule="exact"/>
        <w:rPr>
          <w:sz w:val="20"/>
          <w:szCs w:val="20"/>
          <w:color w:val="auto"/>
        </w:rPr>
      </w:pPr>
    </w:p>
    <w:p>
      <w:pPr>
        <w:ind w:left="660" w:hanging="328"/>
        <w:spacing w:after="0" w:line="281" w:lineRule="auto"/>
        <w:tabs>
          <w:tab w:leader="none" w:pos="660" w:val="left"/>
        </w:tabs>
        <w:numPr>
          <w:ilvl w:val="0"/>
          <w:numId w:val="2"/>
        </w:numPr>
        <w:rPr>
          <w:rFonts w:ascii="Arial" w:cs="Arial" w:eastAsia="Arial" w:hAnsi="Arial"/>
          <w:sz w:val="16"/>
          <w:szCs w:val="16"/>
          <w:color w:val="auto"/>
        </w:rPr>
      </w:pPr>
      <w:r>
        <w:rPr>
          <w:rFonts w:ascii="Arial" w:cs="Arial" w:eastAsia="Arial" w:hAnsi="Arial"/>
          <w:sz w:val="16"/>
          <w:szCs w:val="16"/>
          <w:u w:val="single" w:color="auto"/>
          <w:color w:val="0563C1"/>
        </w:rPr>
        <w:t>Closed $100 million</w:t>
      </w:r>
      <w:r>
        <w:rPr>
          <w:rFonts w:ascii="Arial" w:cs="Arial" w:eastAsia="Arial" w:hAnsi="Arial"/>
          <w:sz w:val="16"/>
          <w:szCs w:val="16"/>
          <w:color w:val="0563C1"/>
        </w:rPr>
        <w:t xml:space="preserve"> </w:t>
      </w:r>
      <w:r>
        <w:rPr>
          <w:rFonts w:ascii="Arial" w:cs="Arial" w:eastAsia="Arial" w:hAnsi="Arial"/>
          <w:sz w:val="16"/>
          <w:szCs w:val="16"/>
          <w:color w:val="000000"/>
        </w:rPr>
        <w:t>underwritten public offering led by Jefferies Group LLC and William Blair &amp; Company involving significant participation from</w:t>
      </w:r>
      <w:r>
        <w:rPr>
          <w:rFonts w:ascii="Arial" w:cs="Arial" w:eastAsia="Arial" w:hAnsi="Arial"/>
          <w:sz w:val="16"/>
          <w:szCs w:val="16"/>
          <w:color w:val="0563C1"/>
        </w:rPr>
        <w:t xml:space="preserve"> </w:t>
      </w:r>
      <w:r>
        <w:rPr>
          <w:rFonts w:ascii="Arial" w:cs="Arial" w:eastAsia="Arial" w:hAnsi="Arial"/>
          <w:sz w:val="16"/>
          <w:szCs w:val="16"/>
          <w:color w:val="000000"/>
        </w:rPr>
        <w:t>key healthcare-focused institutional investors, such as Acuta Capital, New Enterprise Associates, OrbiMed and Venrock Healthcare Capital Partners.</w:t>
      </w:r>
    </w:p>
    <w:p>
      <w:pPr>
        <w:spacing w:after="0" w:line="1" w:lineRule="exact"/>
        <w:rPr>
          <w:rFonts w:ascii="Arial" w:cs="Arial" w:eastAsia="Arial" w:hAnsi="Arial"/>
          <w:sz w:val="16"/>
          <w:szCs w:val="16"/>
          <w:color w:val="auto"/>
        </w:rPr>
      </w:pPr>
    </w:p>
    <w:p>
      <w:pPr>
        <w:ind w:left="660" w:hanging="328"/>
        <w:spacing w:after="0" w:line="260"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u w:val="single" w:color="auto"/>
          <w:color w:val="0563C1"/>
        </w:rPr>
        <w:t>Expanded R&amp;D team</w:t>
      </w:r>
      <w:r>
        <w:rPr>
          <w:rFonts w:ascii="Arial" w:cs="Arial" w:eastAsia="Arial" w:hAnsi="Arial"/>
          <w:sz w:val="18"/>
          <w:szCs w:val="18"/>
          <w:color w:val="0563C1"/>
        </w:rPr>
        <w:t xml:space="preserve"> </w:t>
      </w:r>
      <w:r>
        <w:rPr>
          <w:rFonts w:ascii="Arial" w:cs="Arial" w:eastAsia="Arial" w:hAnsi="Arial"/>
          <w:sz w:val="18"/>
          <w:szCs w:val="18"/>
          <w:color w:val="000000"/>
        </w:rPr>
        <w:t>with appointment of Louis Monti, M.D., Ph.D., a pioneer in the development of neuroactive steroids known as pherines,</w:t>
      </w:r>
      <w:r>
        <w:rPr>
          <w:rFonts w:ascii="Arial" w:cs="Arial" w:eastAsia="Arial" w:hAnsi="Arial"/>
          <w:sz w:val="18"/>
          <w:szCs w:val="18"/>
          <w:color w:val="0563C1"/>
        </w:rPr>
        <w:t xml:space="preserve"> </w:t>
      </w:r>
      <w:r>
        <w:rPr>
          <w:rFonts w:ascii="Arial" w:cs="Arial" w:eastAsia="Arial" w:hAnsi="Arial"/>
          <w:sz w:val="18"/>
          <w:szCs w:val="18"/>
          <w:color w:val="000000"/>
        </w:rPr>
        <w:t>including PH94B and PH10, as Vice President, Translational Medicine.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265430</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4" w:name="page5"/>
    <w:bookmarkEnd w:id="4"/>
    <w:p>
      <w:pPr>
        <w:ind w:left="660" w:right="20" w:hanging="328"/>
        <w:spacing w:after="0" w:line="254"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u w:val="single" w:color="auto"/>
          <w:color w:val="0563C1"/>
        </w:rPr>
        <w:t>Appointed Senior Vice President, Head of CMC (Chemistry, Manufacturing and Controls)</w:t>
      </w:r>
      <w:r>
        <w:rPr>
          <w:rFonts w:ascii="Arial" w:cs="Arial" w:eastAsia="Arial" w:hAnsi="Arial"/>
          <w:sz w:val="18"/>
          <w:szCs w:val="18"/>
          <w:color w:val="0563C1"/>
        </w:rPr>
        <w:t xml:space="preserve"> </w:t>
      </w:r>
      <w:r>
        <w:rPr>
          <w:rFonts w:ascii="Arial" w:cs="Arial" w:eastAsia="Arial" w:hAnsi="Arial"/>
          <w:sz w:val="18"/>
          <w:szCs w:val="18"/>
          <w:color w:val="000000"/>
        </w:rPr>
        <w:t>with the addition of Mark J. Ginski, Ph.D., an expert with</w:t>
      </w:r>
      <w:r>
        <w:rPr>
          <w:rFonts w:ascii="Arial" w:cs="Arial" w:eastAsia="Arial" w:hAnsi="Arial"/>
          <w:sz w:val="18"/>
          <w:szCs w:val="18"/>
          <w:color w:val="0563C1"/>
        </w:rPr>
        <w:t xml:space="preserve"> </w:t>
      </w:r>
      <w:r>
        <w:rPr>
          <w:rFonts w:ascii="Arial" w:cs="Arial" w:eastAsia="Arial" w:hAnsi="Arial"/>
          <w:sz w:val="18"/>
          <w:szCs w:val="18"/>
          <w:color w:val="000000"/>
        </w:rPr>
        <w:t>over 25 years of broad CMC leadership experience, spanning preclinical and clinical development.</w:t>
      </w:r>
    </w:p>
    <w:p>
      <w:pPr>
        <w:ind w:left="660" w:right="20" w:hanging="328"/>
        <w:spacing w:after="0" w:line="250"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u w:val="single" w:color="auto"/>
          <w:color w:val="0563C1"/>
        </w:rPr>
        <w:t>Announced publication</w:t>
      </w:r>
      <w:r>
        <w:rPr>
          <w:rFonts w:ascii="Arial" w:cs="Arial" w:eastAsia="Arial" w:hAnsi="Arial"/>
          <w:sz w:val="18"/>
          <w:szCs w:val="18"/>
          <w:color w:val="0563C1"/>
        </w:rPr>
        <w:t xml:space="preserve"> </w:t>
      </w:r>
      <w:r>
        <w:rPr>
          <w:rFonts w:ascii="Arial" w:cs="Arial" w:eastAsia="Arial" w:hAnsi="Arial"/>
          <w:sz w:val="18"/>
          <w:szCs w:val="18"/>
          <w:color w:val="000000"/>
        </w:rPr>
        <w:t>in</w:t>
      </w:r>
      <w:r>
        <w:rPr>
          <w:rFonts w:ascii="Arial" w:cs="Arial" w:eastAsia="Arial" w:hAnsi="Arial"/>
          <w:sz w:val="18"/>
          <w:szCs w:val="18"/>
          <w:color w:val="0563C1"/>
        </w:rPr>
        <w:t xml:space="preserve"> </w:t>
      </w:r>
      <w:r>
        <w:rPr>
          <w:rFonts w:ascii="Arial" w:cs="Arial" w:eastAsia="Arial" w:hAnsi="Arial"/>
          <w:sz w:val="18"/>
          <w:szCs w:val="18"/>
          <w:i w:val="1"/>
          <w:iCs w:val="1"/>
          <w:color w:val="000000"/>
        </w:rPr>
        <w:t>CNS Spectrums</w:t>
      </w:r>
      <w:r>
        <w:rPr>
          <w:rFonts w:ascii="Arial" w:cs="Arial" w:eastAsia="Arial" w:hAnsi="Arial"/>
          <w:sz w:val="18"/>
          <w:szCs w:val="18"/>
          <w:color w:val="0563C1"/>
        </w:rPr>
        <w:t xml:space="preserve"> </w:t>
      </w:r>
      <w:r>
        <w:rPr>
          <w:rFonts w:ascii="Arial" w:cs="Arial" w:eastAsia="Arial" w:hAnsi="Arial"/>
          <w:sz w:val="18"/>
          <w:szCs w:val="18"/>
          <w:color w:val="000000"/>
        </w:rPr>
        <w:t>detailing proposed mechanism of action of investigational neuroactive nasal sprays, PH94B and PH10, for</w:t>
      </w:r>
      <w:r>
        <w:rPr>
          <w:rFonts w:ascii="Arial" w:cs="Arial" w:eastAsia="Arial" w:hAnsi="Arial"/>
          <w:sz w:val="18"/>
          <w:szCs w:val="18"/>
          <w:color w:val="0563C1"/>
        </w:rPr>
        <w:t xml:space="preserve"> </w:t>
      </w:r>
      <w:r>
        <w:rPr>
          <w:rFonts w:ascii="Arial" w:cs="Arial" w:eastAsia="Arial" w:hAnsi="Arial"/>
          <w:sz w:val="18"/>
          <w:szCs w:val="18"/>
          <w:color w:val="000000"/>
        </w:rPr>
        <w:t>anxiety and depression disorders, respectively.</w:t>
      </w:r>
    </w:p>
    <w:p>
      <w:pPr>
        <w:ind w:left="660" w:hanging="328"/>
        <w:spacing w:after="0" w:line="260"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u w:val="single" w:color="auto"/>
          <w:color w:val="0563C1"/>
        </w:rPr>
        <w:t>The Korea Intellectual Property Office (KIPO)</w:t>
      </w:r>
      <w:r>
        <w:rPr>
          <w:rFonts w:ascii="Arial" w:cs="Arial" w:eastAsia="Arial" w:hAnsi="Arial"/>
          <w:sz w:val="18"/>
          <w:szCs w:val="18"/>
          <w:color w:val="0563C1"/>
        </w:rPr>
        <w:t xml:space="preserve"> </w:t>
      </w:r>
      <w:r>
        <w:rPr>
          <w:rFonts w:ascii="Arial" w:cs="Arial" w:eastAsia="Arial" w:hAnsi="Arial"/>
          <w:sz w:val="18"/>
          <w:szCs w:val="18"/>
          <w:color w:val="000000"/>
        </w:rPr>
        <w:t>in the Republic of Korea issued a Decision to Grant Patent Application No. 10-2015-7020176 related</w:t>
      </w:r>
      <w:r>
        <w:rPr>
          <w:rFonts w:ascii="Arial" w:cs="Arial" w:eastAsia="Arial" w:hAnsi="Arial"/>
          <w:sz w:val="18"/>
          <w:szCs w:val="18"/>
          <w:color w:val="0563C1"/>
        </w:rPr>
        <w:t xml:space="preserve"> </w:t>
      </w:r>
      <w:r>
        <w:rPr>
          <w:rFonts w:ascii="Arial" w:cs="Arial" w:eastAsia="Arial" w:hAnsi="Arial"/>
          <w:sz w:val="18"/>
          <w:szCs w:val="18"/>
          <w:color w:val="000000"/>
        </w:rPr>
        <w:t>to methods of treating depressive disorder for PH10.</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Results for the Fiscal Quarter Ended December 31, 2020:</w:t>
      </w:r>
    </w:p>
    <w:p>
      <w:pPr>
        <w:spacing w:after="0" w:line="225" w:lineRule="exact"/>
        <w:rPr>
          <w:sz w:val="20"/>
          <w:szCs w:val="20"/>
          <w:color w:val="auto"/>
        </w:rPr>
      </w:pPr>
    </w:p>
    <w:p>
      <w:pPr>
        <w:ind w:right="120"/>
        <w:spacing w:after="0" w:line="262" w:lineRule="auto"/>
        <w:rPr>
          <w:sz w:val="20"/>
          <w:szCs w:val="20"/>
          <w:color w:val="auto"/>
        </w:rPr>
      </w:pPr>
      <w:r>
        <w:rPr>
          <w:rFonts w:ascii="Arial" w:cs="Arial" w:eastAsia="Arial" w:hAnsi="Arial"/>
          <w:sz w:val="18"/>
          <w:szCs w:val="18"/>
          <w:b w:val="1"/>
          <w:bCs w:val="1"/>
          <w:color w:val="auto"/>
        </w:rPr>
        <w:t xml:space="preserve">Net loss: </w:t>
      </w:r>
      <w:r>
        <w:rPr>
          <w:rFonts w:ascii="Arial" w:cs="Arial" w:eastAsia="Arial" w:hAnsi="Arial"/>
          <w:sz w:val="18"/>
          <w:szCs w:val="18"/>
          <w:color w:val="auto"/>
        </w:rPr>
        <w:t>Net loss attributable to common stockholders for the fiscal quarter ended December 31, 2020 decreased to approximately $5.65 million compared to</w:t>
      </w:r>
      <w:r>
        <w:rPr>
          <w:rFonts w:ascii="Arial" w:cs="Arial" w:eastAsia="Arial" w:hAnsi="Arial"/>
          <w:sz w:val="18"/>
          <w:szCs w:val="18"/>
          <w:b w:val="1"/>
          <w:bCs w:val="1"/>
          <w:color w:val="auto"/>
        </w:rPr>
        <w:t xml:space="preserve"> </w:t>
      </w:r>
      <w:r>
        <w:rPr>
          <w:rFonts w:ascii="Arial" w:cs="Arial" w:eastAsia="Arial" w:hAnsi="Arial"/>
          <w:sz w:val="18"/>
          <w:szCs w:val="18"/>
          <w:color w:val="auto"/>
        </w:rPr>
        <w:t>$6.28 million for the fiscal quarter ended December 31, 2019. Net loss for the nine months ended December 31, 2020 and 2019 was approximately $11.7 million and $17.5 million, respectively.</w:t>
      </w:r>
    </w:p>
    <w:p>
      <w:pPr>
        <w:spacing w:after="0" w:line="186" w:lineRule="exact"/>
        <w:rPr>
          <w:sz w:val="20"/>
          <w:szCs w:val="20"/>
          <w:color w:val="auto"/>
        </w:rPr>
      </w:pPr>
    </w:p>
    <w:p>
      <w:pPr>
        <w:ind w:right="80"/>
        <w:spacing w:after="0" w:line="258" w:lineRule="auto"/>
        <w:rPr>
          <w:sz w:val="20"/>
          <w:szCs w:val="20"/>
          <w:color w:val="auto"/>
        </w:rPr>
      </w:pPr>
      <w:r>
        <w:rPr>
          <w:rFonts w:ascii="Arial" w:cs="Arial" w:eastAsia="Arial" w:hAnsi="Arial"/>
          <w:sz w:val="18"/>
          <w:szCs w:val="18"/>
          <w:b w:val="1"/>
          <w:bCs w:val="1"/>
          <w:color w:val="auto"/>
        </w:rPr>
        <w:t xml:space="preserve">Revenue: </w:t>
      </w:r>
      <w:r>
        <w:rPr>
          <w:rFonts w:ascii="Arial" w:cs="Arial" w:eastAsia="Arial" w:hAnsi="Arial"/>
          <w:sz w:val="18"/>
          <w:szCs w:val="18"/>
          <w:color w:val="auto"/>
        </w:rPr>
        <w:t>VistaGen recognized $313,600 in sublicense revenue pursuant to its PH94B development and commercialization agreement with EverInsight</w:t>
      </w:r>
      <w:r>
        <w:rPr>
          <w:rFonts w:ascii="Arial" w:cs="Arial" w:eastAsia="Arial" w:hAnsi="Arial"/>
          <w:sz w:val="18"/>
          <w:szCs w:val="18"/>
          <w:b w:val="1"/>
          <w:bCs w:val="1"/>
          <w:color w:val="auto"/>
        </w:rPr>
        <w:t xml:space="preserve"> </w:t>
      </w:r>
      <w:r>
        <w:rPr>
          <w:rFonts w:ascii="Arial" w:cs="Arial" w:eastAsia="Arial" w:hAnsi="Arial"/>
          <w:sz w:val="18"/>
          <w:szCs w:val="18"/>
          <w:color w:val="auto"/>
        </w:rPr>
        <w:t>Therapeutics (now AffaMed Therapeutics) for the quarter ended December 31, 2020 compared to none in the quarter ended December 31, 2019. On June 24, 2020, VistaGen entered into the agreement with EverInsight Therapeutics, pursuant to which the Company received a non-dilutive upfront license fee payment of $5.0 million on August 3, 2020.</w:t>
      </w:r>
    </w:p>
    <w:p>
      <w:pPr>
        <w:spacing w:after="0" w:line="190" w:lineRule="exact"/>
        <w:rPr>
          <w:sz w:val="20"/>
          <w:szCs w:val="20"/>
          <w:color w:val="auto"/>
        </w:rPr>
      </w:pPr>
    </w:p>
    <w:p>
      <w:pPr>
        <w:spacing w:after="0" w:line="254" w:lineRule="auto"/>
        <w:rPr>
          <w:sz w:val="20"/>
          <w:szCs w:val="20"/>
          <w:color w:val="auto"/>
        </w:rPr>
      </w:pPr>
      <w:r>
        <w:rPr>
          <w:rFonts w:ascii="Arial" w:cs="Arial" w:eastAsia="Arial" w:hAnsi="Arial"/>
          <w:sz w:val="18"/>
          <w:szCs w:val="18"/>
          <w:b w:val="1"/>
          <w:bCs w:val="1"/>
          <w:color w:val="auto"/>
        </w:rPr>
        <w:t xml:space="preserve">Research and development (R&amp;D) expense: </w:t>
      </w:r>
      <w:r>
        <w:rPr>
          <w:rFonts w:ascii="Arial" w:cs="Arial" w:eastAsia="Arial" w:hAnsi="Arial"/>
          <w:sz w:val="18"/>
          <w:szCs w:val="18"/>
          <w:color w:val="auto"/>
        </w:rPr>
        <w:t>Research and development expense increased from $3.0 million to $3.5 million for the quarters ended December</w:t>
      </w:r>
      <w:r>
        <w:rPr>
          <w:rFonts w:ascii="Arial" w:cs="Arial" w:eastAsia="Arial" w:hAnsi="Arial"/>
          <w:sz w:val="18"/>
          <w:szCs w:val="18"/>
          <w:b w:val="1"/>
          <w:bCs w:val="1"/>
          <w:color w:val="auto"/>
        </w:rPr>
        <w:t xml:space="preserve"> </w:t>
      </w:r>
      <w:r>
        <w:rPr>
          <w:rFonts w:ascii="Arial" w:cs="Arial" w:eastAsia="Arial" w:hAnsi="Arial"/>
          <w:sz w:val="18"/>
          <w:szCs w:val="18"/>
          <w:color w:val="auto"/>
        </w:rPr>
        <w:t>31, 2019 and 2020, respectively. Cash compensation for the quarter ended December 31, 2020 increased by approximately $0.3 million and was offset by a similar decrease in noncash stock-based compensation for the same period compared to expenses in the quarter ended December 31, 2019. PH94B and PH10 development expenses increased by approximately $1.5 million in the quarter ended December 31, 2020 compared to expense for the quarter ended December 31, 2019 as drug substance and drug product manufacturing preceding clinical trials advanced. AV-101-related expenses decreased primarily due to the completion of the Company’s multi-center Phase 2 study of AV-101 for the adjunctive treatment of major depressive disorder in the quarter ended December 31, 2019.</w:t>
      </w:r>
    </w:p>
    <w:p>
      <w:pPr>
        <w:spacing w:after="0" w:line="195"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b w:val="1"/>
          <w:bCs w:val="1"/>
          <w:color w:val="auto"/>
        </w:rPr>
        <w:t xml:space="preserve">General and administrative (G&amp;A) expense: </w:t>
      </w:r>
      <w:r>
        <w:rPr>
          <w:rFonts w:ascii="Arial" w:cs="Arial" w:eastAsia="Arial" w:hAnsi="Arial"/>
          <w:sz w:val="18"/>
          <w:szCs w:val="18"/>
          <w:color w:val="auto"/>
        </w:rPr>
        <w:t>General and administrative expense decreased to approximately $2.1 million from approximately $2.9 million</w:t>
      </w:r>
      <w:r>
        <w:rPr>
          <w:rFonts w:ascii="Arial" w:cs="Arial" w:eastAsia="Arial" w:hAnsi="Arial"/>
          <w:sz w:val="18"/>
          <w:szCs w:val="18"/>
          <w:b w:val="1"/>
          <w:bCs w:val="1"/>
          <w:color w:val="auto"/>
        </w:rPr>
        <w:t xml:space="preserve"> </w:t>
      </w:r>
      <w:r>
        <w:rPr>
          <w:rFonts w:ascii="Arial" w:cs="Arial" w:eastAsia="Arial" w:hAnsi="Arial"/>
          <w:sz w:val="18"/>
          <w:szCs w:val="18"/>
          <w:color w:val="auto"/>
        </w:rPr>
        <w:t>for the quarters ended December 31, 2020 and 2019, respectively. Cash compensation for the quarter ended December 31, 2020 increased by approximately $0.6 million and was offset by a similar decrease in noncash stock-based compensation for the same period compared to expenses in the quarter ended December 31, 2019. Further, in the quarter ended December 31, 2019, VistaGen completed certain modifications to outstanding warrants and recognized non-cash warrant modification expense of $826,900.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79" w:right="339" w:bottom="1440" w:gutter="0" w:footer="0" w:header="0"/>
        </w:sectPr>
      </w:pPr>
    </w:p>
    <w:bookmarkStart w:id="5" w:name="page6"/>
    <w:bookmarkEnd w:id="5"/>
    <w:p>
      <w:pPr>
        <w:ind w:right="60"/>
        <w:spacing w:after="0" w:line="254" w:lineRule="auto"/>
        <w:rPr>
          <w:sz w:val="20"/>
          <w:szCs w:val="20"/>
          <w:color w:val="auto"/>
        </w:rPr>
      </w:pPr>
      <w:r>
        <w:rPr>
          <w:rFonts w:ascii="Arial" w:cs="Arial" w:eastAsia="Arial" w:hAnsi="Arial"/>
          <w:sz w:val="18"/>
          <w:szCs w:val="18"/>
          <w:b w:val="1"/>
          <w:bCs w:val="1"/>
          <w:color w:val="auto"/>
        </w:rPr>
        <w:t xml:space="preserve">Cash Position: </w:t>
      </w:r>
      <w:r>
        <w:rPr>
          <w:rFonts w:ascii="Arial" w:cs="Arial" w:eastAsia="Arial" w:hAnsi="Arial"/>
          <w:sz w:val="18"/>
          <w:szCs w:val="18"/>
          <w:color w:val="auto"/>
        </w:rPr>
        <w:t>At December 31, 2020, the Company had cash and cash equivalents of approximately $104.3 million. The Company believes its current cash</w:t>
      </w:r>
      <w:r>
        <w:rPr>
          <w:rFonts w:ascii="Arial" w:cs="Arial" w:eastAsia="Arial" w:hAnsi="Arial"/>
          <w:sz w:val="18"/>
          <w:szCs w:val="18"/>
          <w:b w:val="1"/>
          <w:bCs w:val="1"/>
          <w:color w:val="auto"/>
        </w:rPr>
        <w:t xml:space="preserve"> </w:t>
      </w:r>
      <w:r>
        <w:rPr>
          <w:rFonts w:ascii="Arial" w:cs="Arial" w:eastAsia="Arial" w:hAnsi="Arial"/>
          <w:sz w:val="18"/>
          <w:szCs w:val="18"/>
          <w:color w:val="auto"/>
        </w:rPr>
        <w:t>position is sufficient to advance an important stream of potential clinical and regulatory catalysts, including, among others: its Phase 3 development program for PH94B for the acute treatment of anxiety in adults with SAD and, upon successful Phase 3 development, submission of its New Drug Application to the U.S. Food and Drug Administration and potential U.S. market approval of PH94B; exploratory Phase 2 clinical development of PH94B in multiple additional anxiety-related disorders; Phase 2B clinical development of PH10 as a potential stand-alone treatment for major depressive disorder; and Phase 1B and potential exploratory Phase 2 clinical development of AV-101 in combination with probenecid for CNS disorders involving the NMDA (N-methyl-D-aspartate) receptor.</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auto"/>
        </w:rPr>
        <w:t>As of February 11, 2021, the Company had 141,694,413 shares of common stock outstanding.</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VistaGen</w:t>
      </w:r>
    </w:p>
    <w:p>
      <w:pPr>
        <w:spacing w:after="0" w:line="21" w:lineRule="exact"/>
        <w:rPr>
          <w:sz w:val="20"/>
          <w:szCs w:val="20"/>
          <w:color w:val="auto"/>
        </w:rPr>
      </w:pPr>
    </w:p>
    <w:p>
      <w:pPr>
        <w:spacing w:after="0" w:line="295" w:lineRule="auto"/>
        <w:rPr>
          <w:sz w:val="20"/>
          <w:szCs w:val="20"/>
          <w:color w:val="auto"/>
        </w:rPr>
      </w:pPr>
      <w:r>
        <w:rPr>
          <w:rFonts w:ascii="Arial" w:cs="Arial" w:eastAsia="Arial" w:hAnsi="Arial"/>
          <w:sz w:val="16"/>
          <w:szCs w:val="16"/>
          <w:color w:val="auto"/>
        </w:rPr>
        <w:t xml:space="preserve">VistaGen Therapeutics is a biopharmaceutical company committed to developing and commercializing innovative medicines with the potential to go beyond the current standard of care for anxiety, depression, and other CNS disorders. Each of VistaGen's three drug candidates has a differentiated potential mechanism of action, has been well-tolerated in all clinical studies to date and has therapeutic potential in multiple CNS markets. For more information, please visit </w:t>
      </w:r>
      <w:r>
        <w:rPr>
          <w:rFonts w:ascii="Arial" w:cs="Arial" w:eastAsia="Arial" w:hAnsi="Arial"/>
          <w:sz w:val="16"/>
          <w:szCs w:val="16"/>
          <w:u w:val="single" w:color="auto"/>
          <w:color w:val="0563C1"/>
        </w:rPr>
        <w:t>www.vistagen.com</w:t>
      </w:r>
      <w:r>
        <w:rPr>
          <w:rFonts w:ascii="Arial" w:cs="Arial" w:eastAsia="Arial" w:hAnsi="Arial"/>
          <w:sz w:val="16"/>
          <w:szCs w:val="16"/>
          <w:color w:val="0563C1"/>
        </w:rPr>
        <w:t xml:space="preserve"> </w:t>
      </w:r>
      <w:r>
        <w:rPr>
          <w:rFonts w:ascii="Arial" w:cs="Arial" w:eastAsia="Arial" w:hAnsi="Arial"/>
          <w:sz w:val="16"/>
          <w:szCs w:val="16"/>
          <w:color w:val="000000"/>
        </w:rPr>
        <w:t>and connect with VistaGen on Twitter, LinkedIn, and Facebook.</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 Looking Statements</w:t>
      </w:r>
    </w:p>
    <w:p>
      <w:pPr>
        <w:spacing w:after="0" w:line="164" w:lineRule="exact"/>
        <w:rPr>
          <w:sz w:val="20"/>
          <w:szCs w:val="20"/>
          <w:color w:val="auto"/>
        </w:rPr>
      </w:pPr>
    </w:p>
    <w:p>
      <w:pPr>
        <w:ind w:right="40"/>
        <w:spacing w:after="0" w:line="284" w:lineRule="auto"/>
        <w:rPr>
          <w:sz w:val="20"/>
          <w:szCs w:val="20"/>
          <w:color w:val="auto"/>
        </w:rPr>
      </w:pPr>
      <w:r>
        <w:rPr>
          <w:rFonts w:ascii="Arial" w:cs="Arial" w:eastAsia="Arial" w:hAnsi="Arial"/>
          <w:sz w:val="16"/>
          <w:szCs w:val="16"/>
          <w:color w:val="auto"/>
        </w:rPr>
        <w:t>This press release contains certain forward-looking statements within the meaning of the federal securities laws. These forward-looking statements involve known and unknown risks that are difficult to predict and include all matters that are not historical facts. In some cases, you can identify forward-looking statements by the use of words such as “may,” “could,” “expect,” “project,” “outlook,” “strategy,” “intend,” “plan,” “seek,” “anticipate,” “believe,” “estimate,” “predict,” “potential,” “strive,” “goal,” “continue,” “likely,” “will,” “would” and variations of these terms and similar expressions, or the negative of these terms or similar expressions. Such forward-looking statements are necessarily based upon estimates and assumptions that, while considered reasonable by us and our management, are inherently uncertain. Our actual results or developments may differ materially from those projected or implied in these forward-looking statements. Factors that may cause such a difference include, without limitation, risks and uncertainties relating to delays in launching and/or conducting our planned clinical trials, including delays due to the impact of the COVID-19 pandemic; fluctuating costs of materials and other resources required to conduct our planned clinical and non-clinical trials; continued uncertainty with respect to the COVID-19 pandemic; market conditions; the impact of general economic, industry or political conditions in the United States or internationally; adverse healthcare reforms and changes of laws and regulations; manufacturing and marketing risks, including risks related to the COVID-19 pandemic, which may include, but are not limited to, unavailability of or delays in delivery of raw materials for manufacture of our CNS drug candidates and difficulty in initiating or conducting clinical trials; inadequate and/or untimely supply of one or more of our CNS drug candidates to meet demand; entry of competitive products; and other technical and unexpected hurdles in the development, manufacture and commercialization of our CNS drug candidates; and the risks more fully discussed in the section entitled "Risk Factors" in our most recent Annual Report on Form 10-K for the year ended March 31, 2020, and in our most recent Quarterly Report on Form 10-Q for the quarter ended December 31, 2020, as well as discussions of potential risks, uncertainties, and other important factors in our other filings with the U.S. Securities and Exchange Commission (SEC). Our SEC filings are available on the SEC’s website at www.sec.gov. You should not place undue reliance on these forward-looking statements, which apply only as of the date of this press release and should not be relied upon as representing our views as of any subsequent date. We explicitly disclaim any obligation to update any forward-looking statements, other than as may be required by law. If we do update one or more forward-looking statements, no inference should be made that we will make additional updates with respect to those or other forward-looking statements.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VistaGen Company Contact</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Mark McPartland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VistaGen Therapeutics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Phone: (650) 577-3606</w:t>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Email: </w:t>
      </w:r>
      <w:r>
        <w:rPr>
          <w:rFonts w:ascii="Arial" w:cs="Arial" w:eastAsia="Arial" w:hAnsi="Arial"/>
          <w:sz w:val="18"/>
          <w:szCs w:val="18"/>
          <w:u w:val="single" w:color="auto"/>
          <w:color w:val="auto"/>
        </w:rPr>
        <w:t>IR@vistagen.com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534035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bookmarkStart w:id="6" w:name="page7"/>
    <w:bookmarkEnd w:id="6"/>
    <w:p>
      <w:pPr>
        <w:ind w:left="4240"/>
        <w:spacing w:after="0"/>
        <w:rPr>
          <w:sz w:val="20"/>
          <w:szCs w:val="20"/>
          <w:color w:val="auto"/>
        </w:rPr>
      </w:pPr>
      <w:r>
        <w:rPr>
          <w:rFonts w:ascii="Arial" w:cs="Arial" w:eastAsia="Arial" w:hAnsi="Arial"/>
          <w:sz w:val="18"/>
          <w:szCs w:val="18"/>
          <w:b w:val="1"/>
          <w:bCs w:val="1"/>
          <w:color w:val="auto"/>
        </w:rPr>
        <w:t>VISTAGEN THERAPEUTICS, INC.</w:t>
      </w:r>
    </w:p>
    <w:p>
      <w:pPr>
        <w:spacing w:after="0" w:line="21" w:lineRule="exact"/>
        <w:rPr>
          <w:sz w:val="20"/>
          <w:szCs w:val="20"/>
          <w:color w:val="auto"/>
        </w:rPr>
      </w:pPr>
    </w:p>
    <w:p>
      <w:pPr>
        <w:ind w:left="4100"/>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ind w:left="4100"/>
        <w:spacing w:after="0"/>
        <w:rPr>
          <w:sz w:val="20"/>
          <w:szCs w:val="20"/>
          <w:color w:val="auto"/>
        </w:rPr>
      </w:pPr>
      <w:r>
        <w:rPr>
          <w:rFonts w:ascii="Arial" w:cs="Arial" w:eastAsia="Arial" w:hAnsi="Arial"/>
          <w:sz w:val="18"/>
          <w:szCs w:val="18"/>
          <w:color w:val="auto"/>
        </w:rPr>
        <w:t>(Amounts in dollars, except share amounts)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gridSpan w:val="3"/>
          </w:tcPr>
          <w:p>
            <w:pPr>
              <w:jc w:val="right"/>
              <w:ind w:right="220"/>
              <w:spacing w:after="0"/>
              <w:rPr>
                <w:sz w:val="20"/>
                <w:szCs w:val="20"/>
                <w:color w:val="auto"/>
              </w:rPr>
            </w:pPr>
            <w:r>
              <w:rPr>
                <w:rFonts w:ascii="Arial" w:cs="Arial" w:eastAsia="Arial" w:hAnsi="Arial"/>
                <w:sz w:val="16"/>
                <w:szCs w:val="16"/>
                <w:b w:val="1"/>
                <w:bCs w:val="1"/>
                <w:color w:val="auto"/>
                <w:w w:val="96"/>
              </w:rPr>
              <w:t>December 31,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4"/>
              </w:rPr>
              <w:t>March 31,</w:t>
            </w:r>
          </w:p>
        </w:tc>
      </w:tr>
      <w:tr>
        <w:trPr>
          <w:trHeight w:val="229"/>
        </w:trPr>
        <w:tc>
          <w:tcPr>
            <w:tcW w:w="83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2020</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2020</w:t>
            </w:r>
          </w:p>
        </w:tc>
        <w:tc>
          <w:tcPr>
            <w:tcW w:w="140" w:type="dxa"/>
            <w:vAlign w:val="bottom"/>
          </w:tcPr>
          <w:p>
            <w:pPr>
              <w:spacing w:after="0"/>
              <w:rPr>
                <w:sz w:val="19"/>
                <w:szCs w:val="19"/>
                <w:color w:val="auto"/>
              </w:rPr>
            </w:pPr>
          </w:p>
        </w:tc>
      </w:tr>
      <w:tr>
        <w:trPr>
          <w:trHeight w:val="210"/>
        </w:trPr>
        <w:tc>
          <w:tcPr>
            <w:tcW w:w="8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b w:val="1"/>
                <w:bCs w:val="1"/>
                <w:color w:val="auto"/>
                <w:w w:val="94"/>
              </w:rPr>
              <w:t>(Unaudited)</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441"/>
        </w:trPr>
        <w:tc>
          <w:tcPr>
            <w:tcW w:w="8320" w:type="dxa"/>
            <w:vAlign w:val="bottom"/>
          </w:tcPr>
          <w:p>
            <w:pPr>
              <w:ind w:left="5340"/>
              <w:spacing w:after="0"/>
              <w:rPr>
                <w:sz w:val="20"/>
                <w:szCs w:val="20"/>
                <w:color w:val="auto"/>
              </w:rPr>
            </w:pPr>
            <w:r>
              <w:rPr>
                <w:rFonts w:ascii="Arial" w:cs="Arial" w:eastAsia="Arial" w:hAnsi="Arial"/>
                <w:sz w:val="16"/>
                <w:szCs w:val="16"/>
                <w:b w:val="1"/>
                <w:bCs w:val="1"/>
                <w:color w:val="auto"/>
              </w:rPr>
              <w:t>ASSETS</w:t>
            </w: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209"/>
        </w:trPr>
        <w:tc>
          <w:tcPr>
            <w:tcW w:w="8320" w:type="dxa"/>
            <w:vAlign w:val="bottom"/>
          </w:tcPr>
          <w:p>
            <w:pPr>
              <w:ind w:left="40"/>
              <w:spacing w:after="0"/>
              <w:rPr>
                <w:sz w:val="20"/>
                <w:szCs w:val="20"/>
                <w:color w:val="auto"/>
              </w:rPr>
            </w:pPr>
            <w:r>
              <w:rPr>
                <w:rFonts w:ascii="Arial" w:cs="Arial" w:eastAsia="Arial" w:hAnsi="Arial"/>
                <w:sz w:val="16"/>
                <w:szCs w:val="16"/>
                <w:color w:val="auto"/>
              </w:rPr>
              <w:t>Current assets:</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05"/>
        </w:trPr>
        <w:tc>
          <w:tcPr>
            <w:tcW w:w="8320" w:type="dxa"/>
            <w:vAlign w:val="bottom"/>
            <w:shd w:val="clear" w:color="auto" w:fill="CCEEFF"/>
          </w:tcPr>
          <w:p>
            <w:pPr>
              <w:ind w:left="340"/>
              <w:spacing w:after="0"/>
              <w:rPr>
                <w:sz w:val="20"/>
                <w:szCs w:val="20"/>
                <w:color w:val="auto"/>
              </w:rPr>
            </w:pPr>
            <w:r>
              <w:rPr>
                <w:rFonts w:ascii="Arial" w:cs="Arial" w:eastAsia="Arial" w:hAnsi="Arial"/>
                <w:sz w:val="16"/>
                <w:szCs w:val="16"/>
                <w:color w:val="auto"/>
              </w:rPr>
              <w:t>Cash and cash equivalents</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104,331,100</w:t>
            </w:r>
          </w:p>
        </w:tc>
        <w:tc>
          <w:tcPr>
            <w:tcW w:w="160" w:type="dxa"/>
            <w:vAlign w:val="bottom"/>
            <w:shd w:val="clear" w:color="auto" w:fill="CCEEFF"/>
          </w:tcPr>
          <w:p>
            <w:pPr>
              <w:spacing w:after="0"/>
              <w:rPr>
                <w:sz w:val="17"/>
                <w:szCs w:val="17"/>
                <w:color w:val="auto"/>
              </w:rPr>
            </w:pP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1,355,100</w:t>
            </w:r>
          </w:p>
        </w:tc>
      </w:tr>
      <w:tr>
        <w:trPr>
          <w:trHeight w:val="203"/>
        </w:trPr>
        <w:tc>
          <w:tcPr>
            <w:tcW w:w="8320" w:type="dxa"/>
            <w:vAlign w:val="bottom"/>
          </w:tcPr>
          <w:p>
            <w:pPr>
              <w:ind w:left="340"/>
              <w:spacing w:after="0"/>
              <w:rPr>
                <w:sz w:val="20"/>
                <w:szCs w:val="20"/>
                <w:color w:val="auto"/>
              </w:rPr>
            </w:pPr>
            <w:r>
              <w:rPr>
                <w:rFonts w:ascii="Arial" w:cs="Arial" w:eastAsia="Arial" w:hAnsi="Arial"/>
                <w:sz w:val="16"/>
                <w:szCs w:val="16"/>
                <w:color w:val="auto"/>
              </w:rPr>
              <w:t>Prepaid expenses and other current assets</w:t>
            </w: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547,500</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6"/>
                <w:szCs w:val="16"/>
                <w:color w:val="auto"/>
              </w:rPr>
              <w:t>225,100</w:t>
            </w:r>
          </w:p>
        </w:tc>
      </w:tr>
      <w:tr>
        <w:trPr>
          <w:trHeight w:val="203"/>
        </w:trPr>
        <w:tc>
          <w:tcPr>
            <w:tcW w:w="8320" w:type="dxa"/>
            <w:vAlign w:val="bottom"/>
            <w:shd w:val="clear" w:color="auto" w:fill="CCEEFF"/>
          </w:tcPr>
          <w:p>
            <w:pPr>
              <w:ind w:left="340"/>
              <w:spacing w:after="0"/>
              <w:rPr>
                <w:sz w:val="20"/>
                <w:szCs w:val="20"/>
                <w:color w:val="auto"/>
              </w:rPr>
            </w:pPr>
            <w:r>
              <w:rPr>
                <w:rFonts w:ascii="Arial" w:cs="Arial" w:eastAsia="Arial" w:hAnsi="Arial"/>
                <w:sz w:val="16"/>
                <w:szCs w:val="16"/>
                <w:color w:val="auto"/>
              </w:rPr>
              <w:t>Deferred contract acquisition costs - current portion</w:t>
            </w:r>
          </w:p>
        </w:tc>
        <w:tc>
          <w:tcPr>
            <w:tcW w:w="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116,900</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r>
      <w:tr>
        <w:trPr>
          <w:trHeight w:val="27"/>
        </w:trPr>
        <w:tc>
          <w:tcPr>
            <w:tcW w:w="832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r>
      <w:tr>
        <w:trPr>
          <w:trHeight w:val="203"/>
        </w:trPr>
        <w:tc>
          <w:tcPr>
            <w:tcW w:w="8320" w:type="dxa"/>
            <w:vAlign w:val="bottom"/>
          </w:tcPr>
          <w:p>
            <w:pPr>
              <w:ind w:left="500"/>
              <w:spacing w:after="0"/>
              <w:rPr>
                <w:sz w:val="20"/>
                <w:szCs w:val="20"/>
                <w:color w:val="auto"/>
              </w:rPr>
            </w:pPr>
            <w:r>
              <w:rPr>
                <w:rFonts w:ascii="Arial" w:cs="Arial" w:eastAsia="Arial" w:hAnsi="Arial"/>
                <w:sz w:val="16"/>
                <w:szCs w:val="16"/>
                <w:color w:val="auto"/>
              </w:rPr>
              <w:t>Total current assets</w:t>
            </w: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104,995,500</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6"/>
                <w:szCs w:val="16"/>
                <w:color w:val="auto"/>
              </w:rPr>
              <w:t>1,580,200</w:t>
            </w:r>
          </w:p>
        </w:tc>
      </w:tr>
      <w:tr>
        <w:trPr>
          <w:trHeight w:val="203"/>
        </w:trPr>
        <w:tc>
          <w:tcPr>
            <w:tcW w:w="8320" w:type="dxa"/>
            <w:vAlign w:val="bottom"/>
            <w:shd w:val="clear" w:color="auto" w:fill="CCEEFF"/>
          </w:tcPr>
          <w:p>
            <w:pPr>
              <w:ind w:left="40"/>
              <w:spacing w:after="0"/>
              <w:rPr>
                <w:sz w:val="20"/>
                <w:szCs w:val="20"/>
                <w:color w:val="auto"/>
              </w:rPr>
            </w:pPr>
            <w:r>
              <w:rPr>
                <w:rFonts w:ascii="Arial" w:cs="Arial" w:eastAsia="Arial" w:hAnsi="Arial"/>
                <w:sz w:val="16"/>
                <w:szCs w:val="16"/>
                <w:color w:val="auto"/>
              </w:rPr>
              <w:t>Property and equipment, net</w:t>
            </w:r>
          </w:p>
        </w:tc>
        <w:tc>
          <w:tcPr>
            <w:tcW w:w="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382,200</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209,600</w:t>
            </w:r>
          </w:p>
        </w:tc>
      </w:tr>
      <w:tr>
        <w:trPr>
          <w:trHeight w:val="203"/>
        </w:trPr>
        <w:tc>
          <w:tcPr>
            <w:tcW w:w="8320" w:type="dxa"/>
            <w:vAlign w:val="bottom"/>
          </w:tcPr>
          <w:p>
            <w:pPr>
              <w:ind w:left="40"/>
              <w:spacing w:after="0"/>
              <w:rPr>
                <w:sz w:val="20"/>
                <w:szCs w:val="20"/>
                <w:color w:val="auto"/>
              </w:rPr>
            </w:pPr>
            <w:r>
              <w:rPr>
                <w:rFonts w:ascii="Arial" w:cs="Arial" w:eastAsia="Arial" w:hAnsi="Arial"/>
                <w:sz w:val="16"/>
                <w:szCs w:val="16"/>
                <w:color w:val="auto"/>
              </w:rPr>
              <w:t>Right of use asset - operating lease</w:t>
            </w: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3,312,100</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6"/>
                <w:szCs w:val="16"/>
                <w:color w:val="auto"/>
              </w:rPr>
              <w:t>3,579,600</w:t>
            </w:r>
          </w:p>
        </w:tc>
      </w:tr>
      <w:tr>
        <w:trPr>
          <w:trHeight w:val="203"/>
        </w:trPr>
        <w:tc>
          <w:tcPr>
            <w:tcW w:w="8320" w:type="dxa"/>
            <w:vAlign w:val="bottom"/>
            <w:shd w:val="clear" w:color="auto" w:fill="CCEEFF"/>
          </w:tcPr>
          <w:p>
            <w:pPr>
              <w:ind w:left="40"/>
              <w:spacing w:after="0"/>
              <w:rPr>
                <w:sz w:val="20"/>
                <w:szCs w:val="20"/>
                <w:color w:val="auto"/>
              </w:rPr>
            </w:pPr>
            <w:r>
              <w:rPr>
                <w:rFonts w:ascii="Arial" w:cs="Arial" w:eastAsia="Arial" w:hAnsi="Arial"/>
                <w:sz w:val="16"/>
                <w:szCs w:val="16"/>
                <w:color w:val="auto"/>
              </w:rPr>
              <w:t>Deferred offering costs</w:t>
            </w:r>
          </w:p>
        </w:tc>
        <w:tc>
          <w:tcPr>
            <w:tcW w:w="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241,300</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355,100</w:t>
            </w:r>
          </w:p>
        </w:tc>
      </w:tr>
      <w:tr>
        <w:trPr>
          <w:trHeight w:val="203"/>
        </w:trPr>
        <w:tc>
          <w:tcPr>
            <w:tcW w:w="8320" w:type="dxa"/>
            <w:vAlign w:val="bottom"/>
          </w:tcPr>
          <w:p>
            <w:pPr>
              <w:ind w:left="40"/>
              <w:spacing w:after="0"/>
              <w:rPr>
                <w:sz w:val="20"/>
                <w:szCs w:val="20"/>
                <w:color w:val="auto"/>
              </w:rPr>
            </w:pPr>
            <w:r>
              <w:rPr>
                <w:rFonts w:ascii="Arial" w:cs="Arial" w:eastAsia="Arial" w:hAnsi="Arial"/>
                <w:sz w:val="16"/>
                <w:szCs w:val="16"/>
                <w:color w:val="auto"/>
              </w:rPr>
              <w:t>Deferred contract acquisitions cost - non-current portion</w:t>
            </w: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292,200</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r>
      <w:tr>
        <w:trPr>
          <w:trHeight w:val="203"/>
        </w:trPr>
        <w:tc>
          <w:tcPr>
            <w:tcW w:w="8320" w:type="dxa"/>
            <w:vAlign w:val="bottom"/>
            <w:shd w:val="clear" w:color="auto" w:fill="CCEEFF"/>
          </w:tcPr>
          <w:p>
            <w:pPr>
              <w:ind w:left="40"/>
              <w:spacing w:after="0"/>
              <w:rPr>
                <w:sz w:val="20"/>
                <w:szCs w:val="20"/>
                <w:color w:val="auto"/>
              </w:rPr>
            </w:pPr>
            <w:r>
              <w:rPr>
                <w:rFonts w:ascii="Arial" w:cs="Arial" w:eastAsia="Arial" w:hAnsi="Arial"/>
                <w:sz w:val="16"/>
                <w:szCs w:val="16"/>
                <w:color w:val="auto"/>
              </w:rPr>
              <w:t>Security deposits and other assets</w:t>
            </w:r>
          </w:p>
        </w:tc>
        <w:tc>
          <w:tcPr>
            <w:tcW w:w="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47,800</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47,800</w:t>
            </w:r>
          </w:p>
        </w:tc>
      </w:tr>
      <w:tr>
        <w:trPr>
          <w:trHeight w:val="27"/>
        </w:trPr>
        <w:tc>
          <w:tcPr>
            <w:tcW w:w="832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r>
      <w:tr>
        <w:trPr>
          <w:trHeight w:val="203"/>
        </w:trPr>
        <w:tc>
          <w:tcPr>
            <w:tcW w:w="8320" w:type="dxa"/>
            <w:vAlign w:val="bottom"/>
          </w:tcPr>
          <w:p>
            <w:pPr>
              <w:ind w:left="700"/>
              <w:spacing w:after="0"/>
              <w:rPr>
                <w:sz w:val="20"/>
                <w:szCs w:val="20"/>
                <w:color w:val="auto"/>
              </w:rPr>
            </w:pPr>
            <w:r>
              <w:rPr>
                <w:rFonts w:ascii="Arial" w:cs="Arial" w:eastAsia="Arial" w:hAnsi="Arial"/>
                <w:sz w:val="16"/>
                <w:szCs w:val="16"/>
                <w:color w:val="auto"/>
              </w:rPr>
              <w:t>Total assets</w:t>
            </w:r>
          </w:p>
        </w:tc>
        <w:tc>
          <w:tcPr>
            <w:tcW w:w="36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109,271,100</w:t>
            </w:r>
          </w:p>
        </w:tc>
        <w:tc>
          <w:tcPr>
            <w:tcW w:w="160" w:type="dxa"/>
            <w:vAlign w:val="bottom"/>
          </w:tcPr>
          <w:p>
            <w:pPr>
              <w:spacing w:after="0"/>
              <w:rPr>
                <w:sz w:val="17"/>
                <w:szCs w:val="17"/>
                <w:color w:val="auto"/>
              </w:rPr>
            </w:pPr>
          </w:p>
        </w:tc>
        <w:tc>
          <w:tcPr>
            <w:tcW w:w="26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1060" w:type="dxa"/>
            <w:vAlign w:val="bottom"/>
            <w:gridSpan w:val="2"/>
          </w:tcPr>
          <w:p>
            <w:pPr>
              <w:jc w:val="right"/>
              <w:ind w:right="140"/>
              <w:spacing w:after="0"/>
              <w:rPr>
                <w:sz w:val="20"/>
                <w:szCs w:val="20"/>
                <w:color w:val="auto"/>
              </w:rPr>
            </w:pPr>
            <w:r>
              <w:rPr>
                <w:rFonts w:ascii="Arial" w:cs="Arial" w:eastAsia="Arial" w:hAnsi="Arial"/>
                <w:sz w:val="16"/>
                <w:szCs w:val="16"/>
                <w:color w:val="auto"/>
              </w:rPr>
              <w:t>5,772,300</w:t>
            </w:r>
          </w:p>
        </w:tc>
      </w:tr>
      <w:tr>
        <w:trPr>
          <w:trHeight w:val="20"/>
        </w:trPr>
        <w:tc>
          <w:tcPr>
            <w:tcW w:w="83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96"/>
        </w:trPr>
        <w:tc>
          <w:tcPr>
            <w:tcW w:w="83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r>
      <w:tr>
        <w:trPr>
          <w:trHeight w:val="203"/>
        </w:trPr>
        <w:tc>
          <w:tcPr>
            <w:tcW w:w="8320" w:type="dxa"/>
            <w:vAlign w:val="bottom"/>
          </w:tcPr>
          <w:p>
            <w:pPr>
              <w:ind w:left="3480"/>
              <w:spacing w:after="0"/>
              <w:rPr>
                <w:sz w:val="20"/>
                <w:szCs w:val="20"/>
                <w:color w:val="auto"/>
              </w:rPr>
            </w:pPr>
            <w:r>
              <w:rPr>
                <w:rFonts w:ascii="Arial" w:cs="Arial" w:eastAsia="Arial" w:hAnsi="Arial"/>
                <w:sz w:val="16"/>
                <w:szCs w:val="16"/>
                <w:b w:val="1"/>
                <w:bCs w:val="1"/>
                <w:color w:val="auto"/>
              </w:rPr>
              <w:t>LIABILITIES AND STOCKHOLDERS’ EQUITY (DEFICIT)</w:t>
            </w: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03"/>
        </w:trPr>
        <w:tc>
          <w:tcPr>
            <w:tcW w:w="8320" w:type="dxa"/>
            <w:vAlign w:val="bottom"/>
            <w:shd w:val="clear" w:color="auto" w:fill="CCEEFF"/>
          </w:tcPr>
          <w:p>
            <w:pPr>
              <w:ind w:left="40"/>
              <w:spacing w:after="0"/>
              <w:rPr>
                <w:sz w:val="20"/>
                <w:szCs w:val="20"/>
                <w:color w:val="auto"/>
              </w:rPr>
            </w:pPr>
            <w:r>
              <w:rPr>
                <w:rFonts w:ascii="Arial" w:cs="Arial" w:eastAsia="Arial" w:hAnsi="Arial"/>
                <w:sz w:val="16"/>
                <w:szCs w:val="16"/>
                <w:color w:val="auto"/>
              </w:rPr>
              <w:t>Current liabilities:</w:t>
            </w:r>
          </w:p>
        </w:tc>
        <w:tc>
          <w:tcPr>
            <w:tcW w:w="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r>
      <w:tr>
        <w:trPr>
          <w:trHeight w:val="203"/>
        </w:trPr>
        <w:tc>
          <w:tcPr>
            <w:tcW w:w="8320" w:type="dxa"/>
            <w:vAlign w:val="bottom"/>
          </w:tcPr>
          <w:p>
            <w:pPr>
              <w:ind w:left="360"/>
              <w:spacing w:after="0"/>
              <w:rPr>
                <w:sz w:val="20"/>
                <w:szCs w:val="20"/>
                <w:color w:val="auto"/>
              </w:rPr>
            </w:pPr>
            <w:r>
              <w:rPr>
                <w:rFonts w:ascii="Arial" w:cs="Arial" w:eastAsia="Arial" w:hAnsi="Arial"/>
                <w:sz w:val="16"/>
                <w:szCs w:val="16"/>
                <w:color w:val="auto"/>
              </w:rPr>
              <w:t>Accounts payable</w:t>
            </w:r>
          </w:p>
        </w:tc>
        <w:tc>
          <w:tcPr>
            <w:tcW w:w="4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776,400</w:t>
            </w:r>
          </w:p>
        </w:tc>
        <w:tc>
          <w:tcPr>
            <w:tcW w:w="160" w:type="dxa"/>
            <w:vAlign w:val="bottom"/>
          </w:tcPr>
          <w:p>
            <w:pPr>
              <w:spacing w:after="0"/>
              <w:rPr>
                <w:sz w:val="17"/>
                <w:szCs w:val="17"/>
                <w:color w:val="auto"/>
              </w:rPr>
            </w:pPr>
          </w:p>
        </w:tc>
        <w:tc>
          <w:tcPr>
            <w:tcW w:w="26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1060" w:type="dxa"/>
            <w:vAlign w:val="bottom"/>
            <w:gridSpan w:val="2"/>
          </w:tcPr>
          <w:p>
            <w:pPr>
              <w:jc w:val="right"/>
              <w:ind w:right="140"/>
              <w:spacing w:after="0"/>
              <w:rPr>
                <w:sz w:val="20"/>
                <w:szCs w:val="20"/>
                <w:color w:val="auto"/>
              </w:rPr>
            </w:pPr>
            <w:r>
              <w:rPr>
                <w:rFonts w:ascii="Arial" w:cs="Arial" w:eastAsia="Arial" w:hAnsi="Arial"/>
                <w:sz w:val="16"/>
                <w:szCs w:val="16"/>
                <w:color w:val="auto"/>
              </w:rPr>
              <w:t>1,836,600</w:t>
            </w:r>
          </w:p>
        </w:tc>
      </w:tr>
      <w:tr>
        <w:trPr>
          <w:trHeight w:val="203"/>
        </w:trPr>
        <w:tc>
          <w:tcPr>
            <w:tcW w:w="83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Accrued expenses</w:t>
            </w:r>
          </w:p>
        </w:tc>
        <w:tc>
          <w:tcPr>
            <w:tcW w:w="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507,200</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561,500</w:t>
            </w:r>
          </w:p>
        </w:tc>
      </w:tr>
      <w:tr>
        <w:trPr>
          <w:trHeight w:val="203"/>
        </w:trPr>
        <w:tc>
          <w:tcPr>
            <w:tcW w:w="8320" w:type="dxa"/>
            <w:vAlign w:val="bottom"/>
          </w:tcPr>
          <w:p>
            <w:pPr>
              <w:ind w:left="380"/>
              <w:spacing w:after="0"/>
              <w:rPr>
                <w:sz w:val="20"/>
                <w:szCs w:val="20"/>
                <w:color w:val="auto"/>
              </w:rPr>
            </w:pPr>
            <w:r>
              <w:rPr>
                <w:rFonts w:ascii="Arial" w:cs="Arial" w:eastAsia="Arial" w:hAnsi="Arial"/>
                <w:sz w:val="16"/>
                <w:szCs w:val="16"/>
                <w:color w:val="auto"/>
              </w:rPr>
              <w:t>Current notes payable</w:t>
            </w: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98,400</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6"/>
                <w:szCs w:val="16"/>
                <w:color w:val="auto"/>
              </w:rPr>
              <w:t>56,500</w:t>
            </w:r>
          </w:p>
        </w:tc>
      </w:tr>
      <w:tr>
        <w:trPr>
          <w:trHeight w:val="203"/>
        </w:trPr>
        <w:tc>
          <w:tcPr>
            <w:tcW w:w="8320" w:type="dxa"/>
            <w:vAlign w:val="bottom"/>
            <w:shd w:val="clear" w:color="auto" w:fill="CCEEFF"/>
          </w:tcPr>
          <w:p>
            <w:pPr>
              <w:ind w:left="380"/>
              <w:spacing w:after="0"/>
              <w:rPr>
                <w:sz w:val="20"/>
                <w:szCs w:val="20"/>
                <w:color w:val="auto"/>
              </w:rPr>
            </w:pPr>
            <w:r>
              <w:rPr>
                <w:rFonts w:ascii="Arial" w:cs="Arial" w:eastAsia="Arial" w:hAnsi="Arial"/>
                <w:sz w:val="16"/>
                <w:szCs w:val="16"/>
                <w:color w:val="auto"/>
              </w:rPr>
              <w:t>Deferred revenue - current portion</w:t>
            </w:r>
          </w:p>
        </w:tc>
        <w:tc>
          <w:tcPr>
            <w:tcW w:w="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1,244,000</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r>
      <w:tr>
        <w:trPr>
          <w:trHeight w:val="203"/>
        </w:trPr>
        <w:tc>
          <w:tcPr>
            <w:tcW w:w="8320" w:type="dxa"/>
            <w:vAlign w:val="bottom"/>
          </w:tcPr>
          <w:p>
            <w:pPr>
              <w:ind w:left="380"/>
              <w:spacing w:after="0"/>
              <w:rPr>
                <w:sz w:val="20"/>
                <w:szCs w:val="20"/>
                <w:color w:val="auto"/>
              </w:rPr>
            </w:pPr>
            <w:r>
              <w:rPr>
                <w:rFonts w:ascii="Arial" w:cs="Arial" w:eastAsia="Arial" w:hAnsi="Arial"/>
                <w:sz w:val="16"/>
                <w:szCs w:val="16"/>
                <w:color w:val="auto"/>
              </w:rPr>
              <w:t>Operating lease obligation - current portion</w:t>
            </w: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351,500</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6"/>
                <w:szCs w:val="16"/>
                <w:color w:val="auto"/>
              </w:rPr>
              <w:t>313,400</w:t>
            </w:r>
          </w:p>
        </w:tc>
      </w:tr>
      <w:tr>
        <w:trPr>
          <w:trHeight w:val="203"/>
        </w:trPr>
        <w:tc>
          <w:tcPr>
            <w:tcW w:w="8320" w:type="dxa"/>
            <w:vAlign w:val="bottom"/>
            <w:shd w:val="clear" w:color="auto" w:fill="CCEEFF"/>
          </w:tcPr>
          <w:p>
            <w:pPr>
              <w:ind w:left="380"/>
              <w:spacing w:after="0"/>
              <w:rPr>
                <w:sz w:val="20"/>
                <w:szCs w:val="20"/>
                <w:color w:val="auto"/>
              </w:rPr>
            </w:pPr>
            <w:r>
              <w:rPr>
                <w:rFonts w:ascii="Arial" w:cs="Arial" w:eastAsia="Arial" w:hAnsi="Arial"/>
                <w:sz w:val="16"/>
                <w:szCs w:val="16"/>
                <w:color w:val="auto"/>
              </w:rPr>
              <w:t>Financing lease obligation - current portion</w:t>
            </w:r>
          </w:p>
        </w:tc>
        <w:tc>
          <w:tcPr>
            <w:tcW w:w="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3,600</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3,300</w:t>
            </w:r>
          </w:p>
        </w:tc>
      </w:tr>
      <w:tr>
        <w:trPr>
          <w:trHeight w:val="27"/>
        </w:trPr>
        <w:tc>
          <w:tcPr>
            <w:tcW w:w="832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r>
      <w:tr>
        <w:trPr>
          <w:trHeight w:val="210"/>
        </w:trPr>
        <w:tc>
          <w:tcPr>
            <w:tcW w:w="8320" w:type="dxa"/>
            <w:vAlign w:val="bottom"/>
          </w:tcPr>
          <w:p>
            <w:pPr>
              <w:ind w:left="660"/>
              <w:spacing w:after="0"/>
              <w:rPr>
                <w:sz w:val="20"/>
                <w:szCs w:val="20"/>
                <w:color w:val="auto"/>
              </w:rPr>
            </w:pPr>
            <w:r>
              <w:rPr>
                <w:rFonts w:ascii="Arial" w:cs="Arial" w:eastAsia="Arial" w:hAnsi="Arial"/>
                <w:sz w:val="16"/>
                <w:szCs w:val="16"/>
                <w:color w:val="auto"/>
              </w:rPr>
              <w:t>Total current liabilities</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2,981,100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6"/>
                <w:szCs w:val="16"/>
                <w:color w:val="auto"/>
              </w:rPr>
              <w:t>2,771,300</w:t>
            </w:r>
          </w:p>
        </w:tc>
      </w:tr>
      <w:tr>
        <w:trPr>
          <w:trHeight w:val="203"/>
        </w:trPr>
        <w:tc>
          <w:tcPr>
            <w:tcW w:w="83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r>
      <w:tr>
        <w:trPr>
          <w:trHeight w:val="203"/>
        </w:trPr>
        <w:tc>
          <w:tcPr>
            <w:tcW w:w="8320" w:type="dxa"/>
            <w:vAlign w:val="bottom"/>
          </w:tcPr>
          <w:p>
            <w:pPr>
              <w:ind w:left="40"/>
              <w:spacing w:after="0"/>
              <w:rPr>
                <w:sz w:val="20"/>
                <w:szCs w:val="20"/>
                <w:color w:val="auto"/>
              </w:rPr>
            </w:pPr>
            <w:r>
              <w:rPr>
                <w:rFonts w:ascii="Arial" w:cs="Arial" w:eastAsia="Arial" w:hAnsi="Arial"/>
                <w:sz w:val="16"/>
                <w:szCs w:val="16"/>
                <w:color w:val="auto"/>
              </w:rPr>
              <w:t>Non-current liabilities:</w:t>
            </w: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03"/>
        </w:trPr>
        <w:tc>
          <w:tcPr>
            <w:tcW w:w="83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Accrued dividends on Series B Preferred Stock</w:t>
            </w:r>
          </w:p>
        </w:tc>
        <w:tc>
          <w:tcPr>
            <w:tcW w:w="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5,923,700</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5,011,800</w:t>
            </w:r>
          </w:p>
        </w:tc>
      </w:tr>
      <w:tr>
        <w:trPr>
          <w:trHeight w:val="203"/>
        </w:trPr>
        <w:tc>
          <w:tcPr>
            <w:tcW w:w="8320" w:type="dxa"/>
            <w:vAlign w:val="bottom"/>
          </w:tcPr>
          <w:p>
            <w:pPr>
              <w:ind w:left="380"/>
              <w:spacing w:after="0"/>
              <w:rPr>
                <w:sz w:val="20"/>
                <w:szCs w:val="20"/>
                <w:color w:val="auto"/>
              </w:rPr>
            </w:pPr>
            <w:r>
              <w:rPr>
                <w:rFonts w:ascii="Arial" w:cs="Arial" w:eastAsia="Arial" w:hAnsi="Arial"/>
                <w:sz w:val="16"/>
                <w:szCs w:val="16"/>
                <w:color w:val="auto"/>
              </w:rPr>
              <w:t>Deferred revenue - non-current portion</w:t>
            </w: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3,108,400</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r>
      <w:tr>
        <w:trPr>
          <w:trHeight w:val="203"/>
        </w:trPr>
        <w:tc>
          <w:tcPr>
            <w:tcW w:w="8320" w:type="dxa"/>
            <w:vAlign w:val="bottom"/>
            <w:shd w:val="clear" w:color="auto" w:fill="CCEEFF"/>
          </w:tcPr>
          <w:p>
            <w:pPr>
              <w:ind w:left="380"/>
              <w:spacing w:after="0"/>
              <w:rPr>
                <w:sz w:val="20"/>
                <w:szCs w:val="20"/>
                <w:color w:val="auto"/>
              </w:rPr>
            </w:pPr>
            <w:r>
              <w:rPr>
                <w:rFonts w:ascii="Arial" w:cs="Arial" w:eastAsia="Arial" w:hAnsi="Arial"/>
                <w:sz w:val="16"/>
                <w:szCs w:val="16"/>
                <w:color w:val="auto"/>
              </w:rPr>
              <w:t>Operating lease obligation - non-current portion</w:t>
            </w:r>
          </w:p>
        </w:tc>
        <w:tc>
          <w:tcPr>
            <w:tcW w:w="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3,446,900</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3,715,600</w:t>
            </w:r>
          </w:p>
        </w:tc>
      </w:tr>
      <w:tr>
        <w:trPr>
          <w:trHeight w:val="203"/>
        </w:trPr>
        <w:tc>
          <w:tcPr>
            <w:tcW w:w="8320" w:type="dxa"/>
            <w:vAlign w:val="bottom"/>
          </w:tcPr>
          <w:p>
            <w:pPr>
              <w:ind w:left="380"/>
              <w:spacing w:after="0"/>
              <w:rPr>
                <w:sz w:val="20"/>
                <w:szCs w:val="20"/>
                <w:color w:val="auto"/>
              </w:rPr>
            </w:pPr>
            <w:r>
              <w:rPr>
                <w:rFonts w:ascii="Arial" w:cs="Arial" w:eastAsia="Arial" w:hAnsi="Arial"/>
                <w:sz w:val="16"/>
                <w:szCs w:val="16"/>
                <w:color w:val="auto"/>
              </w:rPr>
              <w:t>Financing lease obligation - non-current portion</w:t>
            </w: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300</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6"/>
                <w:szCs w:val="16"/>
                <w:color w:val="auto"/>
              </w:rPr>
              <w:t>3,000</w:t>
            </w:r>
          </w:p>
        </w:tc>
      </w:tr>
      <w:tr>
        <w:trPr>
          <w:trHeight w:val="27"/>
        </w:trPr>
        <w:tc>
          <w:tcPr>
            <w:tcW w:w="83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r>
      <w:tr>
        <w:trPr>
          <w:trHeight w:val="203"/>
        </w:trPr>
        <w:tc>
          <w:tcPr>
            <w:tcW w:w="8320" w:type="dxa"/>
            <w:vAlign w:val="bottom"/>
            <w:shd w:val="clear" w:color="auto" w:fill="CCEEFF"/>
          </w:tcPr>
          <w:p>
            <w:pPr>
              <w:ind w:left="660"/>
              <w:spacing w:after="0"/>
              <w:rPr>
                <w:sz w:val="20"/>
                <w:szCs w:val="20"/>
                <w:color w:val="auto"/>
              </w:rPr>
            </w:pPr>
            <w:r>
              <w:rPr>
                <w:rFonts w:ascii="Arial" w:cs="Arial" w:eastAsia="Arial" w:hAnsi="Arial"/>
                <w:sz w:val="16"/>
                <w:szCs w:val="16"/>
                <w:color w:val="auto"/>
              </w:rPr>
              <w:t>Total non-current liabilities</w:t>
            </w:r>
          </w:p>
        </w:tc>
        <w:tc>
          <w:tcPr>
            <w:tcW w:w="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12,479,300</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8,730,400</w:t>
            </w:r>
          </w:p>
        </w:tc>
      </w:tr>
      <w:tr>
        <w:trPr>
          <w:trHeight w:val="27"/>
        </w:trPr>
        <w:tc>
          <w:tcPr>
            <w:tcW w:w="832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r>
      <w:tr>
        <w:trPr>
          <w:trHeight w:val="210"/>
        </w:trPr>
        <w:tc>
          <w:tcPr>
            <w:tcW w:w="8320" w:type="dxa"/>
            <w:vAlign w:val="bottom"/>
          </w:tcPr>
          <w:p>
            <w:pPr>
              <w:ind w:left="660"/>
              <w:spacing w:after="0"/>
              <w:rPr>
                <w:sz w:val="20"/>
                <w:szCs w:val="20"/>
                <w:color w:val="auto"/>
              </w:rPr>
            </w:pPr>
            <w:r>
              <w:rPr>
                <w:rFonts w:ascii="Arial" w:cs="Arial" w:eastAsia="Arial" w:hAnsi="Arial"/>
                <w:sz w:val="16"/>
                <w:szCs w:val="16"/>
                <w:color w:val="auto"/>
              </w:rPr>
              <w:t>Total liabilities</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15,460,400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6"/>
                <w:szCs w:val="16"/>
                <w:color w:val="auto"/>
              </w:rPr>
              <w:t>11,501,700</w:t>
            </w:r>
          </w:p>
        </w:tc>
      </w:tr>
      <w:tr>
        <w:trPr>
          <w:trHeight w:val="203"/>
        </w:trPr>
        <w:tc>
          <w:tcPr>
            <w:tcW w:w="83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r>
      <w:tr>
        <w:trPr>
          <w:trHeight w:val="203"/>
        </w:trPr>
        <w:tc>
          <w:tcPr>
            <w:tcW w:w="8320" w:type="dxa"/>
            <w:vAlign w:val="bottom"/>
          </w:tcPr>
          <w:p>
            <w:pPr>
              <w:ind w:left="40"/>
              <w:spacing w:after="0"/>
              <w:rPr>
                <w:sz w:val="20"/>
                <w:szCs w:val="20"/>
                <w:color w:val="auto"/>
              </w:rPr>
            </w:pPr>
            <w:r>
              <w:rPr>
                <w:rFonts w:ascii="Arial" w:cs="Arial" w:eastAsia="Arial" w:hAnsi="Arial"/>
                <w:sz w:val="16"/>
                <w:szCs w:val="16"/>
                <w:color w:val="auto"/>
              </w:rPr>
              <w:t>Commitments and contingencies</w:t>
            </w: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03"/>
        </w:trPr>
        <w:tc>
          <w:tcPr>
            <w:tcW w:w="83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r>
      <w:tr>
        <w:trPr>
          <w:trHeight w:val="203"/>
        </w:trPr>
        <w:tc>
          <w:tcPr>
            <w:tcW w:w="8320" w:type="dxa"/>
            <w:vAlign w:val="bottom"/>
          </w:tcPr>
          <w:p>
            <w:pPr>
              <w:ind w:left="40"/>
              <w:spacing w:after="0"/>
              <w:rPr>
                <w:sz w:val="20"/>
                <w:szCs w:val="20"/>
                <w:color w:val="auto"/>
              </w:rPr>
            </w:pPr>
            <w:r>
              <w:rPr>
                <w:rFonts w:ascii="Arial" w:cs="Arial" w:eastAsia="Arial" w:hAnsi="Arial"/>
                <w:sz w:val="16"/>
                <w:szCs w:val="16"/>
                <w:color w:val="auto"/>
              </w:rPr>
              <w:t>Stockholders’ equity (deficit):</w:t>
            </w: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03"/>
        </w:trPr>
        <w:tc>
          <w:tcPr>
            <w:tcW w:w="8320" w:type="dxa"/>
            <w:vAlign w:val="bottom"/>
            <w:shd w:val="clear" w:color="auto" w:fill="CCEEFF"/>
          </w:tcPr>
          <w:p>
            <w:pPr>
              <w:ind w:left="260"/>
              <w:spacing w:after="0"/>
              <w:rPr>
                <w:sz w:val="20"/>
                <w:szCs w:val="20"/>
                <w:color w:val="auto"/>
              </w:rPr>
            </w:pPr>
            <w:r>
              <w:rPr>
                <w:rFonts w:ascii="Arial" w:cs="Arial" w:eastAsia="Arial" w:hAnsi="Arial"/>
                <w:sz w:val="16"/>
                <w:szCs w:val="16"/>
                <w:color w:val="auto"/>
              </w:rPr>
              <w:t>Preferred stock, $0.001 par value; 10,000,000 shares authorized at December 31, 2020 and March 31, 2020:</w:t>
            </w:r>
          </w:p>
        </w:tc>
        <w:tc>
          <w:tcPr>
            <w:tcW w:w="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r>
      <w:tr>
        <w:trPr>
          <w:trHeight w:val="203"/>
        </w:trPr>
        <w:tc>
          <w:tcPr>
            <w:tcW w:w="8320" w:type="dxa"/>
            <w:vAlign w:val="bottom"/>
          </w:tcPr>
          <w:p>
            <w:pPr>
              <w:ind w:left="420"/>
              <w:spacing w:after="0"/>
              <w:rPr>
                <w:sz w:val="20"/>
                <w:szCs w:val="20"/>
                <w:color w:val="auto"/>
              </w:rPr>
            </w:pPr>
            <w:r>
              <w:rPr>
                <w:rFonts w:ascii="Arial" w:cs="Arial" w:eastAsia="Arial" w:hAnsi="Arial"/>
                <w:sz w:val="16"/>
                <w:szCs w:val="16"/>
                <w:color w:val="auto"/>
                <w:w w:val="96"/>
              </w:rPr>
              <w:t>Series A Preferred, 500,000 shares authorized, issued and outstanding at December 31, 2020 and March 31, 2020</w:t>
            </w: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500</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6"/>
                <w:szCs w:val="16"/>
                <w:color w:val="auto"/>
              </w:rPr>
              <w:t>500</w:t>
            </w:r>
          </w:p>
        </w:tc>
      </w:tr>
      <w:tr>
        <w:trPr>
          <w:trHeight w:val="203"/>
        </w:trPr>
        <w:tc>
          <w:tcPr>
            <w:tcW w:w="8320" w:type="dxa"/>
            <w:vAlign w:val="bottom"/>
            <w:shd w:val="clear" w:color="auto" w:fill="CCEEFF"/>
          </w:tcPr>
          <w:p>
            <w:pPr>
              <w:ind w:left="420"/>
              <w:spacing w:after="0"/>
              <w:rPr>
                <w:sz w:val="20"/>
                <w:szCs w:val="20"/>
                <w:color w:val="auto"/>
              </w:rPr>
            </w:pPr>
            <w:r>
              <w:rPr>
                <w:rFonts w:ascii="Arial" w:cs="Arial" w:eastAsia="Arial" w:hAnsi="Arial"/>
                <w:sz w:val="16"/>
                <w:szCs w:val="16"/>
                <w:color w:val="auto"/>
              </w:rPr>
              <w:t>Series B Preferred; 4,000,000 shares authorized at December 31, 2020 and March 31, 2020; 1,131,669 shares</w:t>
            </w:r>
          </w:p>
        </w:tc>
        <w:tc>
          <w:tcPr>
            <w:tcW w:w="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r>
      <w:tr>
        <w:trPr>
          <w:trHeight w:val="203"/>
        </w:trPr>
        <w:tc>
          <w:tcPr>
            <w:tcW w:w="8320" w:type="dxa"/>
            <w:vAlign w:val="bottom"/>
          </w:tcPr>
          <w:p>
            <w:pPr>
              <w:ind w:left="580"/>
              <w:spacing w:after="0"/>
              <w:rPr>
                <w:sz w:val="20"/>
                <w:szCs w:val="20"/>
                <w:color w:val="auto"/>
              </w:rPr>
            </w:pPr>
            <w:r>
              <w:rPr>
                <w:rFonts w:ascii="Arial" w:cs="Arial" w:eastAsia="Arial" w:hAnsi="Arial"/>
                <w:sz w:val="16"/>
                <w:szCs w:val="16"/>
                <w:color w:val="auto"/>
              </w:rPr>
              <w:t>and 1,160,240 shares issued and outstanding at December 31, 2020 and March 31, 2020, respectively</w:t>
            </w: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1,100</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6"/>
                <w:szCs w:val="16"/>
                <w:color w:val="auto"/>
              </w:rPr>
              <w:t>1,200</w:t>
            </w:r>
          </w:p>
        </w:tc>
      </w:tr>
      <w:tr>
        <w:trPr>
          <w:trHeight w:val="203"/>
        </w:trPr>
        <w:tc>
          <w:tcPr>
            <w:tcW w:w="8320" w:type="dxa"/>
            <w:vAlign w:val="bottom"/>
            <w:shd w:val="clear" w:color="auto" w:fill="CCEEFF"/>
          </w:tcPr>
          <w:p>
            <w:pPr>
              <w:ind w:left="420"/>
              <w:spacing w:after="0"/>
              <w:rPr>
                <w:sz w:val="20"/>
                <w:szCs w:val="20"/>
                <w:color w:val="auto"/>
              </w:rPr>
            </w:pPr>
            <w:r>
              <w:rPr>
                <w:rFonts w:ascii="Arial" w:cs="Arial" w:eastAsia="Arial" w:hAnsi="Arial"/>
                <w:sz w:val="16"/>
                <w:szCs w:val="16"/>
                <w:color w:val="auto"/>
              </w:rPr>
              <w:t>Series C Preferred; 3,000,000 shares authorized at December 31, 2020 and March 31, 2020; 2,318,012 shares</w:t>
            </w:r>
          </w:p>
        </w:tc>
        <w:tc>
          <w:tcPr>
            <w:tcW w:w="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r>
      <w:tr>
        <w:trPr>
          <w:trHeight w:val="203"/>
        </w:trPr>
        <w:tc>
          <w:tcPr>
            <w:tcW w:w="8320" w:type="dxa"/>
            <w:vAlign w:val="bottom"/>
          </w:tcPr>
          <w:p>
            <w:pPr>
              <w:ind w:left="580"/>
              <w:spacing w:after="0"/>
              <w:rPr>
                <w:sz w:val="20"/>
                <w:szCs w:val="20"/>
                <w:color w:val="auto"/>
              </w:rPr>
            </w:pPr>
            <w:r>
              <w:rPr>
                <w:rFonts w:ascii="Arial" w:cs="Arial" w:eastAsia="Arial" w:hAnsi="Arial"/>
                <w:sz w:val="16"/>
                <w:szCs w:val="16"/>
                <w:color w:val="auto"/>
              </w:rPr>
              <w:t>issued and outstanding at September 30, 2020 and March 31, 2020</w:t>
            </w: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2,300</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6"/>
                <w:szCs w:val="16"/>
                <w:color w:val="auto"/>
              </w:rPr>
              <w:t>2,300</w:t>
            </w:r>
          </w:p>
        </w:tc>
      </w:tr>
      <w:tr>
        <w:trPr>
          <w:trHeight w:val="203"/>
        </w:trPr>
        <w:tc>
          <w:tcPr>
            <w:tcW w:w="8320" w:type="dxa"/>
            <w:vAlign w:val="bottom"/>
            <w:shd w:val="clear" w:color="auto" w:fill="CCEEFF"/>
          </w:tcPr>
          <w:p>
            <w:pPr>
              <w:ind w:left="420"/>
              <w:spacing w:after="0"/>
              <w:rPr>
                <w:sz w:val="20"/>
                <w:szCs w:val="20"/>
                <w:color w:val="auto"/>
              </w:rPr>
            </w:pPr>
            <w:r>
              <w:rPr>
                <w:rFonts w:ascii="Arial" w:cs="Arial" w:eastAsia="Arial" w:hAnsi="Arial"/>
                <w:sz w:val="16"/>
                <w:szCs w:val="16"/>
                <w:color w:val="auto"/>
              </w:rPr>
              <w:t>Series D Preferred; 2,000,000 shares and no shares authorized, issued and outstanding at December 31, 2020</w:t>
            </w:r>
          </w:p>
        </w:tc>
        <w:tc>
          <w:tcPr>
            <w:tcW w:w="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r>
      <w:tr>
        <w:trPr>
          <w:trHeight w:val="203"/>
        </w:trPr>
        <w:tc>
          <w:tcPr>
            <w:tcW w:w="8320" w:type="dxa"/>
            <w:vAlign w:val="bottom"/>
          </w:tcPr>
          <w:p>
            <w:pPr>
              <w:ind w:left="580"/>
              <w:spacing w:after="0"/>
              <w:rPr>
                <w:sz w:val="20"/>
                <w:szCs w:val="20"/>
                <w:color w:val="auto"/>
              </w:rPr>
            </w:pPr>
            <w:r>
              <w:rPr>
                <w:rFonts w:ascii="Arial" w:cs="Arial" w:eastAsia="Arial" w:hAnsi="Arial"/>
                <w:sz w:val="16"/>
                <w:szCs w:val="16"/>
                <w:color w:val="auto"/>
              </w:rPr>
              <w:t>and March 31, 2020, respectively</w:t>
            </w: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2,000</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r>
      <w:tr>
        <w:trPr>
          <w:trHeight w:val="203"/>
        </w:trPr>
        <w:tc>
          <w:tcPr>
            <w:tcW w:w="8320" w:type="dxa"/>
            <w:vAlign w:val="bottom"/>
            <w:shd w:val="clear" w:color="auto" w:fill="CCEEFF"/>
          </w:tcPr>
          <w:p>
            <w:pPr>
              <w:ind w:left="380"/>
              <w:spacing w:after="0"/>
              <w:rPr>
                <w:sz w:val="20"/>
                <w:szCs w:val="20"/>
                <w:color w:val="auto"/>
              </w:rPr>
            </w:pPr>
            <w:r>
              <w:rPr>
                <w:rFonts w:ascii="Arial" w:cs="Arial" w:eastAsia="Arial" w:hAnsi="Arial"/>
                <w:sz w:val="16"/>
                <w:szCs w:val="16"/>
                <w:color w:val="auto"/>
              </w:rPr>
              <w:t>Common stock, $0.001 par value; 175,000,000 shares authorized at December 31, 2020 and March 31, 2020;</w:t>
            </w:r>
          </w:p>
        </w:tc>
        <w:tc>
          <w:tcPr>
            <w:tcW w:w="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r>
      <w:tr>
        <w:trPr>
          <w:trHeight w:val="203"/>
        </w:trPr>
        <w:tc>
          <w:tcPr>
            <w:tcW w:w="8320" w:type="dxa"/>
            <w:vAlign w:val="bottom"/>
          </w:tcPr>
          <w:p>
            <w:pPr>
              <w:ind w:left="460"/>
              <w:spacing w:after="0"/>
              <w:rPr>
                <w:sz w:val="20"/>
                <w:szCs w:val="20"/>
                <w:color w:val="auto"/>
              </w:rPr>
            </w:pPr>
            <w:r>
              <w:rPr>
                <w:rFonts w:ascii="Arial" w:cs="Arial" w:eastAsia="Arial" w:hAnsi="Arial"/>
                <w:sz w:val="16"/>
                <w:szCs w:val="16"/>
                <w:color w:val="auto"/>
                <w:w w:val="94"/>
              </w:rPr>
              <w:t>138,800,137 and 49,348,707 shares issued and outstanding at December 31, 2020 and March 31, 2020, respectively</w:t>
            </w: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138,800</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6"/>
                <w:szCs w:val="16"/>
                <w:color w:val="auto"/>
              </w:rPr>
              <w:t>49,300</w:t>
            </w:r>
          </w:p>
        </w:tc>
      </w:tr>
      <w:tr>
        <w:trPr>
          <w:trHeight w:val="203"/>
        </w:trPr>
        <w:tc>
          <w:tcPr>
            <w:tcW w:w="83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Additional paid-in capital</w:t>
            </w:r>
          </w:p>
        </w:tc>
        <w:tc>
          <w:tcPr>
            <w:tcW w:w="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311,264,800</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200,092,800</w:t>
            </w:r>
          </w:p>
        </w:tc>
      </w:tr>
      <w:tr>
        <w:trPr>
          <w:trHeight w:val="202"/>
        </w:trPr>
        <w:tc>
          <w:tcPr>
            <w:tcW w:w="8320" w:type="dxa"/>
            <w:vAlign w:val="bottom"/>
          </w:tcPr>
          <w:p>
            <w:pPr>
              <w:ind w:left="360"/>
              <w:spacing w:after="0"/>
              <w:rPr>
                <w:sz w:val="20"/>
                <w:szCs w:val="20"/>
                <w:color w:val="auto"/>
              </w:rPr>
            </w:pPr>
            <w:r>
              <w:rPr>
                <w:rFonts w:ascii="Arial" w:cs="Arial" w:eastAsia="Arial" w:hAnsi="Arial"/>
                <w:sz w:val="16"/>
                <w:szCs w:val="16"/>
                <w:color w:val="auto"/>
              </w:rPr>
              <w:t>Treasury stock, at cost, 135,665 shares of common stock held at December 31, 2020 and March 31, 2020</w:t>
            </w: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6"/>
                <w:szCs w:val="16"/>
                <w:color w:val="auto"/>
              </w:rPr>
              <w:t>(3,968,100)</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6"/>
                <w:szCs w:val="16"/>
                <w:color w:val="auto"/>
              </w:rPr>
              <w:t>(3,968,100)</w:t>
            </w:r>
          </w:p>
        </w:tc>
      </w:tr>
      <w:tr>
        <w:trPr>
          <w:trHeight w:val="203"/>
        </w:trPr>
        <w:tc>
          <w:tcPr>
            <w:tcW w:w="83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Accumulated deficit</w:t>
            </w:r>
          </w:p>
        </w:tc>
        <w:tc>
          <w:tcPr>
            <w:tcW w:w="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(213,630,700)</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w w:val="96"/>
              </w:rPr>
              <w:t>(201,907,400)</w:t>
            </w:r>
          </w:p>
        </w:tc>
      </w:tr>
      <w:tr>
        <w:trPr>
          <w:trHeight w:val="27"/>
        </w:trPr>
        <w:tc>
          <w:tcPr>
            <w:tcW w:w="832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r>
      <w:tr>
        <w:trPr>
          <w:trHeight w:val="203"/>
        </w:trPr>
        <w:tc>
          <w:tcPr>
            <w:tcW w:w="8320" w:type="dxa"/>
            <w:vAlign w:val="bottom"/>
          </w:tcPr>
          <w:p>
            <w:pPr>
              <w:ind w:left="700"/>
              <w:spacing w:after="0"/>
              <w:rPr>
                <w:sz w:val="20"/>
                <w:szCs w:val="20"/>
                <w:color w:val="auto"/>
              </w:rPr>
            </w:pPr>
            <w:r>
              <w:rPr>
                <w:rFonts w:ascii="Arial" w:cs="Arial" w:eastAsia="Arial" w:hAnsi="Arial"/>
                <w:sz w:val="16"/>
                <w:szCs w:val="16"/>
                <w:color w:val="auto"/>
              </w:rPr>
              <w:t>Total stockholders’ equity (deficit)</w:t>
            </w: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93,810,700</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6"/>
                <w:szCs w:val="16"/>
                <w:color w:val="auto"/>
              </w:rPr>
              <w:t>(5,729,400)</w:t>
            </w:r>
          </w:p>
        </w:tc>
      </w:tr>
      <w:tr>
        <w:trPr>
          <w:trHeight w:val="27"/>
        </w:trPr>
        <w:tc>
          <w:tcPr>
            <w:tcW w:w="83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r>
      <w:tr>
        <w:trPr>
          <w:trHeight w:val="243"/>
        </w:trPr>
        <w:tc>
          <w:tcPr>
            <w:tcW w:w="8320" w:type="dxa"/>
            <w:vAlign w:val="bottom"/>
            <w:shd w:val="clear" w:color="auto" w:fill="CCEEFF"/>
          </w:tcPr>
          <w:p>
            <w:pPr>
              <w:ind w:left="700"/>
              <w:spacing w:after="0"/>
              <w:rPr>
                <w:sz w:val="20"/>
                <w:szCs w:val="20"/>
                <w:color w:val="auto"/>
              </w:rPr>
            </w:pPr>
            <w:r>
              <w:rPr>
                <w:rFonts w:ascii="Arial" w:cs="Arial" w:eastAsia="Arial" w:hAnsi="Arial"/>
                <w:sz w:val="16"/>
                <w:szCs w:val="16"/>
                <w:color w:val="auto"/>
              </w:rPr>
              <w:t>Total liabilities and stockholders’ equity (deficit)</w:t>
            </w:r>
          </w:p>
        </w:tc>
        <w:tc>
          <w:tcPr>
            <w:tcW w:w="36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109,271,100</w:t>
            </w:r>
          </w:p>
        </w:tc>
        <w:tc>
          <w:tcPr>
            <w:tcW w:w="160" w:type="dxa"/>
            <w:vAlign w:val="bottom"/>
            <w:shd w:val="clear" w:color="auto" w:fill="CCEEFF"/>
          </w:tcPr>
          <w:p>
            <w:pPr>
              <w:spacing w:after="0"/>
              <w:rPr>
                <w:sz w:val="21"/>
                <w:szCs w:val="21"/>
                <w:color w:val="auto"/>
              </w:rPr>
            </w:pP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5,772,300</w:t>
            </w:r>
          </w:p>
        </w:tc>
      </w:tr>
      <w:tr>
        <w:trPr>
          <w:trHeight w:val="648"/>
        </w:trPr>
        <w:tc>
          <w:tcPr>
            <w:tcW w:w="8320" w:type="dxa"/>
            <w:vAlign w:val="bottom"/>
            <w:tcBorders>
              <w:top w:val="single" w:sz="8" w:color="CCEEFF"/>
              <w:bottom w:val="single" w:sz="8" w:color="auto"/>
            </w:tcBorders>
          </w:tcPr>
          <w:p>
            <w:pPr>
              <w:spacing w:after="0"/>
              <w:rPr>
                <w:sz w:val="24"/>
                <w:szCs w:val="24"/>
                <w:color w:val="auto"/>
              </w:rPr>
            </w:pPr>
          </w:p>
        </w:tc>
        <w:tc>
          <w:tcPr>
            <w:tcW w:w="360" w:type="dxa"/>
            <w:vAlign w:val="bottom"/>
            <w:tcBorders>
              <w:top w:val="single" w:sz="8" w:color="CCEEFF"/>
              <w:bottom w:val="single" w:sz="8" w:color="auto"/>
            </w:tcBorders>
          </w:tcPr>
          <w:p>
            <w:pPr>
              <w:spacing w:after="0"/>
              <w:rPr>
                <w:sz w:val="24"/>
                <w:szCs w:val="24"/>
                <w:color w:val="auto"/>
              </w:rPr>
            </w:pPr>
          </w:p>
        </w:tc>
        <w:tc>
          <w:tcPr>
            <w:tcW w:w="120" w:type="dxa"/>
            <w:vAlign w:val="bottom"/>
            <w:tcBorders>
              <w:top w:val="single" w:sz="8" w:color="auto"/>
              <w:bottom w:val="single" w:sz="8" w:color="auto"/>
            </w:tcBorders>
          </w:tcPr>
          <w:p>
            <w:pPr>
              <w:spacing w:after="0"/>
              <w:rPr>
                <w:sz w:val="24"/>
                <w:szCs w:val="24"/>
                <w:color w:val="auto"/>
              </w:rPr>
            </w:pPr>
          </w:p>
        </w:tc>
        <w:tc>
          <w:tcPr>
            <w:tcW w:w="960" w:type="dxa"/>
            <w:vAlign w:val="bottom"/>
            <w:tcBorders>
              <w:top w:val="single" w:sz="8" w:color="auto"/>
              <w:bottom w:val="single" w:sz="8" w:color="auto"/>
            </w:tcBorders>
          </w:tcPr>
          <w:p>
            <w:pPr>
              <w:spacing w:after="0"/>
              <w:rPr>
                <w:sz w:val="24"/>
                <w:szCs w:val="24"/>
                <w:color w:val="auto"/>
              </w:rPr>
            </w:pPr>
          </w:p>
        </w:tc>
        <w:tc>
          <w:tcPr>
            <w:tcW w:w="160" w:type="dxa"/>
            <w:vAlign w:val="bottom"/>
            <w:tcBorders>
              <w:top w:val="single" w:sz="8" w:color="CCEEFF"/>
              <w:bottom w:val="single" w:sz="8" w:color="auto"/>
            </w:tcBorders>
          </w:tcPr>
          <w:p>
            <w:pPr>
              <w:spacing w:after="0"/>
              <w:rPr>
                <w:sz w:val="24"/>
                <w:szCs w:val="24"/>
                <w:color w:val="auto"/>
              </w:rPr>
            </w:pPr>
          </w:p>
        </w:tc>
        <w:tc>
          <w:tcPr>
            <w:tcW w:w="120" w:type="dxa"/>
            <w:vAlign w:val="bottom"/>
            <w:tcBorders>
              <w:top w:val="single" w:sz="8" w:color="CCEEFF"/>
              <w:bottom w:val="single" w:sz="8" w:color="auto"/>
            </w:tcBorders>
          </w:tcPr>
          <w:p>
            <w:pPr>
              <w:spacing w:after="0"/>
              <w:rPr>
                <w:sz w:val="24"/>
                <w:szCs w:val="24"/>
                <w:color w:val="auto"/>
              </w:rPr>
            </w:pPr>
          </w:p>
        </w:tc>
        <w:tc>
          <w:tcPr>
            <w:tcW w:w="140" w:type="dxa"/>
            <w:vAlign w:val="bottom"/>
            <w:tcBorders>
              <w:top w:val="single" w:sz="8" w:color="auto"/>
              <w:bottom w:val="single" w:sz="8" w:color="auto"/>
            </w:tcBorders>
          </w:tcPr>
          <w:p>
            <w:pPr>
              <w:spacing w:after="0"/>
              <w:rPr>
                <w:sz w:val="24"/>
                <w:szCs w:val="24"/>
                <w:color w:val="auto"/>
              </w:rPr>
            </w:pPr>
          </w:p>
        </w:tc>
        <w:tc>
          <w:tcPr>
            <w:tcW w:w="920" w:type="dxa"/>
            <w:vAlign w:val="bottom"/>
            <w:tcBorders>
              <w:top w:val="single" w:sz="8" w:color="auto"/>
              <w:bottom w:val="single" w:sz="8" w:color="auto"/>
            </w:tcBorders>
          </w:tcPr>
          <w:p>
            <w:pPr>
              <w:spacing w:after="0"/>
              <w:rPr>
                <w:sz w:val="24"/>
                <w:szCs w:val="24"/>
                <w:color w:val="auto"/>
              </w:rPr>
            </w:pPr>
          </w:p>
        </w:tc>
        <w:tc>
          <w:tcPr>
            <w:tcW w:w="140" w:type="dxa"/>
            <w:vAlign w:val="bottom"/>
            <w:tcBorders>
              <w:top w:val="single" w:sz="8" w:color="CCEEFF"/>
              <w:bottom w:val="single" w:sz="8" w:color="auto"/>
            </w:tcBorders>
          </w:tcPr>
          <w:p>
            <w:pPr>
              <w:spacing w:after="0"/>
              <w:rPr>
                <w:sz w:val="24"/>
                <w:szCs w:val="24"/>
                <w:color w:val="auto"/>
              </w:rPr>
            </w:pPr>
          </w:p>
        </w:tc>
      </w:tr>
    </w:tbl>
    <w:p>
      <w:pPr>
        <w:sectPr>
          <w:pgSz w:w="11900" w:h="16838" w:orient="portrait"/>
          <w:cols w:equalWidth="0" w:num="1">
            <w:col w:w="11240"/>
          </w:cols>
          <w:pgMar w:left="320" w:top="557" w:right="3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VISTAGEN THERAPEUTICS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 AND COMPREHENSIVE LOSS</w:t>
      </w:r>
    </w:p>
    <w:p>
      <w:pPr>
        <w:spacing w:after="0" w:line="9" w:lineRule="exact"/>
        <w:rPr>
          <w:sz w:val="20"/>
          <w:szCs w:val="20"/>
          <w:color w:val="auto"/>
        </w:rPr>
      </w:pPr>
    </w:p>
    <w:p>
      <w:pPr>
        <w:ind w:left="4080"/>
        <w:spacing w:after="0"/>
        <w:rPr>
          <w:sz w:val="20"/>
          <w:szCs w:val="20"/>
          <w:color w:val="auto"/>
        </w:rPr>
      </w:pPr>
      <w:r>
        <w:rPr>
          <w:rFonts w:ascii="Arial" w:cs="Arial" w:eastAsia="Arial" w:hAnsi="Arial"/>
          <w:sz w:val="18"/>
          <w:szCs w:val="18"/>
          <w:color w:val="auto"/>
        </w:rPr>
        <w:t>(Amounts in Dollars, except share amounts)</w:t>
      </w:r>
    </w:p>
    <w:p>
      <w:pPr>
        <w:spacing w:after="0" w:line="9" w:lineRule="exact"/>
        <w:rPr>
          <w:sz w:val="20"/>
          <w:szCs w:val="20"/>
          <w:color w:val="auto"/>
        </w:rPr>
      </w:pPr>
    </w:p>
    <w:p>
      <w:pPr>
        <w:ind w:left="5100"/>
        <w:spacing w:after="0"/>
        <w:rPr>
          <w:sz w:val="20"/>
          <w:szCs w:val="20"/>
          <w:color w:val="auto"/>
        </w:rPr>
      </w:pPr>
      <w:r>
        <w:rPr>
          <w:rFonts w:ascii="Arial" w:cs="Arial" w:eastAsia="Arial" w:hAnsi="Arial"/>
          <w:sz w:val="18"/>
          <w:szCs w:val="18"/>
          <w:color w:val="auto"/>
        </w:rPr>
        <w:t>(Unaudited)</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7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80" w:type="dxa"/>
            <w:vAlign w:val="bottom"/>
            <w:gridSpan w:val="5"/>
          </w:tcPr>
          <w:p>
            <w:pPr>
              <w:jc w:val="right"/>
              <w:ind w:right="240"/>
              <w:spacing w:after="0"/>
              <w:rPr>
                <w:sz w:val="20"/>
                <w:szCs w:val="20"/>
                <w:color w:val="auto"/>
              </w:rPr>
            </w:pPr>
            <w:r>
              <w:rPr>
                <w:rFonts w:ascii="Arial" w:cs="Arial" w:eastAsia="Arial" w:hAnsi="Arial"/>
                <w:sz w:val="16"/>
                <w:szCs w:val="16"/>
                <w:b w:val="1"/>
                <w:bCs w:val="1"/>
                <w:color w:val="auto"/>
                <w:w w:val="92"/>
              </w:rPr>
              <w:t>Three Months Ended December</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23"/>
        </w:trPr>
        <w:tc>
          <w:tcPr>
            <w:tcW w:w="47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6"/>
                <w:szCs w:val="16"/>
                <w:b w:val="1"/>
                <w:bCs w:val="1"/>
                <w:color w:val="auto"/>
              </w:rPr>
              <w:t>31,</w:t>
            </w:r>
          </w:p>
        </w:tc>
        <w:tc>
          <w:tcPr>
            <w:tcW w:w="2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60" w:type="dxa"/>
            <w:vAlign w:val="bottom"/>
            <w:gridSpan w:val="7"/>
          </w:tcPr>
          <w:p>
            <w:pPr>
              <w:jc w:val="right"/>
              <w:ind w:right="140"/>
              <w:spacing w:after="0"/>
              <w:rPr>
                <w:sz w:val="20"/>
                <w:szCs w:val="20"/>
                <w:color w:val="auto"/>
              </w:rPr>
            </w:pPr>
            <w:r>
              <w:rPr>
                <w:rFonts w:ascii="Arial" w:cs="Arial" w:eastAsia="Arial" w:hAnsi="Arial"/>
                <w:sz w:val="16"/>
                <w:szCs w:val="16"/>
                <w:b w:val="1"/>
                <w:bCs w:val="1"/>
                <w:color w:val="auto"/>
                <w:w w:val="93"/>
              </w:rPr>
              <w:t>Nine Months Ended December 31,</w:t>
            </w:r>
          </w:p>
        </w:tc>
      </w:tr>
      <w:tr>
        <w:trPr>
          <w:trHeight w:val="210"/>
        </w:trPr>
        <w:tc>
          <w:tcPr>
            <w:tcW w:w="47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2020</w:t>
            </w:r>
          </w:p>
        </w:tc>
        <w:tc>
          <w:tcPr>
            <w:tcW w:w="280" w:type="dxa"/>
            <w:vAlign w:val="bottom"/>
            <w:tcBorders>
              <w:top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2019</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2020</w:t>
            </w:r>
          </w:p>
        </w:tc>
        <w:tc>
          <w:tcPr>
            <w:tcW w:w="16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2019</w:t>
            </w:r>
          </w:p>
        </w:tc>
        <w:tc>
          <w:tcPr>
            <w:tcW w:w="140" w:type="dxa"/>
            <w:vAlign w:val="bottom"/>
          </w:tcPr>
          <w:p>
            <w:pPr>
              <w:spacing w:after="0"/>
              <w:rPr>
                <w:sz w:val="18"/>
                <w:szCs w:val="18"/>
                <w:color w:val="auto"/>
              </w:rPr>
            </w:pPr>
          </w:p>
        </w:tc>
      </w:tr>
      <w:tr>
        <w:trPr>
          <w:trHeight w:val="203"/>
        </w:trPr>
        <w:tc>
          <w:tcPr>
            <w:tcW w:w="4760" w:type="dxa"/>
            <w:vAlign w:val="bottom"/>
            <w:shd w:val="clear" w:color="auto" w:fill="CCEEFF"/>
          </w:tcPr>
          <w:p>
            <w:pPr>
              <w:ind w:left="40"/>
              <w:spacing w:after="0"/>
              <w:rPr>
                <w:sz w:val="20"/>
                <w:szCs w:val="20"/>
                <w:color w:val="auto"/>
              </w:rPr>
            </w:pPr>
            <w:r>
              <w:rPr>
                <w:rFonts w:ascii="Arial" w:cs="Arial" w:eastAsia="Arial" w:hAnsi="Arial"/>
                <w:sz w:val="16"/>
                <w:szCs w:val="16"/>
                <w:color w:val="auto"/>
              </w:rPr>
              <w:t>Sublicense revenue</w:t>
            </w:r>
          </w:p>
        </w:tc>
        <w:tc>
          <w:tcPr>
            <w:tcW w:w="122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313,600</w:t>
            </w:r>
          </w:p>
        </w:tc>
        <w:tc>
          <w:tcPr>
            <w:tcW w:w="280" w:type="dxa"/>
            <w:vAlign w:val="bottom"/>
            <w:tcBorders>
              <w:right w:val="single" w:sz="8" w:color="CCEEFF"/>
            </w:tcBorders>
            <w:shd w:val="clear" w:color="auto" w:fill="CCEEFF"/>
          </w:tcPr>
          <w:p>
            <w:pPr>
              <w:spacing w:after="0"/>
              <w:rPr>
                <w:sz w:val="17"/>
                <w:szCs w:val="17"/>
                <w:color w:val="auto"/>
              </w:rPr>
            </w:pPr>
          </w:p>
        </w:tc>
        <w:tc>
          <w:tcPr>
            <w:tcW w:w="22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00" w:type="dxa"/>
            <w:vAlign w:val="bottom"/>
            <w:gridSpan w:val="2"/>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647,600</w:t>
            </w:r>
          </w:p>
        </w:tc>
        <w:tc>
          <w:tcPr>
            <w:tcW w:w="160" w:type="dxa"/>
            <w:vAlign w:val="bottom"/>
            <w:shd w:val="clear" w:color="auto" w:fill="CCEEFF"/>
          </w:tcPr>
          <w:p>
            <w:pPr>
              <w:spacing w:after="0"/>
              <w:rPr>
                <w:sz w:val="17"/>
                <w:szCs w:val="17"/>
                <w:color w:val="auto"/>
              </w:rPr>
            </w:pP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r>
      <w:tr>
        <w:trPr>
          <w:trHeight w:val="27"/>
        </w:trPr>
        <w:tc>
          <w:tcPr>
            <w:tcW w:w="476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80" w:type="dxa"/>
            <w:vAlign w:val="bottom"/>
            <w:tcBorders>
              <w:right w:val="single" w:sz="8" w:color="CCEEFF"/>
            </w:tcBorders>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r>
      <w:tr>
        <w:trPr>
          <w:trHeight w:val="209"/>
        </w:trPr>
        <w:tc>
          <w:tcPr>
            <w:tcW w:w="4760" w:type="dxa"/>
            <w:vAlign w:val="bottom"/>
          </w:tcPr>
          <w:p>
            <w:pPr>
              <w:ind w:left="500"/>
              <w:spacing w:after="0"/>
              <w:rPr>
                <w:sz w:val="20"/>
                <w:szCs w:val="20"/>
                <w:color w:val="auto"/>
              </w:rPr>
            </w:pPr>
            <w:r>
              <w:rPr>
                <w:rFonts w:ascii="Arial" w:cs="Arial" w:eastAsia="Arial" w:hAnsi="Arial"/>
                <w:sz w:val="16"/>
                <w:szCs w:val="16"/>
                <w:color w:val="auto"/>
              </w:rPr>
              <w:t>Total revenues</w:t>
            </w: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313,600</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647,600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r>
      <w:tr>
        <w:trPr>
          <w:trHeight w:val="203"/>
        </w:trPr>
        <w:tc>
          <w:tcPr>
            <w:tcW w:w="4760" w:type="dxa"/>
            <w:vAlign w:val="bottom"/>
            <w:shd w:val="clear" w:color="auto" w:fill="CCEEFF"/>
          </w:tcPr>
          <w:p>
            <w:pPr>
              <w:spacing w:after="0"/>
              <w:rPr>
                <w:sz w:val="20"/>
                <w:szCs w:val="20"/>
                <w:color w:val="auto"/>
              </w:rPr>
            </w:pPr>
            <w:r>
              <w:rPr>
                <w:rFonts w:ascii="Arial" w:cs="Arial" w:eastAsia="Arial" w:hAnsi="Arial"/>
                <w:sz w:val="16"/>
                <w:szCs w:val="16"/>
                <w:color w:val="auto"/>
              </w:rPr>
              <w:t>Operating expenses:</w:t>
            </w:r>
          </w:p>
        </w:tc>
        <w:tc>
          <w:tcPr>
            <w:tcW w:w="122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280" w:type="dxa"/>
            <w:vAlign w:val="bottom"/>
            <w:tcBorders>
              <w:right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r>
      <w:tr>
        <w:trPr>
          <w:trHeight w:val="203"/>
        </w:trPr>
        <w:tc>
          <w:tcPr>
            <w:tcW w:w="4760" w:type="dxa"/>
            <w:vAlign w:val="bottom"/>
          </w:tcPr>
          <w:p>
            <w:pPr>
              <w:ind w:left="380"/>
              <w:spacing w:after="0"/>
              <w:rPr>
                <w:sz w:val="20"/>
                <w:szCs w:val="20"/>
                <w:color w:val="auto"/>
              </w:rPr>
            </w:pPr>
            <w:r>
              <w:rPr>
                <w:rFonts w:ascii="Arial" w:cs="Arial" w:eastAsia="Arial" w:hAnsi="Arial"/>
                <w:sz w:val="16"/>
                <w:szCs w:val="16"/>
                <w:color w:val="auto"/>
              </w:rPr>
              <w:t>Research and development</w:t>
            </w: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3,496,100</w:t>
            </w: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3,014,500</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7,585,500</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6"/>
                <w:szCs w:val="16"/>
                <w:color w:val="auto"/>
              </w:rPr>
              <w:t>11,533,600</w:t>
            </w:r>
          </w:p>
        </w:tc>
      </w:tr>
      <w:tr>
        <w:trPr>
          <w:trHeight w:val="203"/>
        </w:trPr>
        <w:tc>
          <w:tcPr>
            <w:tcW w:w="4760" w:type="dxa"/>
            <w:vAlign w:val="bottom"/>
            <w:shd w:val="clear" w:color="auto" w:fill="CCEEFF"/>
          </w:tcPr>
          <w:p>
            <w:pPr>
              <w:ind w:left="380"/>
              <w:spacing w:after="0"/>
              <w:rPr>
                <w:sz w:val="20"/>
                <w:szCs w:val="20"/>
                <w:color w:val="auto"/>
              </w:rPr>
            </w:pPr>
            <w:r>
              <w:rPr>
                <w:rFonts w:ascii="Arial" w:cs="Arial" w:eastAsia="Arial" w:hAnsi="Arial"/>
                <w:sz w:val="16"/>
                <w:szCs w:val="16"/>
                <w:color w:val="auto"/>
              </w:rPr>
              <w:t>General and administrative</w:t>
            </w:r>
          </w:p>
        </w:tc>
        <w:tc>
          <w:tcPr>
            <w:tcW w:w="1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40" w:type="dxa"/>
            <w:vAlign w:val="bottom"/>
            <w:tcBorders>
              <w:right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2,116,800</w:t>
            </w: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2,948,300</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4,776,900</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6,004,500</w:t>
            </w:r>
          </w:p>
        </w:tc>
      </w:tr>
      <w:tr>
        <w:trPr>
          <w:trHeight w:val="27"/>
        </w:trPr>
        <w:tc>
          <w:tcPr>
            <w:tcW w:w="476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80" w:type="dxa"/>
            <w:vAlign w:val="bottom"/>
            <w:tcBorders>
              <w:right w:val="single" w:sz="8" w:color="CCEEFF"/>
            </w:tcBorders>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r>
      <w:tr>
        <w:trPr>
          <w:trHeight w:val="203"/>
        </w:trPr>
        <w:tc>
          <w:tcPr>
            <w:tcW w:w="4760" w:type="dxa"/>
            <w:vAlign w:val="bottom"/>
          </w:tcPr>
          <w:p>
            <w:pPr>
              <w:ind w:left="540"/>
              <w:spacing w:after="0"/>
              <w:rPr>
                <w:sz w:val="20"/>
                <w:szCs w:val="20"/>
                <w:color w:val="auto"/>
              </w:rPr>
            </w:pPr>
            <w:r>
              <w:rPr>
                <w:rFonts w:ascii="Arial" w:cs="Arial" w:eastAsia="Arial" w:hAnsi="Arial"/>
                <w:sz w:val="16"/>
                <w:szCs w:val="16"/>
                <w:color w:val="auto"/>
              </w:rPr>
              <w:t>Total operating expenses</w:t>
            </w: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5,612,900</w:t>
            </w: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5,962,800</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12,362,400</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6"/>
                <w:szCs w:val="16"/>
                <w:color w:val="auto"/>
              </w:rPr>
              <w:t>17,538,100</w:t>
            </w:r>
          </w:p>
        </w:tc>
      </w:tr>
      <w:tr>
        <w:trPr>
          <w:trHeight w:val="27"/>
        </w:trPr>
        <w:tc>
          <w:tcPr>
            <w:tcW w:w="47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r>
      <w:tr>
        <w:trPr>
          <w:trHeight w:val="203"/>
        </w:trPr>
        <w:tc>
          <w:tcPr>
            <w:tcW w:w="4760" w:type="dxa"/>
            <w:vAlign w:val="bottom"/>
            <w:shd w:val="clear" w:color="auto" w:fill="CCEEFF"/>
          </w:tcPr>
          <w:p>
            <w:pPr>
              <w:spacing w:after="0"/>
              <w:rPr>
                <w:sz w:val="20"/>
                <w:szCs w:val="20"/>
                <w:color w:val="auto"/>
              </w:rPr>
            </w:pPr>
            <w:r>
              <w:rPr>
                <w:rFonts w:ascii="Arial" w:cs="Arial" w:eastAsia="Arial" w:hAnsi="Arial"/>
                <w:sz w:val="16"/>
                <w:szCs w:val="16"/>
                <w:color w:val="auto"/>
              </w:rPr>
              <w:t>Loss from operations</w:t>
            </w:r>
          </w:p>
        </w:tc>
        <w:tc>
          <w:tcPr>
            <w:tcW w:w="1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4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(5,299,300)</w:t>
            </w:r>
          </w:p>
        </w:tc>
        <w:tc>
          <w:tcPr>
            <w:tcW w:w="2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(5,962,800)</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(11,714,800)</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(17,538,100)</w:t>
            </w:r>
          </w:p>
        </w:tc>
      </w:tr>
      <w:tr>
        <w:trPr>
          <w:trHeight w:val="203"/>
        </w:trPr>
        <w:tc>
          <w:tcPr>
            <w:tcW w:w="4760" w:type="dxa"/>
            <w:vAlign w:val="bottom"/>
          </w:tcPr>
          <w:p>
            <w:pPr>
              <w:spacing w:after="0"/>
              <w:rPr>
                <w:sz w:val="20"/>
                <w:szCs w:val="20"/>
                <w:color w:val="auto"/>
              </w:rPr>
            </w:pPr>
            <w:r>
              <w:rPr>
                <w:rFonts w:ascii="Arial" w:cs="Arial" w:eastAsia="Arial" w:hAnsi="Arial"/>
                <w:sz w:val="16"/>
                <w:szCs w:val="16"/>
                <w:color w:val="auto"/>
              </w:rPr>
              <w:t>Other income (expenses), net:</w:t>
            </w: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03"/>
        </w:trPr>
        <w:tc>
          <w:tcPr>
            <w:tcW w:w="4760" w:type="dxa"/>
            <w:vAlign w:val="bottom"/>
            <w:shd w:val="clear" w:color="auto" w:fill="CCEEFF"/>
          </w:tcPr>
          <w:p>
            <w:pPr>
              <w:ind w:left="380"/>
              <w:spacing w:after="0"/>
              <w:rPr>
                <w:sz w:val="20"/>
                <w:szCs w:val="20"/>
                <w:color w:val="auto"/>
              </w:rPr>
            </w:pPr>
            <w:r>
              <w:rPr>
                <w:rFonts w:ascii="Arial" w:cs="Arial" w:eastAsia="Arial" w:hAnsi="Arial"/>
                <w:sz w:val="16"/>
                <w:szCs w:val="16"/>
                <w:color w:val="auto"/>
              </w:rPr>
              <w:t>Interest income (expense), net</w:t>
            </w:r>
          </w:p>
        </w:tc>
        <w:tc>
          <w:tcPr>
            <w:tcW w:w="1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600</w:t>
            </w:r>
          </w:p>
        </w:tc>
        <w:tc>
          <w:tcPr>
            <w:tcW w:w="280" w:type="dxa"/>
            <w:vAlign w:val="bottom"/>
            <w:tcBorders>
              <w:right w:val="single" w:sz="8" w:color="CCEEFF"/>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1,500</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(6,500)</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33,400</w:t>
            </w:r>
          </w:p>
        </w:tc>
      </w:tr>
      <w:tr>
        <w:trPr>
          <w:trHeight w:val="203"/>
        </w:trPr>
        <w:tc>
          <w:tcPr>
            <w:tcW w:w="4760" w:type="dxa"/>
            <w:vAlign w:val="bottom"/>
          </w:tcPr>
          <w:p>
            <w:pPr>
              <w:ind w:left="380"/>
              <w:spacing w:after="0"/>
              <w:rPr>
                <w:sz w:val="20"/>
                <w:szCs w:val="20"/>
                <w:color w:val="auto"/>
              </w:rPr>
            </w:pPr>
            <w:r>
              <w:rPr>
                <w:rFonts w:ascii="Arial" w:cs="Arial" w:eastAsia="Arial" w:hAnsi="Arial"/>
                <w:sz w:val="16"/>
                <w:szCs w:val="16"/>
                <w:color w:val="auto"/>
              </w:rPr>
              <w:t>Other income</w:t>
            </w: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600</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r>
      <w:tr>
        <w:trPr>
          <w:trHeight w:val="27"/>
        </w:trPr>
        <w:tc>
          <w:tcPr>
            <w:tcW w:w="47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r>
      <w:tr>
        <w:trPr>
          <w:trHeight w:val="203"/>
        </w:trPr>
        <w:tc>
          <w:tcPr>
            <w:tcW w:w="4760" w:type="dxa"/>
            <w:vAlign w:val="bottom"/>
            <w:shd w:val="clear" w:color="auto" w:fill="CCEEFF"/>
          </w:tcPr>
          <w:p>
            <w:pPr>
              <w:spacing w:after="0"/>
              <w:rPr>
                <w:sz w:val="20"/>
                <w:szCs w:val="20"/>
                <w:color w:val="auto"/>
              </w:rPr>
            </w:pPr>
            <w:r>
              <w:rPr>
                <w:rFonts w:ascii="Arial" w:cs="Arial" w:eastAsia="Arial" w:hAnsi="Arial"/>
                <w:sz w:val="16"/>
                <w:szCs w:val="16"/>
                <w:color w:val="auto"/>
              </w:rPr>
              <w:t>Loss before income taxes</w:t>
            </w:r>
          </w:p>
        </w:tc>
        <w:tc>
          <w:tcPr>
            <w:tcW w:w="1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4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(5,298,700)</w:t>
            </w:r>
          </w:p>
        </w:tc>
        <w:tc>
          <w:tcPr>
            <w:tcW w:w="2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(5,961,300)</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(11,720,700)</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(17,504,700)</w:t>
            </w:r>
          </w:p>
        </w:tc>
      </w:tr>
      <w:tr>
        <w:trPr>
          <w:trHeight w:val="203"/>
        </w:trPr>
        <w:tc>
          <w:tcPr>
            <w:tcW w:w="4760" w:type="dxa"/>
            <w:vAlign w:val="bottom"/>
          </w:tcPr>
          <w:p>
            <w:pPr>
              <w:spacing w:after="0"/>
              <w:rPr>
                <w:sz w:val="20"/>
                <w:szCs w:val="20"/>
                <w:color w:val="auto"/>
              </w:rPr>
            </w:pPr>
            <w:r>
              <w:rPr>
                <w:rFonts w:ascii="Arial" w:cs="Arial" w:eastAsia="Arial" w:hAnsi="Arial"/>
                <w:sz w:val="16"/>
                <w:szCs w:val="16"/>
                <w:color w:val="auto"/>
              </w:rPr>
              <w:t>Income taxes</w:t>
            </w: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6"/>
                <w:szCs w:val="16"/>
                <w:color w:val="auto"/>
              </w:rPr>
              <w:t>(200)</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6"/>
                <w:szCs w:val="16"/>
                <w:color w:val="auto"/>
              </w:rPr>
              <w:t>(2,600)</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6"/>
                <w:szCs w:val="16"/>
                <w:color w:val="auto"/>
              </w:rPr>
              <w:t>(2,600)</w:t>
            </w:r>
          </w:p>
        </w:tc>
      </w:tr>
      <w:tr>
        <w:trPr>
          <w:trHeight w:val="27"/>
        </w:trPr>
        <w:tc>
          <w:tcPr>
            <w:tcW w:w="47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r>
      <w:tr>
        <w:trPr>
          <w:trHeight w:val="203"/>
        </w:trPr>
        <w:tc>
          <w:tcPr>
            <w:tcW w:w="4760" w:type="dxa"/>
            <w:vAlign w:val="bottom"/>
            <w:shd w:val="clear" w:color="auto" w:fill="CCEEFF"/>
          </w:tcPr>
          <w:p>
            <w:pPr>
              <w:spacing w:after="0"/>
              <w:rPr>
                <w:sz w:val="20"/>
                <w:szCs w:val="20"/>
                <w:color w:val="auto"/>
              </w:rPr>
            </w:pPr>
            <w:r>
              <w:rPr>
                <w:rFonts w:ascii="Arial" w:cs="Arial" w:eastAsia="Arial" w:hAnsi="Arial"/>
                <w:sz w:val="16"/>
                <w:szCs w:val="16"/>
                <w:color w:val="auto"/>
              </w:rPr>
              <w:t>Net loss and comprehensive loss</w:t>
            </w:r>
          </w:p>
        </w:tc>
        <w:tc>
          <w:tcPr>
            <w:tcW w:w="122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(5,298,700)</w:t>
            </w:r>
          </w:p>
        </w:tc>
        <w:tc>
          <w:tcPr>
            <w:tcW w:w="22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(5,961,500)</w:t>
            </w:r>
          </w:p>
        </w:tc>
        <w:tc>
          <w:tcPr>
            <w:tcW w:w="300" w:type="dxa"/>
            <w:vAlign w:val="bottom"/>
            <w:gridSpan w:val="2"/>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(11,723,300)</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(17,507,300)</w:t>
            </w:r>
          </w:p>
        </w:tc>
      </w:tr>
      <w:tr>
        <w:trPr>
          <w:trHeight w:val="203"/>
        </w:trPr>
        <w:tc>
          <w:tcPr>
            <w:tcW w:w="47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09"/>
        </w:trPr>
        <w:tc>
          <w:tcPr>
            <w:tcW w:w="4760" w:type="dxa"/>
            <w:vAlign w:val="bottom"/>
            <w:shd w:val="clear" w:color="auto" w:fill="CCEEFF"/>
          </w:tcPr>
          <w:p>
            <w:pPr>
              <w:ind w:left="120"/>
              <w:spacing w:after="0"/>
              <w:rPr>
                <w:sz w:val="20"/>
                <w:szCs w:val="20"/>
                <w:color w:val="auto"/>
              </w:rPr>
            </w:pPr>
            <w:r>
              <w:rPr>
                <w:rFonts w:ascii="Arial" w:cs="Arial" w:eastAsia="Arial" w:hAnsi="Arial"/>
                <w:sz w:val="16"/>
                <w:szCs w:val="16"/>
                <w:color w:val="auto"/>
              </w:rPr>
              <w:t>Accrued dividends on Series B Preferred stock</w:t>
            </w: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(353,600)</w:t>
            </w: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(321,800)</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(1,036,600)</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(938,100)</w:t>
            </w:r>
          </w:p>
        </w:tc>
      </w:tr>
      <w:tr>
        <w:trPr>
          <w:trHeight w:val="203"/>
        </w:trPr>
        <w:tc>
          <w:tcPr>
            <w:tcW w:w="4760" w:type="dxa"/>
            <w:vAlign w:val="bottom"/>
            <w:tcBorders>
              <w:top w:val="single" w:sz="8" w:color="CCEEFF"/>
            </w:tcBorders>
          </w:tcPr>
          <w:p>
            <w:pPr>
              <w:spacing w:after="0"/>
              <w:rPr>
                <w:sz w:val="17"/>
                <w:szCs w:val="17"/>
                <w:color w:val="auto"/>
              </w:rPr>
            </w:pPr>
          </w:p>
        </w:tc>
        <w:tc>
          <w:tcPr>
            <w:tcW w:w="122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280" w:type="dxa"/>
            <w:vAlign w:val="bottom"/>
            <w:tcBorders>
              <w:top w:val="single" w:sz="8" w:color="CCEEFF"/>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r>
      <w:tr>
        <w:trPr>
          <w:trHeight w:val="243"/>
        </w:trPr>
        <w:tc>
          <w:tcPr>
            <w:tcW w:w="4760" w:type="dxa"/>
            <w:vAlign w:val="bottom"/>
            <w:shd w:val="clear" w:color="auto" w:fill="CCEEFF"/>
          </w:tcPr>
          <w:p>
            <w:pPr>
              <w:spacing w:after="0"/>
              <w:rPr>
                <w:sz w:val="20"/>
                <w:szCs w:val="20"/>
                <w:color w:val="auto"/>
              </w:rPr>
            </w:pPr>
            <w:r>
              <w:rPr>
                <w:rFonts w:ascii="Arial" w:cs="Arial" w:eastAsia="Arial" w:hAnsi="Arial"/>
                <w:sz w:val="16"/>
                <w:szCs w:val="16"/>
                <w:color w:val="auto"/>
              </w:rPr>
              <w:t>Net loss attributable to common stockholders</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4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(5,652,300)</w:t>
            </w:r>
          </w:p>
        </w:tc>
        <w:tc>
          <w:tcPr>
            <w:tcW w:w="22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(6,283,300)</w:t>
            </w:r>
          </w:p>
        </w:tc>
        <w:tc>
          <w:tcPr>
            <w:tcW w:w="300" w:type="dxa"/>
            <w:vAlign w:val="bottom"/>
            <w:gridSpan w:val="2"/>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(12,759,900)</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(18,445,400)</w:t>
            </w:r>
          </w:p>
        </w:tc>
      </w:tr>
      <w:tr>
        <w:trPr>
          <w:trHeight w:val="196"/>
        </w:trPr>
        <w:tc>
          <w:tcPr>
            <w:tcW w:w="4760" w:type="dxa"/>
            <w:vAlign w:val="bottom"/>
            <w:tcBorders>
              <w:top w:val="single" w:sz="8" w:color="CCEEFF"/>
            </w:tcBorders>
          </w:tcPr>
          <w:p>
            <w:pPr>
              <w:spacing w:after="0"/>
              <w:rPr>
                <w:sz w:val="17"/>
                <w:szCs w:val="17"/>
                <w:color w:val="auto"/>
              </w:rPr>
            </w:pPr>
          </w:p>
        </w:tc>
        <w:tc>
          <w:tcPr>
            <w:tcW w:w="122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280" w:type="dxa"/>
            <w:vAlign w:val="bottom"/>
            <w:tcBorders>
              <w:top w:val="single" w:sz="8" w:color="CCEEFF"/>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r>
      <w:tr>
        <w:trPr>
          <w:trHeight w:val="203"/>
        </w:trPr>
        <w:tc>
          <w:tcPr>
            <w:tcW w:w="4760" w:type="dxa"/>
            <w:vAlign w:val="bottom"/>
            <w:shd w:val="clear" w:color="auto" w:fill="CCEEFF"/>
          </w:tcPr>
          <w:p>
            <w:pPr>
              <w:spacing w:after="0"/>
              <w:rPr>
                <w:sz w:val="20"/>
                <w:szCs w:val="20"/>
                <w:color w:val="auto"/>
              </w:rPr>
            </w:pPr>
            <w:r>
              <w:rPr>
                <w:rFonts w:ascii="Arial" w:cs="Arial" w:eastAsia="Arial" w:hAnsi="Arial"/>
                <w:sz w:val="16"/>
                <w:szCs w:val="16"/>
                <w:color w:val="auto"/>
              </w:rPr>
              <w:t>Basic and diluted net loss attributable to common</w:t>
            </w:r>
          </w:p>
        </w:tc>
        <w:tc>
          <w:tcPr>
            <w:tcW w:w="1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80" w:type="dxa"/>
            <w:vAlign w:val="bottom"/>
            <w:tcBorders>
              <w:right w:val="single" w:sz="8" w:color="CCEEFF"/>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r>
      <w:tr>
        <w:trPr>
          <w:trHeight w:val="202"/>
        </w:trPr>
        <w:tc>
          <w:tcPr>
            <w:tcW w:w="4760" w:type="dxa"/>
            <w:vAlign w:val="bottom"/>
          </w:tcPr>
          <w:p>
            <w:pPr>
              <w:ind w:left="340"/>
              <w:spacing w:after="0"/>
              <w:rPr>
                <w:sz w:val="20"/>
                <w:szCs w:val="20"/>
                <w:color w:val="auto"/>
              </w:rPr>
            </w:pPr>
            <w:r>
              <w:rPr>
                <w:rFonts w:ascii="Arial" w:cs="Arial" w:eastAsia="Arial" w:hAnsi="Arial"/>
                <w:sz w:val="16"/>
                <w:szCs w:val="16"/>
                <w:color w:val="auto"/>
              </w:rPr>
              <w:t>stockholders per common share</w:t>
            </w:r>
          </w:p>
        </w:tc>
        <w:tc>
          <w:tcPr>
            <w:tcW w:w="13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240" w:type="dxa"/>
            <w:vAlign w:val="bottom"/>
            <w:gridSpan w:val="2"/>
          </w:tcPr>
          <w:p>
            <w:pPr>
              <w:jc w:val="right"/>
              <w:ind w:right="220"/>
              <w:spacing w:after="0"/>
              <w:rPr>
                <w:sz w:val="20"/>
                <w:szCs w:val="20"/>
                <w:color w:val="auto"/>
              </w:rPr>
            </w:pPr>
            <w:r>
              <w:rPr>
                <w:rFonts w:ascii="Arial" w:cs="Arial" w:eastAsia="Arial" w:hAnsi="Arial"/>
                <w:sz w:val="16"/>
                <w:szCs w:val="16"/>
                <w:color w:val="auto"/>
              </w:rPr>
              <w:t>(0.07)</w:t>
            </w:r>
          </w:p>
        </w:tc>
        <w:tc>
          <w:tcPr>
            <w:tcW w:w="220" w:type="dxa"/>
            <w:vAlign w:val="bottom"/>
          </w:tcPr>
          <w:p>
            <w:pPr>
              <w:jc w:val="right"/>
              <w:ind w:right="64"/>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100"/>
              <w:spacing w:after="0"/>
              <w:rPr>
                <w:sz w:val="20"/>
                <w:szCs w:val="20"/>
                <w:color w:val="auto"/>
              </w:rPr>
            </w:pPr>
            <w:r>
              <w:rPr>
                <w:rFonts w:ascii="Arial" w:cs="Arial" w:eastAsia="Arial" w:hAnsi="Arial"/>
                <w:sz w:val="16"/>
                <w:szCs w:val="16"/>
                <w:color w:val="auto"/>
              </w:rPr>
              <w:t>(0.15)</w:t>
            </w:r>
          </w:p>
        </w:tc>
        <w:tc>
          <w:tcPr>
            <w:tcW w:w="300" w:type="dxa"/>
            <w:vAlign w:val="bottom"/>
            <w:gridSpan w:val="2"/>
          </w:tcPr>
          <w:p>
            <w:pPr>
              <w:jc w:val="right"/>
              <w:ind w:right="39"/>
              <w:spacing w:after="0"/>
              <w:rPr>
                <w:sz w:val="20"/>
                <w:szCs w:val="20"/>
                <w:color w:val="auto"/>
              </w:rPr>
            </w:pPr>
            <w:r>
              <w:rPr>
                <w:rFonts w:ascii="Arial" w:cs="Arial" w:eastAsia="Arial" w:hAnsi="Arial"/>
                <w:sz w:val="16"/>
                <w:szCs w:val="16"/>
                <w:color w:val="auto"/>
              </w:rPr>
              <w:t>$</w:t>
            </w:r>
          </w:p>
        </w:tc>
        <w:tc>
          <w:tcPr>
            <w:tcW w:w="1040" w:type="dxa"/>
            <w:vAlign w:val="bottom"/>
            <w:gridSpan w:val="2"/>
          </w:tcPr>
          <w:p>
            <w:pPr>
              <w:jc w:val="right"/>
              <w:ind w:right="100"/>
              <w:spacing w:after="0"/>
              <w:rPr>
                <w:sz w:val="20"/>
                <w:szCs w:val="20"/>
                <w:color w:val="auto"/>
              </w:rPr>
            </w:pPr>
            <w:r>
              <w:rPr>
                <w:rFonts w:ascii="Arial" w:cs="Arial" w:eastAsia="Arial" w:hAnsi="Arial"/>
                <w:sz w:val="16"/>
                <w:szCs w:val="16"/>
                <w:color w:val="auto"/>
              </w:rPr>
              <w:t>(0.19)</w:t>
            </w:r>
          </w:p>
        </w:tc>
        <w:tc>
          <w:tcPr>
            <w:tcW w:w="3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020" w:type="dxa"/>
            <w:vAlign w:val="bottom"/>
            <w:gridSpan w:val="2"/>
          </w:tcPr>
          <w:p>
            <w:pPr>
              <w:jc w:val="right"/>
              <w:ind w:right="80"/>
              <w:spacing w:after="0"/>
              <w:rPr>
                <w:sz w:val="20"/>
                <w:szCs w:val="20"/>
                <w:color w:val="auto"/>
              </w:rPr>
            </w:pPr>
            <w:r>
              <w:rPr>
                <w:rFonts w:ascii="Arial" w:cs="Arial" w:eastAsia="Arial" w:hAnsi="Arial"/>
                <w:sz w:val="16"/>
                <w:szCs w:val="16"/>
                <w:color w:val="auto"/>
              </w:rPr>
              <w:t>(0.43)</w:t>
            </w:r>
          </w:p>
        </w:tc>
      </w:tr>
      <w:tr>
        <w:trPr>
          <w:trHeight w:val="21"/>
        </w:trPr>
        <w:tc>
          <w:tcPr>
            <w:tcW w:w="47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96"/>
        </w:trPr>
        <w:tc>
          <w:tcPr>
            <w:tcW w:w="47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80" w:type="dxa"/>
            <w:vAlign w:val="bottom"/>
            <w:tcBorders>
              <w:right w:val="single" w:sz="8" w:color="CCEEFF"/>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r>
      <w:tr>
        <w:trPr>
          <w:trHeight w:val="203"/>
        </w:trPr>
        <w:tc>
          <w:tcPr>
            <w:tcW w:w="4760" w:type="dxa"/>
            <w:vAlign w:val="bottom"/>
          </w:tcPr>
          <w:p>
            <w:pPr>
              <w:spacing w:after="0"/>
              <w:rPr>
                <w:sz w:val="20"/>
                <w:szCs w:val="20"/>
                <w:color w:val="auto"/>
              </w:rPr>
            </w:pPr>
            <w:r>
              <w:rPr>
                <w:rFonts w:ascii="Arial" w:cs="Arial" w:eastAsia="Arial" w:hAnsi="Arial"/>
                <w:sz w:val="16"/>
                <w:szCs w:val="16"/>
                <w:color w:val="auto"/>
              </w:rPr>
              <w:t>Weighted average shares used in computing</w:t>
            </w: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10"/>
        </w:trPr>
        <w:tc>
          <w:tcPr>
            <w:tcW w:w="47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basic and diluted net loss attributable to common</w:t>
            </w:r>
          </w:p>
        </w:tc>
        <w:tc>
          <w:tcPr>
            <w:tcW w:w="12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spacing w:after="0"/>
              <w:rPr>
                <w:sz w:val="18"/>
                <w:szCs w:val="18"/>
                <w:color w:val="auto"/>
              </w:rPr>
            </w:pPr>
          </w:p>
        </w:tc>
        <w:tc>
          <w:tcPr>
            <w:tcW w:w="280" w:type="dxa"/>
            <w:vAlign w:val="bottom"/>
            <w:tcBorders>
              <w:bottom w:val="single" w:sz="8" w:color="CCEEFF"/>
              <w:right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r>
      <w:tr>
        <w:trPr>
          <w:trHeight w:val="203"/>
        </w:trPr>
        <w:tc>
          <w:tcPr>
            <w:tcW w:w="4760" w:type="dxa"/>
            <w:vAlign w:val="bottom"/>
          </w:tcPr>
          <w:p>
            <w:pPr>
              <w:ind w:left="340"/>
              <w:spacing w:after="0"/>
              <w:rPr>
                <w:sz w:val="20"/>
                <w:szCs w:val="20"/>
                <w:color w:val="auto"/>
              </w:rPr>
            </w:pPr>
            <w:r>
              <w:rPr>
                <w:rFonts w:ascii="Arial" w:cs="Arial" w:eastAsia="Arial" w:hAnsi="Arial"/>
                <w:sz w:val="16"/>
                <w:szCs w:val="16"/>
                <w:color w:val="auto"/>
              </w:rPr>
              <w:t>stockholders per common share</w:t>
            </w: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81,086,105</w:t>
            </w: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43,158,889</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66,551,962</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6"/>
                <w:szCs w:val="16"/>
                <w:color w:val="auto"/>
              </w:rPr>
              <w:t>42,802,256</w:t>
            </w:r>
          </w:p>
        </w:tc>
      </w:tr>
      <w:tr>
        <w:trPr>
          <w:trHeight w:val="20"/>
        </w:trPr>
        <w:tc>
          <w:tcPr>
            <w:tcW w:w="47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433"/>
        </w:trPr>
        <w:tc>
          <w:tcPr>
            <w:tcW w:w="476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40"/>
      </w:cols>
      <w:pgMar w:left="320" w:top="55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2021-02-12T15:22:28Z</dcterms:created>
  <dcterms:modified xsi:type="dcterms:W3CDTF">2021-02-12T15:22:28Z</dcterms:modified>
</cp:coreProperties>
</file>