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(RULE 13d - 102)</w:t>
      </w:r>
    </w:p>
    <w:p>
      <w:pPr>
        <w:spacing w:after="0" w:line="234"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13d-1(b), (c) AND (d) AND AMENDMENTS THERETO FILED PURSUANT TO 13d-2(b)</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$0.001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92840H103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ind w:left="5560" w:hanging="701"/>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52"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7"/>
          <w:szCs w:val="17"/>
          <w:i w:val="1"/>
          <w:iCs w:val="1"/>
          <w:color w:val="auto"/>
        </w:rPr>
        <w:t>see the 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left="1060" w:hanging="1052"/>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60" w:hanging="105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40" w:hanging="379"/>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60" w:hanging="399"/>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060" w:hanging="105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hanging="105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2040" w:right="729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2040" w:right="7019" w:hanging="2032"/>
        <w:spacing w:after="0" w:line="530" w:lineRule="auto"/>
        <w:tabs>
          <w:tab w:leader="none" w:pos="106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77,000</w:t>
      </w:r>
    </w:p>
    <w:p>
      <w:pPr>
        <w:ind w:left="2040" w:right="689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jc w:val="center"/>
        <w:ind w:left="2040" w:right="661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77,000</w:t>
      </w:r>
    </w:p>
    <w:p>
      <w:pPr>
        <w:ind w:left="2040" w:right="259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77,000 shares of Common Stock. See Item 4.</w:t>
      </w:r>
    </w:p>
    <w:p>
      <w:pPr>
        <w:ind w:left="1060" w:hanging="105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00" w:lineRule="exact"/>
        <w:rPr>
          <w:sz w:val="20"/>
          <w:szCs w:val="20"/>
          <w:color w:val="auto"/>
        </w:rPr>
      </w:pPr>
    </w:p>
    <w:p>
      <w:pPr>
        <w:spacing w:after="0" w:line="241" w:lineRule="exact"/>
        <w:rPr>
          <w:sz w:val="20"/>
          <w:szCs w:val="20"/>
          <w:color w:val="auto"/>
        </w:rPr>
      </w:pPr>
    </w:p>
    <w:p>
      <w:pPr>
        <w:ind w:left="2040" w:right="4099" w:hanging="2032"/>
        <w:spacing w:after="0" w:line="501" w:lineRule="auto"/>
        <w:tabs>
          <w:tab w:leader="none" w:pos="1068"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 (1)</w:t>
      </w:r>
    </w:p>
    <w:p>
      <w:pPr>
        <w:ind w:left="1060" w:hanging="105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Calculated in accordance with the Ownership Limitation.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2" w:name="page3"/>
    <w:bookmarkEnd w:id="2"/>
    <w:p>
      <w:pPr>
        <w:ind w:left="1060" w:hanging="105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Platinum Management (NY) LLC</w:t>
      </w:r>
    </w:p>
    <w:p>
      <w:pPr>
        <w:spacing w:after="0" w:line="225" w:lineRule="exact"/>
        <w:rPr>
          <w:sz w:val="20"/>
          <w:szCs w:val="20"/>
          <w:color w:val="auto"/>
        </w:rPr>
      </w:pPr>
    </w:p>
    <w:p>
      <w:pPr>
        <w:ind w:left="1060" w:hanging="105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40" w:hanging="379"/>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60" w:hanging="399"/>
        <w:spacing w:after="0"/>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060" w:hanging="105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hanging="105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2040" w:right="729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2040" w:right="7019" w:hanging="2032"/>
        <w:spacing w:after="0" w:line="530" w:lineRule="auto"/>
        <w:tabs>
          <w:tab w:leader="none" w:pos="1068"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77,000</w:t>
      </w:r>
    </w:p>
    <w:p>
      <w:pPr>
        <w:ind w:left="2040" w:right="689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jc w:val="center"/>
        <w:ind w:left="2040" w:right="661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77,000</w:t>
      </w:r>
    </w:p>
    <w:p>
      <w:pPr>
        <w:ind w:left="2040" w:right="259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77,000 shares of Common Stock. See Item 4.</w:t>
      </w:r>
    </w:p>
    <w:p>
      <w:pPr>
        <w:ind w:left="1060" w:hanging="105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60"/>
        <w:spacing w:after="0"/>
        <w:tabs>
          <w:tab w:leader="none" w:pos="3700" w:val="left"/>
        </w:tabs>
        <w:rPr>
          <w:sz w:val="20"/>
          <w:szCs w:val="20"/>
          <w:color w:val="auto"/>
        </w:rPr>
      </w:pPr>
      <w:r>
        <w:rPr>
          <w:rFonts w:ascii="Arial" w:cs="Arial" w:eastAsia="Arial" w:hAnsi="Arial"/>
          <w:sz w:val="18"/>
          <w:szCs w:val="18"/>
          <w:color w:val="auto"/>
        </w:rPr>
        <w:t>EXCLUDES CERTAIN SHARES</w:t>
      </w:r>
      <w:r>
        <w:rPr>
          <w:sz w:val="20"/>
          <w:szCs w:val="20"/>
          <w:color w:val="auto"/>
        </w:rPr>
        <w:tab/>
      </w:r>
      <w:r>
        <w:rPr>
          <w:rFonts w:ascii="Arial" w:cs="Arial" w:eastAsia="Arial" w:hAnsi="Arial"/>
          <w:sz w:val="16"/>
          <w:szCs w:val="16"/>
          <w:color w:val="auto"/>
        </w:rPr>
        <w:t>[X] See Item 4.</w:t>
      </w:r>
    </w:p>
    <w:p>
      <w:pPr>
        <w:spacing w:after="0" w:line="211" w:lineRule="exact"/>
        <w:rPr>
          <w:sz w:val="20"/>
          <w:szCs w:val="20"/>
          <w:color w:val="auto"/>
        </w:rPr>
      </w:pPr>
    </w:p>
    <w:p>
      <w:pPr>
        <w:ind w:left="2040" w:right="4099" w:hanging="2032"/>
        <w:spacing w:after="0" w:line="501" w:lineRule="auto"/>
        <w:tabs>
          <w:tab w:leader="none" w:pos="106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 (1)</w:t>
      </w:r>
    </w:p>
    <w:p>
      <w:pPr>
        <w:ind w:left="1060" w:hanging="1052"/>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Calculated in accordance with the Ownership Limitation.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3" w:name="page4"/>
    <w:bookmarkEnd w:id="3"/>
    <w:p>
      <w:pPr>
        <w:spacing w:after="0" w:line="50" w:lineRule="exact"/>
        <w:rPr>
          <w:sz w:val="20"/>
          <w:szCs w:val="20"/>
          <w:color w:val="auto"/>
        </w:rPr>
      </w:pPr>
    </w:p>
    <w:p>
      <w:pPr>
        <w:ind w:left="1060" w:hanging="105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Mark Nordlicht</w:t>
      </w:r>
    </w:p>
    <w:p>
      <w:pPr>
        <w:spacing w:after="0" w:line="225" w:lineRule="exact"/>
        <w:rPr>
          <w:sz w:val="20"/>
          <w:szCs w:val="20"/>
          <w:color w:val="auto"/>
        </w:rPr>
      </w:pPr>
    </w:p>
    <w:p>
      <w:pPr>
        <w:ind w:left="1060" w:hanging="105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40" w:hanging="379"/>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60" w:hanging="399"/>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060" w:hanging="105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hanging="105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2040" w:right="729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2040" w:right="7019" w:hanging="2032"/>
        <w:spacing w:after="0" w:line="530" w:lineRule="auto"/>
        <w:tabs>
          <w:tab w:leader="none" w:pos="10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77,000</w:t>
      </w:r>
    </w:p>
    <w:p>
      <w:pPr>
        <w:ind w:left="2040" w:right="689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jc w:val="center"/>
        <w:ind w:left="2040" w:right="661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77,000</w:t>
      </w:r>
    </w:p>
    <w:p>
      <w:pPr>
        <w:ind w:left="2040" w:right="259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77,000 shares of Common Stock. See Item 4.</w:t>
      </w:r>
    </w:p>
    <w:p>
      <w:pPr>
        <w:ind w:left="1060" w:hanging="105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60"/>
        <w:spacing w:after="0"/>
        <w:tabs>
          <w:tab w:leader="none" w:pos="3700" w:val="left"/>
        </w:tabs>
        <w:rPr>
          <w:sz w:val="20"/>
          <w:szCs w:val="20"/>
          <w:color w:val="auto"/>
        </w:rPr>
      </w:pPr>
      <w:r>
        <w:rPr>
          <w:rFonts w:ascii="Arial" w:cs="Arial" w:eastAsia="Arial" w:hAnsi="Arial"/>
          <w:sz w:val="18"/>
          <w:szCs w:val="18"/>
          <w:color w:val="auto"/>
        </w:rPr>
        <w:t>EXCLUDES CERTAIN SHARES</w:t>
      </w:r>
      <w:r>
        <w:rPr>
          <w:sz w:val="20"/>
          <w:szCs w:val="20"/>
          <w:color w:val="auto"/>
        </w:rPr>
        <w:tab/>
      </w:r>
      <w:r>
        <w:rPr>
          <w:rFonts w:ascii="Arial" w:cs="Arial" w:eastAsia="Arial" w:hAnsi="Arial"/>
          <w:sz w:val="16"/>
          <w:szCs w:val="16"/>
          <w:color w:val="auto"/>
        </w:rPr>
        <w:t>[X] See Item 4.</w:t>
      </w:r>
    </w:p>
    <w:p>
      <w:pPr>
        <w:spacing w:after="0" w:line="211" w:lineRule="exact"/>
        <w:rPr>
          <w:sz w:val="20"/>
          <w:szCs w:val="20"/>
          <w:color w:val="auto"/>
        </w:rPr>
      </w:pPr>
    </w:p>
    <w:p>
      <w:pPr>
        <w:ind w:left="2040" w:right="4099" w:hanging="2032"/>
        <w:spacing w:after="0" w:line="501" w:lineRule="auto"/>
        <w:tabs>
          <w:tab w:leader="none" w:pos="10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 (1)</w:t>
      </w:r>
    </w:p>
    <w:p>
      <w:pPr>
        <w:ind w:left="1060" w:hanging="105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Calculated in accordance with the Ownership Limitation.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Long Term Growth VII,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Management (NY)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 Nordlicht</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250 West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New York, NY 10019</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Long Term Growth VII, LLC – 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Management (NY) LLC – Delaware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 Nordlicht – United States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(the “Common Stock”)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92840H103</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56" w:lineRule="exact"/>
        <w:rPr>
          <w:sz w:val="20"/>
          <w:szCs w:val="20"/>
          <w:color w:val="auto"/>
        </w:rPr>
      </w:pPr>
    </w:p>
    <w:p>
      <w:pPr>
        <w:ind w:left="1000" w:hanging="38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00" w:hanging="38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00" w:hanging="38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225" w:lineRule="exact"/>
        <w:rPr>
          <w:rFonts w:ascii="Arial" w:cs="Arial" w:eastAsia="Arial" w:hAnsi="Arial"/>
          <w:sz w:val="18"/>
          <w:szCs w:val="18"/>
          <w:color w:val="auto"/>
        </w:rPr>
      </w:pPr>
    </w:p>
    <w:p>
      <w:pPr>
        <w:ind w:left="1000" w:hanging="38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Savings association as defined in Section 3(b) of the Federal Deposit Insurance Act.</w:t>
      </w:r>
    </w:p>
    <w:p>
      <w:pPr>
        <w:spacing w:after="0" w:line="225" w:lineRule="exact"/>
        <w:rPr>
          <w:sz w:val="20"/>
          <w:szCs w:val="20"/>
          <w:color w:val="auto"/>
        </w:rPr>
      </w:pPr>
    </w:p>
    <w:p>
      <w:pPr>
        <w:ind w:left="1000" w:hanging="375"/>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00" w:hanging="375"/>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225" w:lineRule="exact"/>
        <w:rPr>
          <w:sz w:val="20"/>
          <w:szCs w:val="20"/>
          <w:color w:val="auto"/>
        </w:rPr>
      </w:pPr>
    </w:p>
    <w:p>
      <w:pPr>
        <w:ind w:left="1420" w:hanging="815"/>
        <w:spacing w:after="0" w:line="277" w:lineRule="auto"/>
        <w:tabs>
          <w:tab w:leader="none" w:pos="10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 w:name="page6"/>
    <w:bookmarkEnd w:id="5"/>
    <w:p>
      <w:pPr>
        <w:spacing w:after="0"/>
        <w:tabs>
          <w:tab w:leader="none" w:pos="15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close of business on December 31, 2014,</w:t>
      </w:r>
    </w:p>
    <w:p>
      <w:pPr>
        <w:spacing w:after="0" w:line="25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77,000 shares of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the number of shares beneficially owned includes 77,000 shares of Common Stock owned by Platinum Long Term Growth VII, LLC (“Platinum VII”).</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shares beneficially owned excludes 637,500 shares of Common Stock that may be acquired by Platinum VII upon exchange of 425,000 shares of Series A Convertible Preferred Stock. Pursuant to that Note Exchange and Purchase Agreement by and between the Issuer and Platinum VII, there is a limitation on exchange such that the number of shares of Common Stock that may be acquired by Platinum VII upon exchange of the Series A Convertible Preferred Stock is limited to the extent necessary to ensure that, following such exchange, the total number of shares of Common Stock then beneficially owned by the holder does not exceed 9.99% of the total number of issued and outstanding shares of Common Stock of the Issuer without providing the Issuer with 61 days’ prior notice thereof (the “Ownership Limitation”).</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the number of shares beneficially owned also excludes 635,535 shares of Common Stock that may be acquired by Platinum VII upon conversion of various convertible notes or exercise of various common stock purchase warrants issued by the Issuer (before giving effect to accrued but unpaid interest on such convertible notes). Pursuant to the terms of the respective convertible notes and common stock purchase warrant agreements, there is a limitation on conversion of the notes and exercise of the warrants such that the number of shares of Common Stock that may be acquired by the holder upon such conversion or exercise is limited to the extent necessary to ensure that, following such conversion or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number of shares beneficially owned also excludes Series A Exchange Warrants that may be issued to Platinum VII upon exchange of the Series A Convertible Preferred Stock. Assuming exchange of all 425,000 shares of Series A Convertible Preferred Stock, the Series A Exchange Warrants entitle the holder to acquire up to 318,750 shares of Common Stock. Pursuant to the terms of the Series A Exchange Warrant agreement, there is a limitation on exercise of the Series A Exchange Warrants such that the number of shares of Common Stock that may be acquired by the holder upon such exercise is limited to the extent necessary to ensure that, following such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spacing w:after="0" w:line="2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ownership calculation was based on 1,293,928 shares of Common Stock outstanding as of November 17, 2014 as reported in the Issuer’s Quarterly Report on Form 10-Q filed with the Securities and Exchange Commission on November 19, 2014.</w:t>
      </w:r>
    </w:p>
    <w:p>
      <w:pPr>
        <w:spacing w:after="0" w:line="19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9.99% calculated in accordance with the Ownership Limitation.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320" w:hanging="664"/>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of Common Stock: 0</w:t>
      </w:r>
    </w:p>
    <w:p>
      <w:pPr>
        <w:spacing w:after="0" w:line="252" w:lineRule="exact"/>
        <w:rPr>
          <w:rFonts w:ascii="Arial" w:cs="Arial" w:eastAsia="Arial" w:hAnsi="Arial"/>
          <w:sz w:val="18"/>
          <w:szCs w:val="18"/>
          <w:color w:val="auto"/>
        </w:rPr>
      </w:pPr>
    </w:p>
    <w:p>
      <w:pPr>
        <w:ind w:left="1420" w:hanging="719"/>
        <w:spacing w:after="0"/>
        <w:tabs>
          <w:tab w:leader="none" w:pos="14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of Common Stock: 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ind w:left="1460" w:hanging="759"/>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Common Stock: 0</w:t>
      </w:r>
    </w:p>
    <w:p>
      <w:pPr>
        <w:spacing w:after="0" w:line="252" w:lineRule="exact"/>
        <w:rPr>
          <w:rFonts w:ascii="Arial" w:cs="Arial" w:eastAsia="Arial" w:hAnsi="Arial"/>
          <w:sz w:val="18"/>
          <w:szCs w:val="18"/>
          <w:color w:val="auto"/>
        </w:rPr>
      </w:pPr>
    </w:p>
    <w:p>
      <w:pPr>
        <w:ind w:left="1460" w:hanging="759"/>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Common Stock: 77,000</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shares of Common Stock (the “Shares”) reported in this Schedule 13G are held directly by Platinum Long Term Growth VII, LLC. Platinum Management (NY) LLC is the investment manager of Platinum Long Term Growth VII, LLC. Mr. Nordlicht is the Chief Investment Officer of Platinum Management (NY) LLC and has voting and investment control of the Shares held by Platinum Long Term Growth VII, LLC. Each of Platinum Management (NY) LLC and Mr. Nordlicht expressly disclaims beneficial ownership of the Shares held by Platinum Long Term Growth VII, LLC.</w:t>
      </w:r>
    </w:p>
    <w:p>
      <w:pPr>
        <w:spacing w:after="0" w:line="200" w:lineRule="exact"/>
        <w:rPr>
          <w:sz w:val="20"/>
          <w:szCs w:val="20"/>
          <w:color w:val="auto"/>
        </w:rPr>
      </w:pP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w:t>
      </w:r>
      <w:r>
        <w:rPr>
          <w:rFonts w:ascii="Arial" w:cs="Arial" w:eastAsia="Arial" w:hAnsi="Arial"/>
          <w:sz w:val="18"/>
          <w:szCs w:val="18"/>
          <w:b w:val="1"/>
          <w:bCs w:val="1"/>
          <w:color w:val="auto"/>
        </w:rPr>
        <w:t>N/A</w:t>
      </w:r>
    </w:p>
    <w:p>
      <w:pPr>
        <w:spacing w:after="0" w:line="210"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w:t>
      </w:r>
      <w:r>
        <w:rPr>
          <w:rFonts w:ascii="Arial" w:cs="Arial" w:eastAsia="Arial" w:hAnsi="Arial"/>
          <w:sz w:val="18"/>
          <w:szCs w:val="18"/>
          <w:b w:val="1"/>
          <w:bCs w:val="1"/>
          <w:color w:val="auto"/>
        </w:rPr>
        <w:t>N/A</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 </w:t>
      </w:r>
      <w:r>
        <w:rPr>
          <w:rFonts w:ascii="Arial" w:cs="Arial" w:eastAsia="Arial" w:hAnsi="Arial"/>
          <w:sz w:val="18"/>
          <w:szCs w:val="18"/>
          <w:b w:val="1"/>
          <w:bCs w:val="1"/>
          <w:color w:val="auto"/>
        </w:rPr>
        <w:t>See previously filed Joint Filing Agreement</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w:t>
      </w:r>
      <w:r>
        <w:rPr>
          <w:rFonts w:ascii="Arial" w:cs="Arial" w:eastAsia="Arial" w:hAnsi="Arial"/>
          <w:sz w:val="18"/>
          <w:szCs w:val="18"/>
          <w:b w:val="1"/>
          <w:bCs w:val="1"/>
          <w:color w:val="auto"/>
        </w:rPr>
        <w:t>N/A</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17,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MANDELBAUM</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8"/>
          <w:szCs w:val="18"/>
          <w:color w:val="auto"/>
        </w:rPr>
        <w:t>Daniel Mandelbaum</w:t>
      </w:r>
    </w:p>
    <w:p>
      <w:pPr>
        <w:spacing w:after="0"/>
        <w:rPr>
          <w:sz w:val="20"/>
          <w:szCs w:val="20"/>
          <w:color w:val="auto"/>
        </w:rPr>
      </w:pPr>
      <w:r>
        <w:rPr>
          <w:rFonts w:ascii="Arial" w:cs="Arial" w:eastAsia="Arial" w:hAnsi="Arial"/>
          <w:sz w:val="18"/>
          <w:szCs w:val="18"/>
          <w:color w:val="auto"/>
        </w:rPr>
        <w:t>Title: 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Management (NY)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MANDELBAUM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 Mandelbaum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MARK NORDLICHT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Nordlicht</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lvl w:ilvl="1">
      <w:lvlJc w:val="left"/>
      <w:lvlText w:val="(%2)"/>
      <w:numFmt w:val="lowerLetter"/>
      <w:start w:val="1"/>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lvl w:ilvl="1">
      <w:lvlJc w:val="left"/>
      <w:lvlText w:val="(%2)"/>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9"/>
    </w:lvl>
  </w:abstractNum>
  <w:abstractNum w:abstractNumId="15">
    <w:nsid w:val="519B500D"/>
    <w:multiLevelType w:val="hybridMultilevel"/>
    <w:lvl w:ilvl="0">
      <w:lvlJc w:val="left"/>
      <w:lvlText w:val="(%1)"/>
      <w:numFmt w:val="lowerLetter"/>
      <w:start w:val="1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2020-01-22T15:24:58Z</dcterms:created>
  <dcterms:modified xsi:type="dcterms:W3CDTF">2020-01-22T15:24:58Z</dcterms:modified>
</cp:coreProperties>
</file>