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reported herein shall vest on Vesting Start Date May 23, 2019, and 1/36th of the remaining Shares subject to the Option shall vest on each monthly anniversary of the Vesting Start Date thereafter.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05/28/2019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2020-02-25T20:21:18Z</dcterms:created>
  <dcterms:modified xsi:type="dcterms:W3CDTF">2020-02-25T20:21:18Z</dcterms:modified>
</cp:coreProperties>
</file>