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132715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
        <w:spacing w:after="0"/>
        <w:rPr>
          <w:sz w:val="20"/>
          <w:szCs w:val="20"/>
          <w:color w:val="auto"/>
        </w:rPr>
      </w:pPr>
      <w:r>
        <w:rPr>
          <w:rFonts w:ascii="Arial" w:cs="Arial" w:eastAsia="Arial" w:hAnsi="Arial"/>
          <w:sz w:val="36"/>
          <w:szCs w:val="36"/>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27305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(Title of Class of Securities)</w:t>
      </w:r>
    </w:p>
    <w:p>
      <w:pPr>
        <w:spacing w:after="0" w:line="27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(CUSIP Number)</w:t>
      </w:r>
    </w:p>
    <w:p>
      <w:pPr>
        <w:spacing w:after="0" w:line="27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Louis S. Citron, Esq.</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New Enterprise Associates</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1954 Greenspring Drive, Suite 600, Timonium, MD 21093</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Authorized to Receive Notices and Communications)</w:t>
      </w:r>
    </w:p>
    <w:p>
      <w:pPr>
        <w:spacing w:after="0" w:line="26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December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2"/>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78" w:lineRule="exact"/>
        <w:rPr>
          <w:sz w:val="24"/>
          <w:szCs w:val="24"/>
          <w:color w:val="auto"/>
        </w:rPr>
      </w:pPr>
    </w:p>
    <w:p>
      <w:pPr>
        <w:ind w:left="2"/>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6" w:lineRule="exact"/>
        <w:rPr>
          <w:sz w:val="24"/>
          <w:szCs w:val="24"/>
          <w:color w:val="auto"/>
        </w:rPr>
      </w:pPr>
    </w:p>
    <w:p>
      <w:pPr>
        <w:ind w:left="2" w:hanging="2"/>
        <w:spacing w:after="0" w:line="202" w:lineRule="auto"/>
        <w:tabs>
          <w:tab w:leader="none" w:pos="128"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3" w:lineRule="exact"/>
        <w:rPr>
          <w:sz w:val="24"/>
          <w:szCs w:val="24"/>
          <w:color w:val="auto"/>
        </w:rPr>
      </w:pPr>
    </w:p>
    <w:p>
      <w:pPr>
        <w:jc w:val="both"/>
        <w:ind w:left="2"/>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125730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142875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322"/>
          </w:cols>
          <w:pgMar w:left="778" w:top="693" w:right="799" w:bottom="1440" w:gutter="0" w:footer="0" w:header="0"/>
        </w:sectPr>
      </w:pPr>
    </w:p>
    <w:bookmarkStart w:id="1" w:name="page2"/>
    <w:bookmarkEnd w:id="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648" w:right="339" w:bottom="1095"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Equity Opportunities 17, LLC</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10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2"/>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2"/>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2"/>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1095"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1095" w:gutter="0" w:footer="0" w:header="0"/>
          <w:type w:val="continuous"/>
        </w:sectPr>
      </w:pPr>
    </w:p>
    <w:bookmarkStart w:id="2" w:name="page3"/>
    <w:bookmarkEnd w:id="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36601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891" w:right="339" w:bottom="609"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Enterprise Associates 17, L.P.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9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3"/>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3"/>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3"/>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891"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609" w:gutter="0" w:footer="0" w:header="0"/>
          <w:type w:val="continuous"/>
        </w:sectPr>
      </w:pPr>
    </w:p>
    <w:bookmarkStart w:id="3" w:name="page4"/>
    <w:bookmarkEnd w:id="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36601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891" w:right="339" w:bottom="609"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 Partners 17, L.P.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9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4"/>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4"/>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4"/>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891"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609" w:gutter="0" w:footer="0" w:header="0"/>
          <w:type w:val="continuous"/>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36601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891" w:right="339" w:bottom="609"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 17 GP, LLC</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9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5"/>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5"/>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5"/>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891"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609" w:gutter="0" w:footer="0" w:header="0"/>
          <w:type w:val="continuous"/>
        </w:sectPr>
      </w:pPr>
    </w:p>
    <w:bookmarkStart w:id="5" w:name="page6"/>
    <w:bookmarkEnd w:id="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36601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6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891" w:right="339" w:bottom="609"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Baskett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9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6"/>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6"/>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6"/>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891"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609" w:gutter="0" w:footer="0" w:header="0"/>
          <w:type w:val="continuous"/>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7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 Behbahani</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7"/>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7"/>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7"/>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8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Carmen Chang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8"/>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8"/>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8"/>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9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A. Florence, Jr.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9"/>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9"/>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9"/>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9" w:name="page10"/>
    <w:bookmarkEnd w:id="9"/>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10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Liza Landsman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0"/>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0"/>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0"/>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0" w:name="page11"/>
    <w:bookmarkEnd w:id="10"/>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11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-148590</wp:posOffset>
            </wp:positionV>
            <wp:extent cx="235712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00" w:space="720"/>
            <w:col w:w="174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Mohamad H. Makhzoumi</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1"/>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1"/>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1"/>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1" w:name="page12"/>
    <w:bookmarkEnd w:id="1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12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Makower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2"/>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2"/>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2"/>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2" w:name="page13"/>
    <w:bookmarkEnd w:id="1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13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T. Mathers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3"/>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3"/>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3"/>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3" w:name="page14"/>
    <w:bookmarkEnd w:id="1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14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Sandell</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4"/>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4"/>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4"/>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4" w:name="page15"/>
    <w:bookmarkEnd w:id="1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15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W. Sonsini</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5"/>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5"/>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5"/>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5" w:name="page16"/>
    <w:bookmarkEnd w:id="1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16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Walker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6"/>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6"/>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6"/>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6" w:name="page17"/>
    <w:bookmarkEnd w:id="1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17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Rick Yang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 citizen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7"/>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9,360,000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7"/>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7"/>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9,360,000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9,360,000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7" w:name="page18"/>
    <w:bookmarkEnd w:id="1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18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3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Security and Issuer</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statement relates to the common shares, $0.001 par value (the “Common Stock”), of VistaGen Therapeutics, Inc. (the “Issuer”), having its principal executive office at 343 Allerton Ave., South San Francisco, California 94090.</w:t>
      </w:r>
    </w:p>
    <w:p>
      <w:pPr>
        <w:spacing w:after="0" w:line="3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Identity and Background</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Equity Opportunities 17, LLC (“GEO”);</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Enterprise Associates 17, L.P. (“NEA 17”), which is the sole member of GEO; NEA Partners 17, L.P. (“NEA Partners 17”), which is the sole general partner of NEA 17; and NEA 17 GP, LLC (“NEA 17 LLC” and, together with NEA Partners 17, the “Control Entities”), which is the sole general partner of NEA Partners 17; and</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Forest Baskett (“Baskett”), Ali Behbahani (“Behbahani”), Carmen Chang (“Chang”), Anthony A. Florence, Jr. (“Florence”), Liza Landsman (“Landsman”), Mohamad H. Makhzoumi (“Makhzoumi”), Joshua Makower (“Makower”), Edward T. Mathers (“Mathers”), Scott D. Sandell (“Sandell”), Peter W. Sonsini (“Sonsini”), Paul Walker (“Walker”) and Rick Yang (“Yang”) (together, the “Managers”). The Managers are the managers of NEA 17 LLC.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persons named in this Item 2 are referred to individually herein as a “Reporting Person” and collectively as the “Reporting Persons.”</w:t>
      </w:r>
    </w:p>
    <w:p>
      <w:pPr>
        <w:spacing w:after="0" w:line="23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The address of the principal business office of GEO, NEA 17 and each Control Entity is New Enterprise Associates, 1954 Greenspring Drive, Suite 600, Timonium, MD 21093. The address of the principal business office of Behbahani and Mathers is New Enterprise Associates, 5425 Wisconsin Avenue, Suite 800, Chevy Chase, MD 20815. The address of the principal business office of Baskett, Chang, Makhzoumi, Makower, Sandell, Sonsini, Walker and Yang is New Enterprise Associates, 2855 Sand Hill Road, Menlo Park, California 94025. The address of the principal business office of Florence and Landsman is New Enterprise Associates, 104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Avenue,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10001.</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principal business of GEO and NEA 17 is to invest in and assist growth-oriented businesses located principally in the United States. The principal business of NEA Partners 17 is to act as the sole general partner of NEA 17. The principal business of NEA 17 LLC is to act as the sole general partner of NEA Partners 17. The principal business of each of the Managers is to manage the Control Entities, GEO and a number of affiliated partnerships with similar businesses.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GEO and NEA 17 LLC is a limited liability company organized under the laws of the State of Delaware. NEA 17 and NEA Partners 17 are limited partnerships organized under the laws of the State of Delaware. Each of the Managers is a United States citizen.</w:t>
      </w:r>
    </w:p>
    <w:p>
      <w:pPr>
        <w:sectPr>
          <w:pgSz w:w="11900" w:h="16838" w:orient="portrait"/>
          <w:cols w:equalWidth="0" w:num="1">
            <w:col w:w="11240"/>
          </w:cols>
          <w:pgMar w:left="320" w:top="648" w:right="339" w:bottom="144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2040" w:type="dxa"/>
            <w:vAlign w:val="bottom"/>
          </w:tcPr>
          <w:p>
            <w:pPr>
              <w:ind w:left="1740"/>
              <w:spacing w:after="0"/>
              <w:rPr>
                <w:sz w:val="20"/>
                <w:szCs w:val="20"/>
                <w:color w:val="auto"/>
              </w:rPr>
            </w:pPr>
            <w:r>
              <w:rPr>
                <w:rFonts w:ascii="Arial" w:cs="Arial" w:eastAsia="Arial" w:hAnsi="Arial"/>
                <w:sz w:val="18"/>
                <w:szCs w:val="18"/>
                <w:b w:val="1"/>
                <w:bCs w:val="1"/>
                <w:color w:val="auto"/>
                <w:w w:val="84"/>
              </w:rPr>
              <w:t>13D</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2040" w:type="dxa"/>
            <w:vAlign w:val="bottom"/>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Source and Amount of Funds or Other Consideration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19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1179" w:lineRule="exact"/>
        <w:rPr>
          <w:sz w:val="20"/>
          <w:szCs w:val="20"/>
          <w:color w:val="auto"/>
        </w:rPr>
      </w:pPr>
    </w:p>
    <w:p>
      <w:pPr>
        <w:sectPr>
          <w:pgSz w:w="11900" w:h="16838" w:orient="portrait"/>
          <w:cols w:equalWidth="0" w:num="2">
            <w:col w:w="8760" w:space="720"/>
            <w:col w:w="1760"/>
          </w:cols>
          <w:pgMar w:left="320" w:top="120" w:right="339" w:bottom="1440" w:gutter="0" w:footer="0" w:header="0"/>
        </w:sectPr>
      </w:pPr>
    </w:p>
    <w:p>
      <w:pPr>
        <w:spacing w:after="0" w:line="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22, 2020, the Issuer completed the closing of an underwritten offering (the “Offering”) of 63,000,000 shares of Common Stock and 2,000,000 shares of a newly issued series of convertible preferred stock (the “Series D Preferred Stock”). At the closing of the Offering, GEO purchased an aggregate of 9,360,000 shares of Common Stock at the Offering price of $0.92 per share and 301,852 shares of the Series D Preferred Stock at the Offering price of $21.16 per share. Each share of Series D Preferred Stock is initially convertible into 23 shares of Common Stock at any time at the option of GEO; provided, that the Series D Preferred Stock will not be convertible prior to the date on which the Company receives approval of its stockholders of an amendment to the Company’s Restated and Amended Articles of Incorporation to increase the number of authorized shares of Common Stock to a total of 325,000,000 shares (the “Charter Amendment”) and, provided, further that the Series D Preferred Stock carries a limitation on exercise preventing GEO from beneficially owning in excess of 9.99% of the number of shares of the Issuer’s Common Stock outstanding. GEO now owns a total of 9,360,000 shares of the Issuer’s Common Stock (the “GEO Shares”).</w:t>
      </w:r>
    </w:p>
    <w:p>
      <w:pPr>
        <w:spacing w:after="0" w:line="1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working capital of GEO was the source of the funds for the purchase of the GEO Shares. No part of the purchase price of the GEO Shares was represented by funds or other consideration borrowed or otherwise obtained for the purpose of acquiring, holding, trading or voting the GEO Shares.</w:t>
      </w:r>
    </w:p>
    <w:p>
      <w:pPr>
        <w:spacing w:after="0" w:line="3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Purpose of Transaction</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GEO acquired the GEO Shares for investment purposes. Depending on market conditions, its continuing evaluation of the business and prospects of the Issuer and other factors, GEO and other Reporting Persons may dispose of or acquire additional shares of the Issuer. Except as set forth above, none of the Reporting Persons has any present plans which relate to or would result in:</w:t>
      </w:r>
    </w:p>
    <w:p>
      <w:pPr>
        <w:spacing w:after="0" w:line="18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extraordinary corporate transaction, such as a merger, reorganization or liquidation, involving the Issuer or any of its subsidiaries;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1934;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ectPr>
          <w:pgSz w:w="11900" w:h="16838" w:orient="portrait"/>
          <w:cols w:equalWidth="0" w:num="1">
            <w:col w:w="11240"/>
          </w:cols>
          <w:pgMar w:left="320" w:top="120" w:right="339" w:bottom="1440" w:gutter="0" w:footer="0" w:header="0"/>
          <w:type w:val="continuous"/>
        </w:sectPr>
      </w:pPr>
    </w:p>
    <w:bookmarkStart w:id="19" w:name="page20"/>
    <w:bookmarkEnd w:id="19"/>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36601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CUSIP No. 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 in Securities of the Issuer</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20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1503" w:lineRule="exact"/>
        <w:rPr>
          <w:sz w:val="20"/>
          <w:szCs w:val="20"/>
          <w:color w:val="auto"/>
        </w:rPr>
      </w:pPr>
    </w:p>
    <w:p>
      <w:pPr>
        <w:sectPr>
          <w:pgSz w:w="11900" w:h="16838" w:orient="portrait"/>
          <w:cols w:equalWidth="0" w:num="3">
            <w:col w:w="4760" w:space="720"/>
            <w:col w:w="3280" w:space="720"/>
            <w:col w:w="1760"/>
          </w:cols>
          <w:pgMar w:left="320" w:top="405" w:right="339" w:bottom="1440" w:gutter="0" w:footer="0" w:header="0"/>
        </w:sectPr>
      </w:pPr>
    </w:p>
    <w:p>
      <w:pPr>
        <w:spacing w:after="0" w:line="29" w:lineRule="exact"/>
        <w:rPr>
          <w:sz w:val="20"/>
          <w:szCs w:val="20"/>
          <w:color w:val="auto"/>
        </w:rPr>
      </w:pPr>
    </w:p>
    <w:p>
      <w:pPr>
        <w:jc w:val="both"/>
        <w:ind w:left="130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 is the record owner of the GEO Shares. As the sole member of GEO, NEA 17 may be deemed to own beneficially the GEO Shares. As the general partner of NEA 17, NEA Partners 17 may be deemed to own beneficially the GEO Shares. As the sole general partner of NEA Partners 17, NEA 17 LLC may be deemed to own beneficially the GEO Shares. As members of NEA 17 LLC, each of the Managers may be deemed to own beneficially the GEO Shares.</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Each Reporting Person disclaims beneficial ownership of the GEO Shares other than those shares which such person owns of record.</w:t>
      </w:r>
    </w:p>
    <w:p>
      <w:pPr>
        <w:spacing w:after="0" w:line="248"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percentage of outstanding Common Stock of the Issuer which may be deemed to be beneficially owned by each Reporting Person is set forth on Line 13 of such Reporting Person’s cover sheet. Such percentage was calculated based on 137,664,676 shares of Common Stock outstanding as of December 18, 2020 as reported on the Issuer’s prospectus supplement filed under Rule 424(b)(5), filed with the Securities and Exchange Commission on December 21, 2020.</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set forth in Item 3 above, none of the Reporting Persons has effected any transaction in the Common Stock during the last 60 days.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Common Stock beneficially owned by any of the Reporting Persons.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Contracts, Arrangements, Undertakings or Relationships with Respect to Securities of the Issuer</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Material to be Filed as Exhibits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 – Agreement regarding filing of joint Schedule 13D.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2 – Power of Attorney regarding filings under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3 – Power of Attorney on behalf of Liza Landsman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20" w:name="page21"/>
    <w:bookmarkEnd w:id="20"/>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21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EXECUTED this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December, 2020.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NEW ENTERPRISE ASSOCIATES 17, L.P.</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Sole Member</w:t>
      </w:r>
    </w:p>
    <w:p>
      <w:pPr>
        <w:spacing w:after="0" w:line="319"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NEA PARTNERS 17, L.P.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403"/>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9160" w:type="dxa"/>
            <w:vAlign w:val="bottom"/>
            <w:gridSpan w:val="7"/>
          </w:tcPr>
          <w:p>
            <w:pPr>
              <w:ind w:left="80"/>
              <w:spacing w:after="0"/>
              <w:rPr>
                <w:sz w:val="20"/>
                <w:szCs w:val="20"/>
                <w:color w:val="auto"/>
              </w:rPr>
            </w:pPr>
            <w:r>
              <w:rPr>
                <w:rFonts w:ascii="Arial" w:cs="Arial" w:eastAsia="Arial" w:hAnsi="Arial"/>
                <w:sz w:val="18"/>
                <w:szCs w:val="18"/>
                <w:color w:val="auto"/>
              </w:rPr>
              <w:t>NEA 17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60" w:type="dxa"/>
            <w:vAlign w:val="bottom"/>
            <w:gridSpan w:val="7"/>
          </w:tcPr>
          <w:p>
            <w:pPr>
              <w:ind w:left="80"/>
              <w:spacing w:after="0"/>
              <w:rPr>
                <w:sz w:val="20"/>
                <w:szCs w:val="20"/>
                <w:color w:val="auto"/>
              </w:rPr>
            </w:pPr>
            <w:r>
              <w:rPr>
                <w:rFonts w:ascii="Arial" w:cs="Arial" w:eastAsia="Arial" w:hAnsi="Arial"/>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14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11240" w:type="dxa"/>
            <w:vAlign w:val="bottom"/>
            <w:gridSpan w:val="11"/>
          </w:tcPr>
          <w:p>
            <w:pPr>
              <w:spacing w:after="0"/>
              <w:rPr>
                <w:sz w:val="20"/>
                <w:szCs w:val="20"/>
                <w:color w:val="auto"/>
              </w:rPr>
            </w:pPr>
            <w:r>
              <w:rPr>
                <w:rFonts w:ascii="Arial" w:cs="Arial" w:eastAsia="Arial" w:hAnsi="Arial"/>
                <w:sz w:val="18"/>
                <w:szCs w:val="18"/>
                <w:color w:val="auto"/>
              </w:rPr>
              <w:t>NEW ENTERPRISE ASSOCIATES 17,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gridSpan w:val="5"/>
          </w:tcPr>
          <w:p>
            <w:pPr>
              <w:ind w:left="220"/>
              <w:spacing w:after="0"/>
              <w:rPr>
                <w:sz w:val="20"/>
                <w:szCs w:val="20"/>
                <w:color w:val="auto"/>
              </w:rPr>
            </w:pPr>
            <w:r>
              <w:rPr>
                <w:rFonts w:ascii="Arial" w:cs="Arial" w:eastAsia="Arial" w:hAnsi="Arial"/>
                <w:sz w:val="18"/>
                <w:szCs w:val="18"/>
                <w:color w:val="auto"/>
              </w:rPr>
              <w:t>NEA PARTNERS 17, L.P.</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NEA 17 GP, LLC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gridSpan w:val="6"/>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80" w:type="dxa"/>
            <w:vAlign w:val="bottom"/>
            <w:gridSpan w:val="6"/>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2080" w:type="dxa"/>
            <w:vAlign w:val="bottom"/>
            <w:gridSpan w:val="4"/>
          </w:tcPr>
          <w:p>
            <w:pPr>
              <w:spacing w:after="0"/>
              <w:rPr>
                <w:sz w:val="20"/>
                <w:szCs w:val="20"/>
                <w:color w:val="auto"/>
              </w:rPr>
            </w:pPr>
            <w:r>
              <w:rPr>
                <w:rFonts w:ascii="Arial" w:cs="Arial" w:eastAsia="Arial" w:hAnsi="Arial"/>
                <w:sz w:val="18"/>
                <w:szCs w:val="18"/>
                <w:color w:val="auto"/>
                <w:w w:val="99"/>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w w:val="98"/>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50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648"/>
        </w:trPr>
        <w:tc>
          <w:tcPr>
            <w:tcW w:w="1360" w:type="dxa"/>
            <w:vAlign w:val="bottom"/>
            <w:gridSpan w:val="3"/>
          </w:tcPr>
          <w:p>
            <w:pPr>
              <w:spacing w:after="0"/>
              <w:rPr>
                <w:sz w:val="20"/>
                <w:szCs w:val="20"/>
                <w:color w:val="auto"/>
              </w:rPr>
            </w:pPr>
            <w:r>
              <w:rPr>
                <w:rFonts w:ascii="Arial" w:cs="Arial" w:eastAsia="Arial" w:hAnsi="Arial"/>
                <w:sz w:val="18"/>
                <w:szCs w:val="18"/>
                <w:color w:val="auto"/>
                <w:w w:val="98"/>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1215"/>
        </w:trPr>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type w:val="continuous"/>
        </w:sectPr>
      </w:pPr>
    </w:p>
    <w:bookmarkStart w:id="21" w:name="page22"/>
    <w:bookmarkEnd w:id="21"/>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b w:val="1"/>
          <w:bCs w:val="1"/>
          <w:color w:val="auto"/>
        </w:rPr>
        <w:t>CUSIP No. 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 Behbahani</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Carmen Chang</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Anthony A. Florence, Jr.</w:t>
      </w:r>
    </w:p>
    <w:p>
      <w:pPr>
        <w:spacing w:after="0" w:line="200" w:lineRule="exact"/>
        <w:rPr>
          <w:sz w:val="20"/>
          <w:szCs w:val="20"/>
          <w:color w:val="auto"/>
        </w:rPr>
      </w:pPr>
    </w:p>
    <w:p>
      <w:pPr>
        <w:spacing w:after="0" w:line="238"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640"/>
        <w:spacing w:after="0"/>
        <w:rPr>
          <w:sz w:val="20"/>
          <w:szCs w:val="20"/>
          <w:color w:val="auto"/>
        </w:rPr>
      </w:pPr>
      <w:r>
        <w:rPr>
          <w:rFonts w:ascii="Arial" w:cs="Arial" w:eastAsia="Arial" w:hAnsi="Arial"/>
          <w:sz w:val="16"/>
          <w:szCs w:val="16"/>
          <w:color w:val="auto"/>
        </w:rPr>
        <w:t>Liza Landsman</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Mohamad H. Makhzoumi</w:t>
      </w:r>
    </w:p>
    <w:p>
      <w:pPr>
        <w:spacing w:after="0" w:line="200" w:lineRule="exact"/>
        <w:rPr>
          <w:sz w:val="20"/>
          <w:szCs w:val="20"/>
          <w:color w:val="auto"/>
        </w:rPr>
      </w:pPr>
    </w:p>
    <w:p>
      <w:pPr>
        <w:spacing w:after="0" w:line="250"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jc w:val="right"/>
        <w:ind w:right="3520"/>
        <w:spacing w:after="0"/>
        <w:rPr>
          <w:sz w:val="20"/>
          <w:szCs w:val="20"/>
          <w:color w:val="auto"/>
        </w:rPr>
      </w:pPr>
      <w:r>
        <w:rPr>
          <w:rFonts w:ascii="Arial" w:cs="Arial" w:eastAsia="Arial" w:hAnsi="Arial"/>
          <w:sz w:val="16"/>
          <w:szCs w:val="16"/>
          <w:color w:val="auto"/>
        </w:rPr>
        <w:t>Joshua Makower</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T. Mathers</w:t>
      </w:r>
    </w:p>
    <w:p>
      <w:pPr>
        <w:spacing w:after="0" w:line="200" w:lineRule="exact"/>
        <w:rPr>
          <w:sz w:val="20"/>
          <w:szCs w:val="20"/>
          <w:color w:val="auto"/>
        </w:rPr>
      </w:pPr>
    </w:p>
    <w:p>
      <w:pPr>
        <w:spacing w:after="0" w:line="227"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jc w:val="right"/>
        <w:ind w:right="3580"/>
        <w:spacing w:after="0"/>
        <w:rPr>
          <w:sz w:val="20"/>
          <w:szCs w:val="20"/>
          <w:color w:val="auto"/>
        </w:rPr>
      </w:pPr>
      <w:r>
        <w:rPr>
          <w:rFonts w:ascii="Arial" w:cs="Arial" w:eastAsia="Arial" w:hAnsi="Arial"/>
          <w:sz w:val="16"/>
          <w:szCs w:val="16"/>
          <w:color w:val="auto"/>
        </w:rPr>
        <w:t>Scott D. Sandell</w:t>
      </w:r>
    </w:p>
    <w:p>
      <w:pPr>
        <w:spacing w:after="0" w:line="200" w:lineRule="exact"/>
        <w:rPr>
          <w:sz w:val="20"/>
          <w:szCs w:val="20"/>
          <w:color w:val="auto"/>
        </w:rPr>
      </w:pPr>
    </w:p>
    <w:p>
      <w:pPr>
        <w:spacing w:after="0" w:line="250"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560"/>
        <w:spacing w:after="0"/>
        <w:rPr>
          <w:sz w:val="20"/>
          <w:szCs w:val="20"/>
          <w:color w:val="auto"/>
        </w:rPr>
      </w:pPr>
      <w:r>
        <w:rPr>
          <w:rFonts w:ascii="Arial" w:cs="Arial" w:eastAsia="Arial" w:hAnsi="Arial"/>
          <w:sz w:val="16"/>
          <w:szCs w:val="16"/>
          <w:color w:val="auto"/>
        </w:rPr>
        <w:t>Peter W. Sonsini</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Walker</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Rick Yang</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22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11133" w:lineRule="exact"/>
        <w:rPr>
          <w:sz w:val="20"/>
          <w:szCs w:val="20"/>
          <w:color w:val="auto"/>
        </w:rPr>
      </w:pPr>
    </w:p>
    <w:p>
      <w:pPr>
        <w:sectPr>
          <w:pgSz w:w="11900" w:h="16838" w:orient="portrait"/>
          <w:cols w:equalWidth="0" w:num="3">
            <w:col w:w="4760" w:space="720"/>
            <w:col w:w="3280" w:space="720"/>
            <w:col w:w="1740"/>
          </w:cols>
          <w:pgMar w:left="320" w:top="648" w:right="359" w:bottom="1440" w:gutter="0" w:footer="0" w:header="0"/>
        </w:sect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-10160</wp:posOffset>
            </wp:positionV>
            <wp:extent cx="1675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7576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Schedule 13D was executed by Sasha O. Keough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type w:val="continuous"/>
        </w:sectPr>
      </w:pPr>
    </w:p>
    <w:bookmarkStart w:id="22" w:name="page23"/>
    <w:bookmarkEnd w:id="2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540"/>
        <w:spacing w:after="0"/>
        <w:rPr>
          <w:sz w:val="20"/>
          <w:szCs w:val="20"/>
          <w:color w:val="auto"/>
        </w:rPr>
      </w:pPr>
      <w:r>
        <w:rPr>
          <w:rFonts w:ascii="Arial" w:cs="Arial" w:eastAsia="Arial" w:hAnsi="Arial"/>
          <w:sz w:val="18"/>
          <w:szCs w:val="18"/>
          <w:b w:val="1"/>
          <w:bCs w:val="1"/>
          <w:color w:val="auto"/>
        </w:rPr>
        <w:t>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540"/>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Page 23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-170815</wp:posOffset>
            </wp:positionV>
            <wp:extent cx="235712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847" w:lineRule="exact"/>
        <w:rPr>
          <w:sz w:val="20"/>
          <w:szCs w:val="20"/>
          <w:color w:val="auto"/>
        </w:rPr>
      </w:pPr>
    </w:p>
    <w:p>
      <w:pPr>
        <w:sectPr>
          <w:pgSz w:w="11900" w:h="16838" w:orient="portrait"/>
          <w:cols w:equalWidth="0" w:num="3">
            <w:col w:w="4320" w:space="720"/>
            <w:col w:w="3720" w:space="720"/>
            <w:col w:w="1760"/>
          </w:cols>
          <w:pgMar w:left="320" w:top="756" w:right="339" w:bottom="1440" w:gutter="0" w:footer="0" w:header="0"/>
        </w:sectPr>
      </w:pPr>
    </w:p>
    <w:p>
      <w:pPr>
        <w:spacing w:after="0" w:line="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VistaGen Therapeutics,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EXECUTED this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December, 2020.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NEW ENTERPRISE ASSOCIATES 17, L.P.</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Sole Member</w:t>
      </w:r>
    </w:p>
    <w:p>
      <w:pPr>
        <w:spacing w:after="0" w:line="319"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NEA PARTNERS 17, L.P.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03"/>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3360" w:type="dxa"/>
            <w:vAlign w:val="bottom"/>
            <w:gridSpan w:val="6"/>
          </w:tcPr>
          <w:p>
            <w:pPr>
              <w:ind w:left="80"/>
              <w:spacing w:after="0"/>
              <w:rPr>
                <w:sz w:val="20"/>
                <w:szCs w:val="20"/>
                <w:color w:val="auto"/>
              </w:rPr>
            </w:pPr>
            <w:r>
              <w:rPr>
                <w:rFonts w:ascii="Arial" w:cs="Arial" w:eastAsia="Arial" w:hAnsi="Arial"/>
                <w:sz w:val="18"/>
                <w:szCs w:val="18"/>
                <w:color w:val="auto"/>
              </w:rPr>
              <w:t>NEA 17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60" w:type="dxa"/>
            <w:vAlign w:val="bottom"/>
            <w:gridSpan w:val="6"/>
          </w:tcPr>
          <w:p>
            <w:pPr>
              <w:ind w:left="80"/>
              <w:spacing w:after="0"/>
              <w:rPr>
                <w:sz w:val="20"/>
                <w:szCs w:val="20"/>
                <w:color w:val="auto"/>
              </w:rPr>
            </w:pPr>
            <w:r>
              <w:rPr>
                <w:rFonts w:ascii="Arial" w:cs="Arial" w:eastAsia="Arial" w:hAnsi="Arial"/>
                <w:sz w:val="18"/>
                <w:szCs w:val="18"/>
                <w:color w:val="auto"/>
              </w:rPr>
              <w:t>General Partner</w:t>
            </w:r>
          </w:p>
        </w:tc>
      </w:tr>
      <w:tr>
        <w:trPr>
          <w:trHeight w:val="500"/>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62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5440" w:type="dxa"/>
            <w:vAlign w:val="bottom"/>
            <w:gridSpan w:val="10"/>
          </w:tcPr>
          <w:p>
            <w:pPr>
              <w:spacing w:after="0"/>
              <w:rPr>
                <w:sz w:val="20"/>
                <w:szCs w:val="20"/>
                <w:color w:val="auto"/>
              </w:rPr>
            </w:pPr>
            <w:r>
              <w:rPr>
                <w:rFonts w:ascii="Arial" w:cs="Arial" w:eastAsia="Arial" w:hAnsi="Arial"/>
                <w:sz w:val="18"/>
                <w:szCs w:val="18"/>
                <w:color w:val="auto"/>
              </w:rPr>
              <w:t>NEW ENTERPRISE ASSOCIATES 17,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gridSpan w:val="5"/>
          </w:tcPr>
          <w:p>
            <w:pPr>
              <w:ind w:left="220"/>
              <w:spacing w:after="0"/>
              <w:rPr>
                <w:sz w:val="20"/>
                <w:szCs w:val="20"/>
                <w:color w:val="auto"/>
              </w:rPr>
            </w:pPr>
            <w:r>
              <w:rPr>
                <w:rFonts w:ascii="Arial" w:cs="Arial" w:eastAsia="Arial" w:hAnsi="Arial"/>
                <w:sz w:val="18"/>
                <w:szCs w:val="18"/>
                <w:color w:val="auto"/>
              </w:rPr>
              <w:t>NEA PARTNERS 17, L.P.</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NEA 17 GP, LLC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2080" w:type="dxa"/>
            <w:vAlign w:val="bottom"/>
            <w:gridSpan w:val="4"/>
          </w:tcPr>
          <w:p>
            <w:pPr>
              <w:spacing w:after="0"/>
              <w:rPr>
                <w:sz w:val="20"/>
                <w:szCs w:val="20"/>
                <w:color w:val="auto"/>
              </w:rPr>
            </w:pPr>
            <w:r>
              <w:rPr>
                <w:rFonts w:ascii="Arial" w:cs="Arial" w:eastAsia="Arial" w:hAnsi="Arial"/>
                <w:sz w:val="18"/>
                <w:szCs w:val="18"/>
                <w:color w:val="auto"/>
                <w:w w:val="99"/>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w w:val="98"/>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48"/>
        </w:trPr>
        <w:tc>
          <w:tcPr>
            <w:tcW w:w="1360" w:type="dxa"/>
            <w:vAlign w:val="bottom"/>
            <w:gridSpan w:val="3"/>
          </w:tcPr>
          <w:p>
            <w:pPr>
              <w:spacing w:after="0"/>
              <w:rPr>
                <w:sz w:val="20"/>
                <w:szCs w:val="20"/>
                <w:color w:val="auto"/>
              </w:rPr>
            </w:pPr>
            <w:r>
              <w:rPr>
                <w:rFonts w:ascii="Arial" w:cs="Arial" w:eastAsia="Arial" w:hAnsi="Arial"/>
                <w:sz w:val="18"/>
                <w:szCs w:val="18"/>
                <w:color w:val="auto"/>
                <w:w w:val="98"/>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23" w:name="page24"/>
    <w:bookmarkEnd w:id="2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b w:val="1"/>
          <w:bCs w:val="1"/>
          <w:color w:val="auto"/>
        </w:rPr>
        <w:t>CUSIP No. 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 Behbahani</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Carmen Chang</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Anthony A. Florence, Jr.</w:t>
      </w:r>
    </w:p>
    <w:p>
      <w:pPr>
        <w:spacing w:after="0" w:line="200" w:lineRule="exact"/>
        <w:rPr>
          <w:sz w:val="20"/>
          <w:szCs w:val="20"/>
          <w:color w:val="auto"/>
        </w:rPr>
      </w:pPr>
    </w:p>
    <w:p>
      <w:pPr>
        <w:spacing w:after="0" w:line="238"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640"/>
        <w:spacing w:after="0"/>
        <w:rPr>
          <w:sz w:val="20"/>
          <w:szCs w:val="20"/>
          <w:color w:val="auto"/>
        </w:rPr>
      </w:pPr>
      <w:r>
        <w:rPr>
          <w:rFonts w:ascii="Arial" w:cs="Arial" w:eastAsia="Arial" w:hAnsi="Arial"/>
          <w:sz w:val="16"/>
          <w:szCs w:val="16"/>
          <w:color w:val="auto"/>
        </w:rPr>
        <w:t>Liza Landsman</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Mohamad H. Makhzoumi</w:t>
      </w:r>
    </w:p>
    <w:p>
      <w:pPr>
        <w:spacing w:after="0" w:line="200" w:lineRule="exact"/>
        <w:rPr>
          <w:sz w:val="20"/>
          <w:szCs w:val="20"/>
          <w:color w:val="auto"/>
        </w:rPr>
      </w:pPr>
    </w:p>
    <w:p>
      <w:pPr>
        <w:spacing w:after="0" w:line="250"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jc w:val="right"/>
        <w:ind w:right="3520"/>
        <w:spacing w:after="0"/>
        <w:rPr>
          <w:sz w:val="20"/>
          <w:szCs w:val="20"/>
          <w:color w:val="auto"/>
        </w:rPr>
      </w:pPr>
      <w:r>
        <w:rPr>
          <w:rFonts w:ascii="Arial" w:cs="Arial" w:eastAsia="Arial" w:hAnsi="Arial"/>
          <w:sz w:val="16"/>
          <w:szCs w:val="16"/>
          <w:color w:val="auto"/>
        </w:rPr>
        <w:t>Joshua Makower</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T. Mathers</w:t>
      </w:r>
    </w:p>
    <w:p>
      <w:pPr>
        <w:spacing w:after="0" w:line="200" w:lineRule="exact"/>
        <w:rPr>
          <w:sz w:val="20"/>
          <w:szCs w:val="20"/>
          <w:color w:val="auto"/>
        </w:rPr>
      </w:pPr>
    </w:p>
    <w:p>
      <w:pPr>
        <w:spacing w:after="0" w:line="227"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580"/>
        <w:spacing w:after="0"/>
        <w:rPr>
          <w:sz w:val="20"/>
          <w:szCs w:val="20"/>
          <w:color w:val="auto"/>
        </w:rPr>
      </w:pPr>
      <w:r>
        <w:rPr>
          <w:rFonts w:ascii="Arial" w:cs="Arial" w:eastAsia="Arial" w:hAnsi="Arial"/>
          <w:sz w:val="16"/>
          <w:szCs w:val="16"/>
          <w:color w:val="auto"/>
        </w:rPr>
        <w:t>Scott D. Sandell</w:t>
      </w:r>
    </w:p>
    <w:p>
      <w:pPr>
        <w:spacing w:after="0" w:line="200" w:lineRule="exact"/>
        <w:rPr>
          <w:sz w:val="20"/>
          <w:szCs w:val="20"/>
          <w:color w:val="auto"/>
        </w:rPr>
      </w:pPr>
    </w:p>
    <w:p>
      <w:pPr>
        <w:spacing w:after="0" w:line="250"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560"/>
        <w:spacing w:after="0"/>
        <w:rPr>
          <w:sz w:val="20"/>
          <w:szCs w:val="20"/>
          <w:color w:val="auto"/>
        </w:rPr>
      </w:pPr>
      <w:r>
        <w:rPr>
          <w:rFonts w:ascii="Arial" w:cs="Arial" w:eastAsia="Arial" w:hAnsi="Arial"/>
          <w:sz w:val="16"/>
          <w:szCs w:val="16"/>
          <w:color w:val="auto"/>
        </w:rPr>
        <w:t>Peter W. Sonsini</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Walker</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Rick Yang</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24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11565" w:lineRule="exact"/>
        <w:rPr>
          <w:sz w:val="20"/>
          <w:szCs w:val="20"/>
          <w:color w:val="auto"/>
        </w:rPr>
      </w:pPr>
    </w:p>
    <w:p>
      <w:pPr>
        <w:sectPr>
          <w:pgSz w:w="11900" w:h="16838" w:orient="portrait"/>
          <w:cols w:equalWidth="0" w:num="3">
            <w:col w:w="4760" w:space="720"/>
            <w:col w:w="3280" w:space="720"/>
            <w:col w:w="1500"/>
          </w:cols>
          <w:pgMar w:left="320" w:top="648" w:right="599" w:bottom="1440" w:gutter="0" w:footer="0" w:header="0"/>
        </w:sect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-10160</wp:posOffset>
            </wp:positionV>
            <wp:extent cx="1675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7576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Agreement relating to Schedule 13D was executed by Sasha O. Keough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648" w:right="599" w:bottom="1440" w:gutter="0" w:footer="0" w:header="0"/>
          <w:type w:val="continuous"/>
        </w:sectPr>
      </w:pPr>
    </w:p>
    <w:bookmarkStart w:id="24" w:name="page25"/>
    <w:bookmarkEnd w:id="2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25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1440" w:gutter="0" w:footer="0" w:header="0"/>
        </w:sectPr>
      </w:pPr>
    </w:p>
    <w:p>
      <w:pPr>
        <w:spacing w:after="0" w:line="23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Power of Attorney has been signed as of the 13th day of March, 2017.</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 James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63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 James Barrett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37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Peter J. Barris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03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Forest Baskett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Ali Behbahani</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Colin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25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Colin Bryant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34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Carmen Chang</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Anthony A. Florence, Jr.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Anthony A. Florence, Jr.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947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Carol G. Gallagher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Dayna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Dayna Grayson</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661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Patrick J. Kerins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03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25" w:name="page26"/>
    <w:bookmarkEnd w:id="2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1400"/>
        <w:spacing w:after="0"/>
        <w:rPr>
          <w:sz w:val="20"/>
          <w:szCs w:val="20"/>
          <w:color w:val="auto"/>
        </w:rPr>
      </w:pPr>
      <w:r>
        <w:rPr>
          <w:rFonts w:ascii="Arial" w:cs="Arial" w:eastAsia="Arial" w:hAnsi="Arial"/>
          <w:sz w:val="18"/>
          <w:szCs w:val="18"/>
          <w:b w:val="1"/>
          <w:bCs w:val="1"/>
          <w:color w:val="auto"/>
        </w:rPr>
        <w:t>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255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Vanessa Larco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52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Joshua Makower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Mohamad H. Makhzoumi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Mohamad H. Makhzoumi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700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T. Mathers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David M.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2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M. Mott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Sara M. Nayeem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503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Sara M. Nayeem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Jason R.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3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Jason R. Nunn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301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Gregory Papadopoulos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Chetan Puttagunta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3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Chetan Puttagunta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Jon Sakoda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598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 Sakoda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20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Sandell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20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Brooke Seawell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Peter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87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W. Sonsini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42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Melissa Taunton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Frank M. Torti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80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 M. Torti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46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Ravi Viswanathan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503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E. Walker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452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452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777240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26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ectPr>
          <w:pgSz w:w="11900" w:h="16838" w:orient="portrait"/>
          <w:cols w:equalWidth="0" w:num="3">
            <w:col w:w="3100" w:space="720"/>
            <w:col w:w="4860" w:space="720"/>
            <w:col w:w="1500"/>
          </w:cols>
          <w:pgMar w:left="400" w:top="648" w:right="599" w:bottom="1440" w:gutter="0" w:footer="0" w:header="0"/>
        </w:sectPr>
      </w:pPr>
    </w:p>
    <w:bookmarkStart w:id="26" w:name="page27"/>
    <w:bookmarkEnd w:id="2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236601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8"/>
          <w:szCs w:val="18"/>
          <w:b w:val="1"/>
          <w:bCs w:val="1"/>
          <w:color w:val="auto"/>
        </w:rPr>
        <w:t>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20"/>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Page 27 of 27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-170815</wp:posOffset>
            </wp:positionV>
            <wp:extent cx="2357120"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w:t>
      </w:r>
    </w:p>
    <w:p>
      <w:pPr>
        <w:spacing w:after="0" w:line="1052" w:lineRule="exact"/>
        <w:rPr>
          <w:sz w:val="20"/>
          <w:szCs w:val="20"/>
          <w:color w:val="auto"/>
        </w:rPr>
      </w:pPr>
    </w:p>
    <w:p>
      <w:pPr>
        <w:sectPr>
          <w:pgSz w:w="11900" w:h="16838" w:orient="portrait"/>
          <w:cols w:equalWidth="0" w:num="3">
            <w:col w:w="3900" w:space="720"/>
            <w:col w:w="4140" w:space="720"/>
            <w:col w:w="1760"/>
          </w:cols>
          <w:pgMar w:left="320" w:top="864" w:right="339" w:bottom="1440" w:gutter="0" w:footer="0" w:header="0"/>
        </w:sectPr>
      </w:pPr>
    </w:p>
    <w:p>
      <w:pPr>
        <w:spacing w:after="0" w:line="4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KNOW ALL MEN BY THESE PRESENTS, that the undersigned hereby constitutes and appoints Louis S. Citron, Timothy Schaller, Sasha Keough and Stephanie Brecher, and each of them, with full power to act without the others, her true and lawful attorney-in-fact, with full power of substitution, to sign any and all instruments, certificates and documents that may be necessary, desirable or appropriate to be executed on behalf of herself as an individual or in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she might or could do in person, thereby ratifying and confirming all that said attorney-in-fact, or her substitutes, may lawfully do or cause to be done by virtue hereof.</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Power of Attorney has been signed as of the 1st day of April,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Liza Landsman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9005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Liza Landsman</w:t>
      </w:r>
    </w:p>
    <w:sectPr>
      <w:pgSz w:w="11900" w:h="16838" w:orient="portrait"/>
      <w:cols w:equalWidth="0" w:num="1">
        <w:col w:w="11240"/>
      </w:cols>
      <w:pgMar w:left="320" w:top="86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7"/>
    </w:lvl>
    <w:lvl w:ilvl="1">
      <w:lvlJc w:val="left"/>
      <w:lvlText w:val="0"/>
      <w:numFmt w:val="bullet"/>
      <w:start w:val="1"/>
    </w:lvl>
  </w:abstractNum>
  <w:abstractNum w:abstractNumId="2">
    <w:nsid w:val="1190CDE7"/>
    <w:multiLevelType w:val="hybridMultilevel"/>
    <w:lvl w:ilvl="0">
      <w:lvlJc w:val="left"/>
      <w:lvlText w:val="%1."/>
      <w:numFmt w:val="decimal"/>
      <w:start w:val="7"/>
    </w:lvl>
    <w:lvl w:ilvl="1">
      <w:lvlJc w:val="left"/>
      <w:lvlText w:val="0"/>
      <w:numFmt w:val="bullet"/>
      <w:start w:val="1"/>
    </w:lvl>
  </w:abstractNum>
  <w:abstractNum w:abstractNumId="3">
    <w:nsid w:val="66EF438D"/>
    <w:multiLevelType w:val="hybridMultilevel"/>
    <w:lvl w:ilvl="0">
      <w:lvlJc w:val="left"/>
      <w:lvlText w:val="%1."/>
      <w:numFmt w:val="decimal"/>
      <w:start w:val="7"/>
    </w:lvl>
    <w:lvl w:ilvl="1">
      <w:lvlJc w:val="left"/>
      <w:lvlText w:val="0"/>
      <w:numFmt w:val="bullet"/>
      <w:start w:val="1"/>
    </w:lvl>
  </w:abstractNum>
  <w:abstractNum w:abstractNumId="4">
    <w:nsid w:val="140E0F76"/>
    <w:multiLevelType w:val="hybridMultilevel"/>
    <w:lvl w:ilvl="0">
      <w:lvlJc w:val="left"/>
      <w:lvlText w:val="%1."/>
      <w:numFmt w:val="decimal"/>
      <w:start w:val="7"/>
    </w:lvl>
    <w:lvl w:ilvl="1">
      <w:lvlJc w:val="left"/>
      <w:lvlText w:val="0"/>
      <w:numFmt w:val="bullet"/>
      <w:start w:val="1"/>
    </w:lvl>
  </w:abstractNum>
  <w:abstractNum w:abstractNumId="5">
    <w:nsid w:val="3352255A"/>
    <w:multiLevelType w:val="hybridMultilevel"/>
    <w:lvl w:ilvl="0">
      <w:lvlJc w:val="left"/>
      <w:lvlText w:val="%1."/>
      <w:numFmt w:val="decimal"/>
      <w:start w:val="7"/>
    </w:lvl>
    <w:lvl w:ilvl="1">
      <w:lvlJc w:val="left"/>
      <w:lvlText w:val="0"/>
      <w:numFmt w:val="bullet"/>
      <w:start w:val="1"/>
    </w:lvl>
  </w:abstractNum>
  <w:abstractNum w:abstractNumId="6">
    <w:nsid w:val="109CF92E"/>
    <w:multiLevelType w:val="hybridMultilevel"/>
    <w:lvl w:ilvl="0">
      <w:lvlJc w:val="left"/>
      <w:lvlText w:val="%1."/>
      <w:numFmt w:val="decimal"/>
      <w:start w:val="7"/>
    </w:lvl>
    <w:lvl w:ilvl="1">
      <w:lvlJc w:val="left"/>
      <w:lvlText w:val="0"/>
      <w:numFmt w:val="bullet"/>
      <w:start w:val="1"/>
    </w:lvl>
  </w:abstractNum>
  <w:abstractNum w:abstractNumId="7">
    <w:nsid w:val="DED7263"/>
    <w:multiLevelType w:val="hybridMultilevel"/>
    <w:lvl w:ilvl="0">
      <w:lvlJc w:val="left"/>
      <w:lvlText w:val="%1."/>
      <w:numFmt w:val="decimal"/>
      <w:start w:val="7"/>
    </w:lvl>
    <w:lvl w:ilvl="1">
      <w:lvlJc w:val="left"/>
      <w:lvlText w:val="0"/>
      <w:numFmt w:val="bullet"/>
      <w:start w:val="1"/>
    </w:lvl>
  </w:abstractNum>
  <w:abstractNum w:abstractNumId="8">
    <w:nsid w:val="7FDCC233"/>
    <w:multiLevelType w:val="hybridMultilevel"/>
    <w:lvl w:ilvl="0">
      <w:lvlJc w:val="left"/>
      <w:lvlText w:val="%1."/>
      <w:numFmt w:val="decimal"/>
      <w:start w:val="7"/>
    </w:lvl>
    <w:lvl w:ilvl="1">
      <w:lvlJc w:val="left"/>
      <w:lvlText w:val="0"/>
      <w:numFmt w:val="bullet"/>
      <w:start w:val="1"/>
    </w:lvl>
  </w:abstractNum>
  <w:abstractNum w:abstractNumId="9">
    <w:nsid w:val="1BEFD79F"/>
    <w:multiLevelType w:val="hybridMultilevel"/>
    <w:lvl w:ilvl="0">
      <w:lvlJc w:val="left"/>
      <w:lvlText w:val="%1."/>
      <w:numFmt w:val="decimal"/>
      <w:start w:val="7"/>
    </w:lvl>
    <w:lvl w:ilvl="1">
      <w:lvlJc w:val="left"/>
      <w:lvlText w:val="0"/>
      <w:numFmt w:val="bullet"/>
      <w:start w:val="1"/>
    </w:lvl>
  </w:abstractNum>
  <w:abstractNum w:abstractNumId="10">
    <w:nsid w:val="41A7C4C9"/>
    <w:multiLevelType w:val="hybridMultilevel"/>
    <w:lvl w:ilvl="0">
      <w:lvlJc w:val="left"/>
      <w:lvlText w:val="%1."/>
      <w:numFmt w:val="decimal"/>
      <w:start w:val="7"/>
    </w:lvl>
    <w:lvl w:ilvl="1">
      <w:lvlJc w:val="left"/>
      <w:lvlText w:val="0"/>
      <w:numFmt w:val="bullet"/>
      <w:start w:val="1"/>
    </w:lvl>
  </w:abstractNum>
  <w:abstractNum w:abstractNumId="11">
    <w:nsid w:val="6B68079A"/>
    <w:multiLevelType w:val="hybridMultilevel"/>
    <w:lvl w:ilvl="0">
      <w:lvlJc w:val="left"/>
      <w:lvlText w:val="%1."/>
      <w:numFmt w:val="decimal"/>
      <w:start w:val="7"/>
    </w:lvl>
    <w:lvl w:ilvl="1">
      <w:lvlJc w:val="left"/>
      <w:lvlText w:val="0"/>
      <w:numFmt w:val="bullet"/>
      <w:start w:val="1"/>
    </w:lvl>
  </w:abstractNum>
  <w:abstractNum w:abstractNumId="12">
    <w:nsid w:val="4E6AFB66"/>
    <w:multiLevelType w:val="hybridMultilevel"/>
    <w:lvl w:ilvl="0">
      <w:lvlJc w:val="left"/>
      <w:lvlText w:val="%1."/>
      <w:numFmt w:val="decimal"/>
      <w:start w:val="7"/>
    </w:lvl>
    <w:lvl w:ilvl="1">
      <w:lvlJc w:val="left"/>
      <w:lvlText w:val="0"/>
      <w:numFmt w:val="bullet"/>
      <w:start w:val="1"/>
    </w:lvl>
  </w:abstractNum>
  <w:abstractNum w:abstractNumId="13">
    <w:nsid w:val="25E45D32"/>
    <w:multiLevelType w:val="hybridMultilevel"/>
    <w:lvl w:ilvl="0">
      <w:lvlJc w:val="left"/>
      <w:lvlText w:val="%1."/>
      <w:numFmt w:val="decimal"/>
      <w:start w:val="7"/>
    </w:lvl>
    <w:lvl w:ilvl="1">
      <w:lvlJc w:val="left"/>
      <w:lvlText w:val="0"/>
      <w:numFmt w:val="bullet"/>
      <w:start w:val="1"/>
    </w:lvl>
  </w:abstractNum>
  <w:abstractNum w:abstractNumId="14">
    <w:nsid w:val="519B500D"/>
    <w:multiLevelType w:val="hybridMultilevel"/>
    <w:lvl w:ilvl="0">
      <w:lvlJc w:val="left"/>
      <w:lvlText w:val="%1."/>
      <w:numFmt w:val="decimal"/>
      <w:start w:val="7"/>
    </w:lvl>
    <w:lvl w:ilvl="1">
      <w:lvlJc w:val="left"/>
      <w:lvlText w:val="0"/>
      <w:numFmt w:val="bullet"/>
      <w:start w:val="1"/>
    </w:lvl>
  </w:abstractNum>
  <w:abstractNum w:abstractNumId="15">
    <w:nsid w:val="431BD7B7"/>
    <w:multiLevelType w:val="hybridMultilevel"/>
    <w:lvl w:ilvl="0">
      <w:lvlJc w:val="left"/>
      <w:lvlText w:val="%1."/>
      <w:numFmt w:val="decimal"/>
      <w:start w:val="7"/>
    </w:lvl>
    <w:lvl w:ilvl="1">
      <w:lvlJc w:val="left"/>
      <w:lvlText w:val="0"/>
      <w:numFmt w:val="bullet"/>
      <w:start w:val="1"/>
    </w:lvl>
  </w:abstractNum>
  <w:abstractNum w:abstractNumId="16">
    <w:nsid w:val="3F2DBA31"/>
    <w:multiLevelType w:val="hybridMultilevel"/>
    <w:lvl w:ilvl="0">
      <w:lvlJc w:val="left"/>
      <w:lvlText w:val="%1."/>
      <w:numFmt w:val="decimal"/>
      <w:start w:val="7"/>
    </w:lvl>
    <w:lvl w:ilvl="1">
      <w:lvlJc w:val="left"/>
      <w:lvlText w:val="0"/>
      <w:numFmt w:val="bullet"/>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2021-01-04T05:11:00Z</dcterms:created>
  <dcterms:modified xsi:type="dcterms:W3CDTF">2021-01-04T05:11:00Z</dcterms:modified>
</cp:coreProperties>
</file>