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2740" w:type="dxa"/>
            <w:vAlign w:val="bottom"/>
          </w:tcPr>
          <w:p>
            <w:pPr>
              <w:jc w:val="right"/>
              <w:ind w:right="25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1"/>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88"/>
              </w:rPr>
              <w:t>Commission File Number: 001-37761</w:t>
            </w:r>
          </w:p>
        </w:tc>
      </w:tr>
      <w:tr>
        <w:trPr>
          <w:trHeight w:val="57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20" w:type="dxa"/>
            <w:vAlign w:val="bottom"/>
            <w:gridSpan w:val="8"/>
          </w:tcPr>
          <w:p>
            <w:pPr>
              <w:jc w:val="center"/>
              <w:ind w:right="1160"/>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00" w:type="dxa"/>
            <w:vAlign w:val="bottom"/>
            <w:gridSpan w:val="6"/>
          </w:tcPr>
          <w:p>
            <w:pPr>
              <w:jc w:val="center"/>
              <w:ind w:right="200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610"/>
        </w:trPr>
        <w:tc>
          <w:tcPr>
            <w:tcW w:w="10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8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3"/>
          </w:tcPr>
          <w:p>
            <w:pPr>
              <w:jc w:val="center"/>
              <w:ind w:left="3512"/>
              <w:spacing w:after="0"/>
              <w:rPr>
                <w:sz w:val="20"/>
                <w:szCs w:val="20"/>
                <w:color w:val="auto"/>
              </w:rPr>
            </w:pPr>
            <w:r>
              <w:rPr>
                <w:rFonts w:ascii="Arial" w:cs="Arial" w:eastAsia="Arial" w:hAnsi="Arial"/>
                <w:sz w:val="18"/>
                <w:szCs w:val="18"/>
                <w:b w:val="1"/>
                <w:bCs w:val="1"/>
                <w:color w:val="auto"/>
                <w:w w:val="87"/>
              </w:rPr>
              <w:t>20-5093315</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2400" w:type="dxa"/>
            <w:vAlign w:val="bottom"/>
            <w:gridSpan w:val="4"/>
          </w:tcPr>
          <w:p>
            <w:pPr>
              <w:jc w:val="center"/>
              <w:ind w:left="92"/>
              <w:spacing w:after="0"/>
              <w:rPr>
                <w:sz w:val="20"/>
                <w:szCs w:val="20"/>
                <w:color w:val="auto"/>
              </w:rPr>
            </w:pPr>
            <w:r>
              <w:rPr>
                <w:rFonts w:ascii="Arial" w:cs="Arial" w:eastAsia="Arial" w:hAnsi="Arial"/>
                <w:sz w:val="18"/>
                <w:szCs w:val="18"/>
                <w:i w:val="1"/>
                <w:iCs w:val="1"/>
                <w:color w:val="auto"/>
                <w:w w:val="91"/>
              </w:rPr>
              <w:t>(State or other jurisdiction of</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gridSpan w:val="3"/>
          </w:tcPr>
          <w:p>
            <w:pPr>
              <w:jc w:val="center"/>
              <w:ind w:left="24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400" w:type="dxa"/>
            <w:vAlign w:val="bottom"/>
            <w:gridSpan w:val="4"/>
          </w:tcPr>
          <w:p>
            <w:pPr>
              <w:jc w:val="center"/>
              <w:ind w:left="92"/>
              <w:spacing w:after="0"/>
              <w:rPr>
                <w:sz w:val="20"/>
                <w:szCs w:val="20"/>
                <w:color w:val="auto"/>
              </w:rPr>
            </w:pPr>
            <w:r>
              <w:rPr>
                <w:rFonts w:ascii="Arial" w:cs="Arial" w:eastAsia="Arial" w:hAnsi="Arial"/>
                <w:sz w:val="18"/>
                <w:szCs w:val="18"/>
                <w:i w:val="1"/>
                <w:iCs w:val="1"/>
                <w:color w:val="auto"/>
                <w:w w:val="93"/>
              </w:rPr>
              <w:t>incorporation or organization)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gridSpan w:val="3"/>
          </w:tcPr>
          <w:p>
            <w:pPr>
              <w:jc w:val="center"/>
              <w:ind w:left="24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3240" w:type="dxa"/>
            <w:vAlign w:val="bottom"/>
            <w:vMerge w:val="restart"/>
          </w:tcPr>
          <w:p>
            <w:pPr>
              <w:spacing w:after="0"/>
              <w:rPr>
                <w:sz w:val="20"/>
                <w:szCs w:val="20"/>
                <w:color w:val="auto"/>
              </w:rPr>
            </w:pPr>
            <w:r>
              <w:rPr>
                <w:rFonts w:ascii="Arial" w:cs="Arial" w:eastAsia="Arial" w:hAnsi="Arial"/>
                <w:sz w:val="18"/>
                <w:szCs w:val="18"/>
                <w:color w:val="auto"/>
                <w:w w:val="89"/>
              </w:rPr>
              <w:t>(do not check if a smaller reporting company)</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9, 2018, 22,902,615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2017</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20" w:type="dxa"/>
            <w:vAlign w:val="bottom"/>
            <w:gridSpan w:val="11"/>
          </w:tcPr>
          <w:p>
            <w:pPr>
              <w:jc w:val="center"/>
              <w:ind w:right="2800"/>
              <w:spacing w:after="0"/>
              <w:rPr>
                <w:sz w:val="20"/>
                <w:szCs w:val="20"/>
                <w:color w:val="auto"/>
              </w:rPr>
            </w:pPr>
            <w:r>
              <w:rPr>
                <w:rFonts w:ascii="Arial" w:cs="Arial" w:eastAsia="Arial" w:hAnsi="Arial"/>
                <w:sz w:val="18"/>
                <w:szCs w:val="18"/>
                <w:b w:val="1"/>
                <w:bCs w:val="1"/>
                <w:color w:val="auto"/>
                <w:w w:val="96"/>
              </w:rPr>
              <w:t>TABLE OF CONTENTS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960" w:type="dxa"/>
            <w:vAlign w:val="bottom"/>
            <w:gridSpan w:val="13"/>
            <w:shd w:val="clear" w:color="auto" w:fill="CCEEFF"/>
          </w:tcPr>
          <w:p>
            <w:pPr>
              <w:jc w:val="center"/>
              <w:ind w:right="340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720" w:type="dxa"/>
            <w:vAlign w:val="bottom"/>
            <w:gridSpan w:val="20"/>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December 31, 2017 and March 31, 2017</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3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and Comprehensive Loss for the three and nine months ended December 31, 2017</w:t>
              </w:r>
            </w:hyperlink>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2016</w:t>
              </w:r>
            </w:hyperlink>
          </w:p>
        </w:tc>
        <w:tc>
          <w:tcPr>
            <w:tcW w:w="10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720" w:type="dxa"/>
            <w:vAlign w:val="bottom"/>
            <w:gridSpan w:val="2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December 31, 2017 and 2016</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Changes in Stockholders’ Equity for the nine months ended December 31, 2017</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834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1380" w:type="dxa"/>
            <w:vAlign w:val="bottom"/>
            <w:tcBorders>
              <w:top w:val="single" w:sz="8" w:color="CCEEFF"/>
            </w:tcBorders>
            <w:gridSpan w:val="2"/>
          </w:tcPr>
          <w:p>
            <w:pPr>
              <w:spacing w:after="0"/>
              <w:rPr>
                <w:sz w:val="15"/>
                <w:szCs w:val="15"/>
                <w:color w:val="auto"/>
              </w:rPr>
            </w:pPr>
          </w:p>
        </w:tc>
        <w:tc>
          <w:tcPr>
            <w:tcW w:w="10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Item 2. Management’s Discussion and Analysis of Financial Condition and Results of Operations</w:t>
              </w:r>
            </w:hyperlink>
          </w:p>
        </w:tc>
        <w:tc>
          <w:tcPr>
            <w:tcW w:w="3360" w:type="dxa"/>
            <w:vAlign w:val="bottom"/>
            <w:tcBorders>
              <w:bottom w:val="single" w:sz="8" w:color="CCEEFF"/>
            </w:tcBorders>
            <w:gridSpan w:val="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2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520" w:type="dxa"/>
            <w:vAlign w:val="bottom"/>
            <w:gridSpan w:val="11"/>
          </w:tcPr>
          <w:p>
            <w:pPr>
              <w:jc w:val="center"/>
              <w:ind w:right="3820"/>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60" w:type="dxa"/>
            <w:vAlign w:val="bottom"/>
            <w:gridSpan w:val="22"/>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Item 1A. Risk Factors</w:t>
              </w:r>
            </w:hyperlink>
          </w:p>
        </w:tc>
        <w:tc>
          <w:tcPr>
            <w:tcW w:w="8820" w:type="dxa"/>
            <w:vAlign w:val="bottom"/>
            <w:tcBorders>
              <w:bottom w:val="single" w:sz="8" w:color="CCEEFF"/>
            </w:tcBorders>
            <w:gridSpan w:val="16"/>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60" w:type="dxa"/>
            <w:vAlign w:val="bottom"/>
            <w:gridSpan w:val="22"/>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2. Unregistered Sales of Equity Securities and Use of Proceeds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60" w:type="dxa"/>
            <w:vAlign w:val="bottom"/>
            <w:gridSpan w:val="2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3. Defaults Upon Senior Secured Securities</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6. Exhibits</w:t>
              </w:r>
            </w:hyperlink>
          </w:p>
        </w:tc>
        <w:tc>
          <w:tcPr>
            <w:tcW w:w="6960" w:type="dxa"/>
            <w:vAlign w:val="bottom"/>
            <w:tcBorders>
              <w:top w:val="single" w:sz="8" w:color="CCEEFF"/>
            </w:tcBorders>
            <w:gridSpan w:val="13"/>
          </w:tcPr>
          <w:p>
            <w:pPr>
              <w:spacing w:after="0"/>
              <w:rPr>
                <w:sz w:val="15"/>
                <w:szCs w:val="15"/>
                <w:color w:val="auto"/>
              </w:rPr>
            </w:pPr>
          </w:p>
        </w:tc>
        <w:tc>
          <w:tcPr>
            <w:tcW w:w="10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21"/>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622"/>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8"/>
          </w:tcPr>
          <w:p>
            <w:pPr>
              <w:jc w:val="center"/>
              <w:ind w:right="3800"/>
              <w:spacing w:after="0"/>
              <w:rPr>
                <w:sz w:val="20"/>
                <w:szCs w:val="20"/>
                <w:color w:val="auto"/>
              </w:rPr>
            </w:pPr>
            <w:r>
              <w:rPr>
                <w:rFonts w:ascii="Arial" w:cs="Arial" w:eastAsia="Arial" w:hAnsi="Arial"/>
                <w:sz w:val="18"/>
                <w:szCs w:val="18"/>
                <w:color w:val="auto"/>
                <w:w w:val="99"/>
              </w:rPr>
              <w:t>-i-</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60" w:type="dxa"/>
            <w:vAlign w:val="bottom"/>
          </w:tcPr>
          <w:p>
            <w:pPr>
              <w:jc w:val="center"/>
              <w:ind w:left="139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60" w:type="dxa"/>
            <w:vAlign w:val="bottom"/>
          </w:tcPr>
          <w:p>
            <w:pPr>
              <w:jc w:val="center"/>
              <w:ind w:left="139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60" w:type="dxa"/>
            <w:vAlign w:val="bottom"/>
          </w:tcPr>
          <w:p>
            <w:pPr>
              <w:jc w:val="center"/>
              <w:ind w:left="1392"/>
              <w:spacing w:after="0"/>
              <w:rPr>
                <w:sz w:val="20"/>
                <w:szCs w:val="20"/>
                <w:color w:val="auto"/>
              </w:rPr>
            </w:pPr>
            <w:r>
              <w:rPr>
                <w:rFonts w:ascii="Arial" w:cs="Arial" w:eastAsia="Arial" w:hAnsi="Arial"/>
                <w:sz w:val="18"/>
                <w:szCs w:val="18"/>
                <w:color w:val="auto"/>
                <w:w w:val="91"/>
              </w:rPr>
              <w:t>Amounts in Dollars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60" w:type="dxa"/>
            <w:vAlign w:val="bottom"/>
          </w:tcPr>
          <w:p>
            <w:pPr>
              <w:jc w:val="center"/>
              <w:ind w:right="1112"/>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7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14,242,800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60" w:type="dxa"/>
            <w:vAlign w:val="bottom"/>
          </w:tcPr>
          <w:p>
            <w:pPr>
              <w:jc w:val="center"/>
              <w:ind w:right="1112"/>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509,300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Current notes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3,980,000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w w:val="97"/>
              </w:rPr>
              <w:t>Preferred stock, $0.001 par value; 10,000,000 shares authorized at December 31, 2017 and March 31,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Series A Preferred, 500,000 shares authorized, issued and outstanding at December 31, 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and March 31, 2017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Series B Preferred; 4,000,000 shares authorized at December 31, 2017 and March 31,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480"/>
              <w:spacing w:after="0"/>
              <w:rPr>
                <w:sz w:val="20"/>
                <w:szCs w:val="20"/>
                <w:color w:val="auto"/>
              </w:rPr>
            </w:pPr>
            <w:r>
              <w:rPr>
                <w:rFonts w:ascii="Arial" w:cs="Arial" w:eastAsia="Arial" w:hAnsi="Arial"/>
                <w:sz w:val="18"/>
                <w:szCs w:val="18"/>
                <w:color w:val="auto"/>
              </w:rPr>
              <w:t>1,160,240 shares issued and outstanding at December 31, 2017 and March 31, 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Series C Preferred; 3,000,000 shares authorized at December 31, 2017 and March 31, 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2,318,012 shares issued and outstanding at December 31, 2017 and March 31, 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Common stock, $0.001 par value; 100,000,000 and 30,000,000 shares authorized at December 31,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and March 31, 2017, respectively; 22,723,504 and 8,974,386 shares issued and outstanding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December 31, 2017 and March 31, 2017, respectively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166,669,200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146,569,600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135,665 shares of common stock held at December 31, 2017 and March 31,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(152,465,000)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(141,998,700)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10,262,800</w:t>
            </w: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14,242,800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86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360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8"/>
              </w:rPr>
              <w:t>VISTAGEN THERAPEUTICS, INC.</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600" w:type="dxa"/>
            <w:vAlign w:val="bottom"/>
            <w:gridSpan w:val="4"/>
          </w:tcPr>
          <w:p>
            <w:pPr>
              <w:jc w:val="center"/>
              <w:ind w:left="32"/>
              <w:spacing w:after="0"/>
              <w:rPr>
                <w:sz w:val="20"/>
                <w:szCs w:val="20"/>
                <w:color w:val="auto"/>
              </w:rPr>
            </w:pPr>
            <w:r>
              <w:rPr>
                <w:rFonts w:ascii="Arial" w:cs="Arial" w:eastAsia="Arial" w:hAnsi="Arial"/>
                <w:sz w:val="18"/>
                <w:szCs w:val="18"/>
                <w:b w:val="1"/>
                <w:bCs w:val="1"/>
                <w:color w:val="auto"/>
                <w:w w:val="96"/>
              </w:rPr>
              <w:t>STATEMENT OF OPERATIONS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600" w:type="dxa"/>
            <w:vAlign w:val="bottom"/>
            <w:gridSpan w:val="4"/>
          </w:tcPr>
          <w:p>
            <w:pPr>
              <w:jc w:val="center"/>
              <w:ind w:left="12"/>
              <w:spacing w:after="0"/>
              <w:rPr>
                <w:sz w:val="20"/>
                <w:szCs w:val="20"/>
                <w:color w:val="auto"/>
              </w:rPr>
            </w:pPr>
            <w:r>
              <w:rPr>
                <w:rFonts w:ascii="Arial" w:cs="Arial" w:eastAsia="Arial" w:hAnsi="Arial"/>
                <w:sz w:val="18"/>
                <w:szCs w:val="18"/>
                <w:color w:val="auto"/>
                <w:w w:val="88"/>
              </w:rPr>
              <w:t>Amounts in Dollars, except share amounts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gridSpan w:val="2"/>
          </w:tcPr>
          <w:p>
            <w:pPr>
              <w:jc w:val="center"/>
              <w:ind w:left="1152"/>
              <w:spacing w:after="0"/>
              <w:rPr>
                <w:sz w:val="20"/>
                <w:szCs w:val="20"/>
                <w:color w:val="auto"/>
              </w:rPr>
            </w:pPr>
            <w:r>
              <w:rPr>
                <w:rFonts w:ascii="Arial" w:cs="Arial" w:eastAsia="Arial" w:hAnsi="Arial"/>
                <w:sz w:val="18"/>
                <w:szCs w:val="18"/>
                <w:b w:val="1"/>
                <w:bCs w:val="1"/>
                <w:color w:val="auto"/>
                <w:w w:val="99"/>
              </w:rPr>
              <w:t>UNAUDITED</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9"/>
              </w:rPr>
              <w:t>Three Months Ended December</w:t>
            </w:r>
          </w:p>
        </w:tc>
        <w:tc>
          <w:tcPr>
            <w:tcW w:w="100" w:type="dxa"/>
            <w:vAlign w:val="bottom"/>
          </w:tcPr>
          <w:p>
            <w:pPr>
              <w:spacing w:after="0"/>
              <w:rPr>
                <w:sz w:val="24"/>
                <w:szCs w:val="24"/>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Sublicense revenue</w:t>
            </w:r>
          </w:p>
        </w:tc>
        <w:tc>
          <w:tcPr>
            <w:tcW w:w="24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revenues</w:t>
            </w:r>
          </w:p>
        </w:tc>
        <w:tc>
          <w:tcPr>
            <w:tcW w:w="2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1,601,800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5,124,600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4,042,800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4,997,400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2,867,800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3,887,600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10,122,000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(2,867,800)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(2,637,600)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(7,700,600)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Loss on extinguishment of accounts payable</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(135,000)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(135,000)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(3,004,800)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(2,638,500)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(10,264,700)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(7,704,300)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(3,004,800)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(2,638,500)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(10,267,100)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(7,706,700)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(263,000)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(237,700)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(766,600)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(1,018,500)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Deemed dividend from trigger of down round</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provision feature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(199,200)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(199,200)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Deemed dividend on Series B Preferred Units</w:t>
            </w: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(3,467,000)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(2,876,200)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(11,232,900)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(8,836,300)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Basic and diluted net loss attributable to common</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stockholders per common share</w:t>
            </w:r>
          </w:p>
        </w:tc>
        <w:tc>
          <w:tcPr>
            <w:tcW w:w="24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4"/>
              </w:rPr>
              <w:t>Weighted average shares used in computing basic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diluted net loss attributable to common</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stockholders per common share</w:t>
            </w:r>
          </w:p>
        </w:tc>
        <w:tc>
          <w:tcPr>
            <w:tcW w:w="2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13,895,642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8,381,824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10,947,556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7,181,307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843"/>
        </w:trPr>
        <w:tc>
          <w:tcPr>
            <w:tcW w:w="124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STATEMENT OF CASH FLOWS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8"/>
              </w:rPr>
              <w:t>Amounts in Dollars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312"/>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December</w:t>
            </w:r>
          </w:p>
        </w:tc>
      </w:tr>
      <w:tr>
        <w:trPr>
          <w:trHeight w:val="237"/>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1"/>
                <w:szCs w:val="21"/>
                <w:color w:val="auto"/>
              </w:rPr>
            </w:pPr>
          </w:p>
        </w:tc>
      </w:tr>
      <w:tr>
        <w:trPr>
          <w:trHeight w:val="242"/>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(10,267,100)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(7,706,700)</w:t>
            </w:r>
          </w:p>
        </w:tc>
      </w:tr>
      <w:tr>
        <w:trPr>
          <w:trHeight w:val="242"/>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1,386,900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573,900</w:t>
            </w:r>
          </w:p>
        </w:tc>
        <w:tc>
          <w:tcPr>
            <w:tcW w:w="140" w:type="dxa"/>
            <w:vAlign w:val="bottom"/>
          </w:tcPr>
          <w:p>
            <w:pPr>
              <w:spacing w:after="0"/>
              <w:rPr>
                <w:sz w:val="18"/>
                <w:szCs w:val="18"/>
                <w:color w:val="auto"/>
              </w:rPr>
            </w:pPr>
          </w:p>
        </w:tc>
      </w:tr>
      <w:tr>
        <w:trPr>
          <w:trHeight w:val="243"/>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Expense related to modification of warrants, including exchange of warrants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gridSpan w:val="2"/>
          </w:tcPr>
          <w:p>
            <w:pPr>
              <w:ind w:left="340"/>
              <w:spacing w:after="0"/>
              <w:rPr>
                <w:sz w:val="20"/>
                <w:szCs w:val="20"/>
                <w:color w:val="auto"/>
              </w:rPr>
            </w:pPr>
            <w:r>
              <w:rPr>
                <w:rFonts w:ascii="Arial" w:cs="Arial" w:eastAsia="Arial" w:hAnsi="Arial"/>
                <w:sz w:val="18"/>
                <w:szCs w:val="18"/>
                <w:color w:val="auto"/>
              </w:rPr>
              <w:t>for common stock</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292,700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427,500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Amortization of deferred rent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Fair value of common stock granted for services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1,554,800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1,217,500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Fair value of Series B Preferred stock granted for services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Fair value of warrants granted for services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240,300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Loss on extinguishment of accounts payable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Sublicense fee receivable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(1,250,000)</w:t>
            </w:r>
          </w:p>
        </w:tc>
      </w:tr>
      <w:tr>
        <w:trPr>
          <w:trHeight w:val="216"/>
        </w:trPr>
        <w:tc>
          <w:tcPr>
            <w:tcW w:w="8820" w:type="dxa"/>
            <w:vAlign w:val="bottom"/>
            <w:gridSpan w:val="2"/>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 including accrued interest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74,200</w:t>
            </w:r>
          </w:p>
        </w:tc>
        <w:tc>
          <w:tcPr>
            <w:tcW w:w="140" w:type="dxa"/>
            <w:vAlign w:val="bottom"/>
            <w:shd w:val="clear" w:color="auto" w:fill="CCEEFF"/>
          </w:tcPr>
          <w:p>
            <w:pPr>
              <w:spacing w:after="0"/>
              <w:rPr>
                <w:sz w:val="18"/>
                <w:szCs w:val="18"/>
                <w:color w:val="auto"/>
              </w:rPr>
            </w:pP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(6,454,700)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(5,968,300)</w:t>
            </w: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Purchases of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(9,900)</w:t>
            </w: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(9,900)</w:t>
            </w: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16,721,900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60"/>
              <w:spacing w:after="0"/>
              <w:rPr>
                <w:sz w:val="20"/>
                <w:szCs w:val="20"/>
                <w:color w:val="auto"/>
              </w:rPr>
            </w:pPr>
            <w:r>
              <w:rPr>
                <w:rFonts w:ascii="Arial" w:cs="Arial" w:eastAsia="Arial" w:hAnsi="Arial"/>
                <w:sz w:val="18"/>
                <w:szCs w:val="18"/>
                <w:color w:val="auto"/>
              </w:rPr>
              <w:t>Net proceeds from issuance of Series B Preferred Units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278,000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r>
      <w:tr>
        <w:trPr>
          <w:trHeight w:val="223"/>
        </w:trPr>
        <w:tc>
          <w:tcPr>
            <w:tcW w:w="8820" w:type="dxa"/>
            <w:vAlign w:val="bottom"/>
            <w:gridSpan w:val="2"/>
          </w:tcPr>
          <w:p>
            <w:pPr>
              <w:ind w:left="260"/>
              <w:spacing w:after="0"/>
              <w:rPr>
                <w:sz w:val="20"/>
                <w:szCs w:val="20"/>
                <w:color w:val="auto"/>
              </w:rPr>
            </w:pPr>
            <w:r>
              <w:rPr>
                <w:rFonts w:ascii="Arial" w:cs="Arial" w:eastAsia="Arial" w:hAnsi="Arial"/>
                <w:sz w:val="18"/>
                <w:szCs w:val="18"/>
                <w:color w:val="auto"/>
              </w:rPr>
              <w:t>Repayment of notes payable</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(153,400)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(140,500)</w:t>
            </w:r>
          </w:p>
        </w:tc>
      </w:tr>
      <w:tr>
        <w:trPr>
          <w:trHeight w:val="223"/>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16,566,800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9,921,700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10,110,500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3,943,500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13,031,800</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4,372,000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premiums settled by issuing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40"/>
              <w:spacing w:after="0"/>
              <w:rPr>
                <w:sz w:val="20"/>
                <w:szCs w:val="20"/>
                <w:color w:val="auto"/>
              </w:rPr>
            </w:pPr>
            <w:r>
              <w:rPr>
                <w:rFonts w:ascii="Arial" w:cs="Arial" w:eastAsia="Arial" w:hAnsi="Arial"/>
                <w:sz w:val="18"/>
                <w:szCs w:val="18"/>
                <w:color w:val="auto"/>
              </w:rPr>
              <w:t>Accrued dividends on Series B Preferred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766,600</w:t>
            </w:r>
          </w:p>
        </w:tc>
        <w:tc>
          <w:tcPr>
            <w:tcW w:w="2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780,800</w:t>
            </w:r>
          </w:p>
        </w:tc>
        <w:tc>
          <w:tcPr>
            <w:tcW w:w="140" w:type="dxa"/>
            <w:vAlign w:val="bottom"/>
          </w:tcPr>
          <w:p>
            <w:pPr>
              <w:spacing w:after="0"/>
              <w:rPr>
                <w:sz w:val="18"/>
                <w:szCs w:val="18"/>
                <w:color w:val="auto"/>
              </w:rPr>
            </w:pPr>
          </w:p>
        </w:tc>
      </w:tr>
      <w:tr>
        <w:trPr>
          <w:trHeight w:val="243"/>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Accrued dividends on Series B Preferred settled upon conversion by issuance</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of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1,768,800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Deemed dividend from trigger of down round provision feature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58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15"/>
          </w:tcPr>
          <w:p>
            <w:pPr>
              <w:jc w:val="center"/>
              <w:ind w:left="232"/>
              <w:spacing w:after="0"/>
              <w:rPr>
                <w:sz w:val="20"/>
                <w:szCs w:val="20"/>
                <w:color w:val="auto"/>
              </w:rPr>
            </w:pPr>
            <w:r>
              <w:rPr>
                <w:rFonts w:ascii="Arial" w:cs="Arial" w:eastAsia="Arial" w:hAnsi="Arial"/>
                <w:sz w:val="18"/>
                <w:szCs w:val="18"/>
                <w:b w:val="1"/>
                <w:bCs w:val="1"/>
                <w:color w:val="auto"/>
                <w:w w:val="98"/>
              </w:rPr>
              <w:t>VISTAGEN THERAPEUTICS, INC.</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4"/>
          </w:tcPr>
          <w:p>
            <w:pPr>
              <w:jc w:val="center"/>
              <w:ind w:right="280"/>
              <w:spacing w:after="0"/>
              <w:rPr>
                <w:sz w:val="20"/>
                <w:szCs w:val="20"/>
                <w:color w:val="auto"/>
              </w:rPr>
            </w:pPr>
            <w:r>
              <w:rPr>
                <w:rFonts w:ascii="Arial" w:cs="Arial" w:eastAsia="Arial" w:hAnsi="Arial"/>
                <w:sz w:val="18"/>
                <w:szCs w:val="18"/>
                <w:b w:val="1"/>
                <w:bCs w:val="1"/>
                <w:color w:val="auto"/>
                <w:w w:val="97"/>
              </w:rPr>
              <w:t>CONSOLIDATED STATEMENT OF STOCKHOLDERS EQUITY</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00" w:type="dxa"/>
            <w:vAlign w:val="bottom"/>
            <w:gridSpan w:val="24"/>
          </w:tcPr>
          <w:p>
            <w:pPr>
              <w:jc w:val="center"/>
              <w:ind w:right="280"/>
              <w:spacing w:after="0"/>
              <w:rPr>
                <w:sz w:val="20"/>
                <w:szCs w:val="20"/>
                <w:color w:val="auto"/>
              </w:rPr>
            </w:pPr>
            <w:r>
              <w:rPr>
                <w:rFonts w:ascii="Arial" w:cs="Arial" w:eastAsia="Arial" w:hAnsi="Arial"/>
                <w:sz w:val="18"/>
                <w:szCs w:val="18"/>
                <w:b w:val="1"/>
                <w:bCs w:val="1"/>
                <w:color w:val="auto"/>
                <w:w w:val="96"/>
              </w:rPr>
              <w:t>FOR THE NINE MONTHS ENDED DECEMBER 31, 2017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gridSpan w:val="17"/>
          </w:tcPr>
          <w:p>
            <w:pPr>
              <w:jc w:val="center"/>
              <w:ind w:right="260"/>
              <w:spacing w:after="0"/>
              <w:rPr>
                <w:sz w:val="20"/>
                <w:szCs w:val="20"/>
                <w:color w:val="auto"/>
              </w:rPr>
            </w:pPr>
            <w:r>
              <w:rPr>
                <w:rFonts w:ascii="Arial" w:cs="Arial" w:eastAsia="Arial" w:hAnsi="Arial"/>
                <w:sz w:val="18"/>
                <w:szCs w:val="18"/>
                <w:b w:val="1"/>
                <w:bCs w:val="1"/>
                <w:color w:val="auto"/>
                <w:w w:val="92"/>
              </w:rPr>
              <w:t>AMOUNTS IN DOLLARS, except shares</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Series 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6"/>
            <w:vMerge w:val="restart"/>
          </w:tcPr>
          <w:p>
            <w:pPr>
              <w:ind w:left="380"/>
              <w:spacing w:after="0"/>
              <w:rPr>
                <w:sz w:val="20"/>
                <w:szCs w:val="20"/>
                <w:color w:val="auto"/>
              </w:rPr>
            </w:pPr>
            <w:r>
              <w:rPr>
                <w:rFonts w:ascii="Arial" w:cs="Arial" w:eastAsia="Arial" w:hAnsi="Arial"/>
                <w:sz w:val="18"/>
                <w:szCs w:val="18"/>
                <w:b w:val="1"/>
                <w:bCs w:val="1"/>
                <w:color w:val="auto"/>
              </w:rPr>
              <w:t>Series B</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6"/>
            <w:vMerge w:val="restart"/>
          </w:tcPr>
          <w:p>
            <w:pPr>
              <w:jc w:val="center"/>
              <w:ind w:right="80"/>
              <w:spacing w:after="0"/>
              <w:rPr>
                <w:sz w:val="20"/>
                <w:szCs w:val="20"/>
                <w:color w:val="auto"/>
              </w:rPr>
            </w:pPr>
            <w:r>
              <w:rPr>
                <w:rFonts w:ascii="Arial" w:cs="Arial" w:eastAsia="Arial" w:hAnsi="Arial"/>
                <w:sz w:val="18"/>
                <w:szCs w:val="18"/>
                <w:b w:val="1"/>
                <w:bCs w:val="1"/>
                <w:color w:val="auto"/>
                <w:w w:val="85"/>
              </w:rPr>
              <w:t>Series C</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Additional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4"/>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6"/>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6"/>
            <w:vMerge w:val="continue"/>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gridSpan w:val="5"/>
            <w:vMerge w:val="continue"/>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6"/>
            <w:vMerge w:val="continue"/>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Preferred Stock</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w w:val="92"/>
              </w:rPr>
              <w:t>Preferred Stock</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Preferred Stock</w:t>
            </w:r>
          </w:p>
        </w:tc>
        <w:tc>
          <w:tcPr>
            <w:tcW w:w="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38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w w:val="92"/>
              </w:rPr>
              <w:t>Common Stock</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Paid-in</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Treasury</w:t>
            </w:r>
          </w:p>
        </w:tc>
        <w:tc>
          <w:tcPr>
            <w:tcW w:w="2080" w:type="dxa"/>
            <w:vAlign w:val="bottom"/>
            <w:gridSpan w:val="5"/>
          </w:tcPr>
          <w:p>
            <w:pPr>
              <w:spacing w:after="0"/>
              <w:rPr>
                <w:sz w:val="20"/>
                <w:szCs w:val="20"/>
                <w:color w:val="auto"/>
              </w:rPr>
            </w:pPr>
            <w:r>
              <w:rPr>
                <w:rFonts w:ascii="Arial" w:cs="Arial" w:eastAsia="Arial" w:hAnsi="Arial"/>
                <w:sz w:val="18"/>
                <w:szCs w:val="18"/>
                <w:b w:val="1"/>
                <w:bCs w:val="1"/>
                <w:color w:val="auto"/>
                <w:w w:val="86"/>
              </w:rPr>
              <w:t>Accumulated Stockholders’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Shares</w:t>
            </w:r>
          </w:p>
        </w:tc>
        <w:tc>
          <w:tcPr>
            <w:tcW w:w="80" w:type="dxa"/>
            <w:vAlign w:val="bottom"/>
          </w:tcPr>
          <w:p>
            <w:pPr>
              <w:spacing w:after="0"/>
              <w:rPr>
                <w:sz w:val="21"/>
                <w:szCs w:val="21"/>
                <w:color w:val="auto"/>
              </w:rPr>
            </w:pPr>
          </w:p>
        </w:tc>
        <w:tc>
          <w:tcPr>
            <w:tcW w:w="6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Shares</w:t>
            </w:r>
          </w:p>
        </w:tc>
        <w:tc>
          <w:tcPr>
            <w:tcW w:w="20" w:type="dxa"/>
            <w:vAlign w:val="bottom"/>
          </w:tcPr>
          <w:p>
            <w:pPr>
              <w:spacing w:after="0"/>
              <w:rPr>
                <w:sz w:val="21"/>
                <w:szCs w:val="21"/>
                <w:color w:val="auto"/>
              </w:rPr>
            </w:pPr>
          </w:p>
        </w:tc>
        <w:tc>
          <w:tcPr>
            <w:tcW w:w="7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Shares</w:t>
            </w:r>
          </w:p>
        </w:tc>
        <w:tc>
          <w:tcPr>
            <w:tcW w:w="2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left w:val="single" w:sz="8" w:color="auto"/>
            </w:tcBorders>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Shares</w:t>
            </w:r>
          </w:p>
        </w:tc>
        <w:tc>
          <w:tcPr>
            <w:tcW w:w="4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Capital</w:t>
            </w:r>
          </w:p>
        </w:tc>
        <w:tc>
          <w:tcPr>
            <w:tcW w:w="2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Stock</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486"/>
        </w:trPr>
        <w:tc>
          <w:tcPr>
            <w:tcW w:w="20" w:type="dxa"/>
            <w:vAlign w:val="bottom"/>
            <w:vMerge w:val="restart"/>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Balances at March</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31, 2017</w:t>
            </w:r>
          </w:p>
        </w:tc>
        <w:tc>
          <w:tcPr>
            <w:tcW w:w="3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500,000</w:t>
            </w:r>
          </w:p>
        </w:tc>
        <w:tc>
          <w:tcPr>
            <w:tcW w:w="3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500</w:t>
            </w:r>
          </w:p>
        </w:tc>
        <w:tc>
          <w:tcPr>
            <w:tcW w:w="100" w:type="dxa"/>
            <w:vAlign w:val="bottom"/>
            <w:tcBorders>
              <w:right w:val="single" w:sz="8" w:color="auto"/>
            </w:tcBorders>
            <w:shd w:val="clear" w:color="auto" w:fill="CCEEFF"/>
          </w:tcPr>
          <w:p>
            <w:pPr>
              <w:spacing w:after="0"/>
              <w:rPr>
                <w:sz w:val="20"/>
                <w:szCs w:val="20"/>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1,160,240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1,200</w:t>
            </w:r>
          </w:p>
        </w:tc>
        <w:tc>
          <w:tcPr>
            <w:tcW w:w="12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2,318,012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2,300</w:t>
            </w:r>
          </w:p>
        </w:tc>
        <w:tc>
          <w:tcPr>
            <w:tcW w:w="880" w:type="dxa"/>
            <w:vAlign w:val="bottom"/>
            <w:tcBorders>
              <w:left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w w:val="87"/>
              </w:rPr>
              <w:t>8,974,386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9,000</w:t>
            </w:r>
          </w:p>
        </w:tc>
        <w:tc>
          <w:tcPr>
            <w:tcW w:w="1740" w:type="dxa"/>
            <w:vAlign w:val="bottom"/>
            <w:gridSpan w:val="6"/>
            <w:shd w:val="clear" w:color="auto" w:fill="CCEEFF"/>
          </w:tcPr>
          <w:p>
            <w:pPr>
              <w:ind w:left="60"/>
              <w:spacing w:after="0"/>
              <w:rPr>
                <w:sz w:val="20"/>
                <w:szCs w:val="20"/>
                <w:color w:val="auto"/>
              </w:rPr>
            </w:pPr>
            <w:r>
              <w:rPr>
                <w:rFonts w:ascii="Arial" w:cs="Arial" w:eastAsia="Arial" w:hAnsi="Arial"/>
                <w:sz w:val="18"/>
                <w:szCs w:val="18"/>
                <w:b w:val="1"/>
                <w:bCs w:val="1"/>
                <w:color w:val="auto"/>
                <w:w w:val="78"/>
              </w:rPr>
              <w:t>$146,569,600$(3,968,100)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7"/>
              </w:rPr>
              <w:t>$(141,998,700)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615,800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w w:val="99"/>
              </w:rPr>
              <w:t>Proceeds from sale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of common stock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0"/>
              </w:rPr>
              <w:t>and warrants for cash</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rPr>
              <w:t>in September</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Public</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net of</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and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w w:val="87"/>
              </w:rPr>
              <w:t>1,371,430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2,023,200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w w:val="99"/>
              </w:rPr>
              <w:t>Proceeds from sale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of common stock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0"/>
              </w:rPr>
              <w:t>and warrants for cash</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rPr>
              <w:t>in December</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Public</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net of</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and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left w:val="single" w:sz="8" w:color="auto"/>
            </w:tcBorders>
            <w:gridSpan w:val="5"/>
            <w:shd w:val="clear" w:color="auto" w:fill="CCEEFF"/>
          </w:tcPr>
          <w:p>
            <w:pPr>
              <w:ind w:left="160"/>
              <w:spacing w:after="0"/>
              <w:rPr>
                <w:sz w:val="20"/>
                <w:szCs w:val="20"/>
                <w:color w:val="auto"/>
              </w:rPr>
            </w:pPr>
            <w:r>
              <w:rPr>
                <w:rFonts w:ascii="Arial" w:cs="Arial" w:eastAsia="Arial" w:hAnsi="Arial"/>
                <w:sz w:val="18"/>
                <w:szCs w:val="18"/>
                <w:color w:val="auto"/>
                <w:w w:val="93"/>
              </w:rPr>
              <w:t>10,000,000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10,000</w:t>
            </w: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6"/>
              </w:rPr>
              <w:t>13,614,000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13,624,000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w w:val="99"/>
              </w:rPr>
              <w:t>Proceeds from sale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of common stock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0"/>
              </w:rPr>
              <w:t>and warrants for cash</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placement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616,323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1,072,600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Accrued dividends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w w:val="90"/>
              </w:rPr>
              <w:t>on Series B Preferred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rPr>
              <w:t>stock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(766,600)</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(766,600)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1,386,900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Fair value of</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w w:val="98"/>
              </w:rPr>
              <w:t>granted for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tcPr>
          <w:p>
            <w:pPr>
              <w:ind w:left="160"/>
              <w:spacing w:after="0"/>
              <w:rPr>
                <w:sz w:val="20"/>
                <w:szCs w:val="20"/>
                <w:color w:val="auto"/>
              </w:rPr>
            </w:pPr>
            <w:r>
              <w:rPr>
                <w:rFonts w:ascii="Arial" w:cs="Arial" w:eastAsia="Arial" w:hAnsi="Arial"/>
                <w:sz w:val="18"/>
                <w:szCs w:val="18"/>
                <w:color w:val="auto"/>
                <w:w w:val="87"/>
              </w:rPr>
              <w:t>1,072,500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900" w:type="dxa"/>
            <w:vAlign w:val="bottom"/>
            <w:gridSpan w:val="3"/>
          </w:tcPr>
          <w:p>
            <w:pPr>
              <w:ind w:left="100"/>
              <w:spacing w:after="0"/>
              <w:rPr>
                <w:sz w:val="20"/>
                <w:szCs w:val="20"/>
                <w:color w:val="auto"/>
              </w:rPr>
            </w:pPr>
            <w:r>
              <w:rPr>
                <w:rFonts w:ascii="Arial" w:cs="Arial" w:eastAsia="Arial" w:hAnsi="Arial"/>
                <w:sz w:val="18"/>
                <w:szCs w:val="18"/>
                <w:color w:val="auto"/>
                <w:w w:val="97"/>
              </w:rPr>
              <w:t>1,693,100</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granted in settlement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of accounts payable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584,500</w:t>
            </w: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w w:val="92"/>
              </w:rPr>
              <w:t>Increase in fair value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attributable to</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warrant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rPr>
              <w:t>modifications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292,700</w:t>
            </w:r>
          </w:p>
        </w:tc>
        <w:tc>
          <w:tcPr>
            <w:tcW w:w="14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from trigger of down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round provision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feature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199,200</w:t>
            </w: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(199,200)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Proceeds from</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gridSpan w:val="3"/>
          </w:tcPr>
          <w:p>
            <w:pPr>
              <w:spacing w:after="0"/>
              <w:rPr>
                <w:sz w:val="20"/>
                <w:szCs w:val="20"/>
                <w:color w:val="auto"/>
              </w:rPr>
            </w:pPr>
            <w:r>
              <w:rPr>
                <w:rFonts w:ascii="Arial" w:cs="Arial" w:eastAsia="Arial" w:hAnsi="Arial"/>
                <w:sz w:val="18"/>
                <w:szCs w:val="18"/>
                <w:color w:val="auto"/>
                <w:w w:val="96"/>
              </w:rPr>
              <w:t>exercise of warrants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188,865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loss for the nine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months ended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December 31, 2017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2"/>
              </w:rPr>
              <w:t>(10,267,100)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(10,267,100)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December 31, 2017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500,000</w:t>
            </w:r>
          </w:p>
        </w:tc>
        <w:tc>
          <w:tcPr>
            <w:tcW w:w="3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500</w:t>
            </w:r>
          </w:p>
        </w:tc>
        <w:tc>
          <w:tcPr>
            <w:tcW w:w="100" w:type="dxa"/>
            <w:vAlign w:val="bottom"/>
            <w:tcBorders>
              <w:right w:val="single" w:sz="8" w:color="auto"/>
            </w:tcBorders>
            <w:shd w:val="clear" w:color="auto" w:fill="CCEEFF"/>
          </w:tcPr>
          <w:p>
            <w:pPr>
              <w:spacing w:after="0"/>
              <w:rPr>
                <w:sz w:val="23"/>
                <w:szCs w:val="23"/>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1,160,240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1,200</w:t>
            </w:r>
          </w:p>
        </w:tc>
        <w:tc>
          <w:tcPr>
            <w:tcW w:w="120" w:type="dxa"/>
            <w:vAlign w:val="bottom"/>
            <w:tcBorders>
              <w:right w:val="single" w:sz="8" w:color="auto"/>
            </w:tcBorders>
            <w:shd w:val="clear" w:color="auto" w:fill="CCEEFF"/>
          </w:tcPr>
          <w:p>
            <w:pPr>
              <w:spacing w:after="0"/>
              <w:rPr>
                <w:sz w:val="23"/>
                <w:szCs w:val="23"/>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2,318,012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2,300</w:t>
            </w:r>
          </w:p>
        </w:tc>
        <w:tc>
          <w:tcPr>
            <w:tcW w:w="1620" w:type="dxa"/>
            <w:vAlign w:val="bottom"/>
            <w:tcBorders>
              <w:left w:val="single" w:sz="8" w:color="auto"/>
            </w:tcBorders>
            <w:gridSpan w:val="7"/>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22,723,504$ 22,700</w:t>
            </w:r>
          </w:p>
        </w:tc>
        <w:tc>
          <w:tcPr>
            <w:tcW w:w="1740" w:type="dxa"/>
            <w:vAlign w:val="bottom"/>
            <w:gridSpan w:val="6"/>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8"/>
              </w:rPr>
              <w:t>$</w:t>
            </w:r>
            <w:r>
              <w:rPr>
                <w:rFonts w:ascii="Arial" w:cs="Arial" w:eastAsia="Arial" w:hAnsi="Arial"/>
                <w:sz w:val="18"/>
                <w:szCs w:val="18"/>
                <w:b w:val="1"/>
                <w:bCs w:val="1"/>
                <w:color w:val="auto"/>
                <w:w w:val="78"/>
              </w:rPr>
              <w:t>166,669,200</w:t>
            </w:r>
            <w:r>
              <w:rPr>
                <w:rFonts w:ascii="Arial" w:cs="Arial" w:eastAsia="Arial" w:hAnsi="Arial"/>
                <w:sz w:val="18"/>
                <w:szCs w:val="18"/>
                <w:b w:val="1"/>
                <w:bCs w:val="1"/>
                <w:u w:val="single" w:color="auto"/>
                <w:color w:val="auto"/>
                <w:w w:val="78"/>
              </w:rPr>
              <w:t>$</w:t>
            </w:r>
            <w:r>
              <w:rPr>
                <w:rFonts w:ascii="Arial" w:cs="Arial" w:eastAsia="Arial" w:hAnsi="Arial"/>
                <w:sz w:val="18"/>
                <w:szCs w:val="18"/>
                <w:b w:val="1"/>
                <w:bCs w:val="1"/>
                <w:color w:val="auto"/>
                <w:w w:val="78"/>
              </w:rPr>
              <w:t>(3,968,100)</w:t>
            </w: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1"/>
              </w:rPr>
              <w:t>$</w:t>
            </w:r>
            <w:r>
              <w:rPr>
                <w:rFonts w:ascii="Arial" w:cs="Arial" w:eastAsia="Arial" w:hAnsi="Arial"/>
                <w:sz w:val="18"/>
                <w:szCs w:val="18"/>
                <w:b w:val="1"/>
                <w:bCs w:val="1"/>
                <w:color w:val="auto"/>
                <w:w w:val="81"/>
              </w:rPr>
              <w:t xml:space="preserve">(152,465,000) </w:t>
            </w:r>
            <w:r>
              <w:rPr>
                <w:rFonts w:ascii="Arial" w:cs="Arial" w:eastAsia="Arial" w:hAnsi="Arial"/>
                <w:sz w:val="18"/>
                <w:szCs w:val="18"/>
                <w:b w:val="1"/>
                <w:bCs w:val="1"/>
                <w:u w:val="single" w:color="auto"/>
                <w:color w:val="auto"/>
                <w:w w:val="81"/>
              </w:rPr>
              <w:t>$</w:t>
            </w:r>
            <w:r>
              <w:rPr>
                <w:rFonts w:ascii="Arial" w:cs="Arial" w:eastAsia="Arial" w:hAnsi="Arial"/>
                <w:sz w:val="18"/>
                <w:szCs w:val="18"/>
                <w:b w:val="1"/>
                <w:bCs w:val="1"/>
                <w:color w:val="auto"/>
                <w:w w:val="81"/>
              </w:rPr>
              <w:t>10,262,800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Borders>
              <w:top w:val="single" w:sz="8" w:color="CCEEFF"/>
              <w:right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Borders>
              <w:top w:val="single" w:sz="8" w:color="CCEEFF"/>
              <w:right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CCEEFF"/>
              <w:left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520"/>
          </w:cols>
          <w:pgMar w:left="240" w:top="108" w:right="139" w:bottom="134"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VistaGen Therapeutics, Inc. (NASDAQ: VTGN), a Nevada corporation, is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 from all standard FDA-approved antidepressants, as well as all atypical antipsychotics, such as aripiprazole, often used adjunctively with standard antidepressants. We believe AV-101 also has potential to treat several additional CNS indications </w:t>
      </w:r>
      <w:r>
        <w:rPr>
          <w:rFonts w:ascii="Arial" w:cs="Arial" w:eastAsia="Arial" w:hAnsi="Arial"/>
          <w:sz w:val="16"/>
          <w:szCs w:val="16"/>
          <w:color w:val="333333"/>
        </w:rPr>
        <w:t>where modulation of the NMDA receptors, activation of AMPA pathways and/or key active</w:t>
      </w:r>
      <w:r>
        <w:rPr>
          <w:rFonts w:ascii="Arial" w:cs="Arial" w:eastAsia="Arial" w:hAnsi="Arial"/>
          <w:sz w:val="16"/>
          <w:szCs w:val="16"/>
          <w:color w:val="auto"/>
        </w:rPr>
        <w:t xml:space="preserve"> </w:t>
      </w:r>
      <w:r>
        <w:rPr>
          <w:rFonts w:ascii="Arial" w:cs="Arial" w:eastAsia="Arial" w:hAnsi="Arial"/>
          <w:sz w:val="16"/>
          <w:szCs w:val="16"/>
          <w:color w:val="333333"/>
        </w:rPr>
        <w:t>metabolites of AV-101 may achieve therapeutic benefit</w:t>
      </w:r>
      <w:r>
        <w:rPr>
          <w:rFonts w:ascii="Arial" w:cs="Arial" w:eastAsia="Arial" w:hAnsi="Arial"/>
          <w:sz w:val="16"/>
          <w:szCs w:val="16"/>
          <w:color w:val="000000"/>
        </w:rPr>
        <w:t>, including, among others, as a non-opioid alternative for neuropathic pain and for Parkinson’s disease</w:t>
      </w:r>
      <w:r>
        <w:rPr>
          <w:rFonts w:ascii="Arial" w:cs="Arial" w:eastAsia="Arial" w:hAnsi="Arial"/>
          <w:sz w:val="16"/>
          <w:szCs w:val="16"/>
          <w:color w:val="333333"/>
        </w:rPr>
        <w:t xml:space="preserve"> </w:t>
      </w:r>
      <w:r>
        <w:rPr>
          <w:rFonts w:ascii="Arial" w:cs="Arial" w:eastAsia="Arial" w:hAnsi="Arial"/>
          <w:sz w:val="16"/>
          <w:szCs w:val="16"/>
          <w:color w:val="000000"/>
        </w:rPr>
        <w:t>levodopa -induced dyskinesia (</w:t>
      </w:r>
      <w:r>
        <w:rPr>
          <w:rFonts w:ascii="Arial" w:cs="Arial" w:eastAsia="Arial" w:hAnsi="Arial"/>
          <w:sz w:val="16"/>
          <w:szCs w:val="16"/>
          <w:i w:val="1"/>
          <w:iCs w:val="1"/>
          <w:color w:val="000000"/>
        </w:rPr>
        <w:t>PD LID</w:t>
      </w:r>
      <w:r>
        <w:rPr>
          <w:rFonts w:ascii="Arial" w:cs="Arial" w:eastAsia="Arial" w:hAnsi="Arial"/>
          <w:sz w:val="16"/>
          <w:szCs w:val="16"/>
          <w:color w:val="000000"/>
        </w:rPr>
        <w:t>).</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approved by the FDA as an anesthetic, in MDD patients with inadequate responses to multiple standard antidepressants. These NIMH studies, as well as clinical research at Yale University and other academic institutions in the U.S., have demonstrated ketamine’s robust antidepressant effects in treatment-resistant MDD patients within twenty-four hours of a single sub-anesthetic dose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orally administered AV-101 may have potential to deliver ketamine-like antidepressant effects, without ketamine’s psychological side effects and other safety concerns, and without the need for IV administration. As published in the October 2015 issue of the peer-reviewed, </w:t>
      </w:r>
      <w:r>
        <w:rPr>
          <w:rFonts w:ascii="Arial" w:cs="Arial" w:eastAsia="Arial" w:hAnsi="Arial"/>
          <w:sz w:val="16"/>
          <w:szCs w:val="16"/>
          <w:i w:val="1"/>
          <w:iCs w:val="1"/>
          <w:color w:val="auto"/>
        </w:rPr>
        <w:t>Journal of Pharmacology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Experimental Therapeutics, </w:t>
      </w:r>
      <w:r>
        <w:rPr>
          <w:rFonts w:ascii="Arial" w:cs="Arial" w:eastAsia="Arial" w:hAnsi="Arial"/>
          <w:sz w:val="16"/>
          <w:szCs w:val="16"/>
          <w:color w:val="auto"/>
        </w:rPr>
        <w:t>in an article 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site of the NMDA receptor and activating the AMPA receptor pathway in the brain.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October 2017, we received FDA authorization to launch our 180-patient Phase 2 multi-center, multi-dose, double blind, placebo-controlled efficacy and safety study of AV-101 as a new generation adjunctive treatment for MDD patients with an inadequate therapeutic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xml:space="preserve"> , and in December 2017 the FDA granted Fast Track Designation to AV-101 for development as a potential adjunctive treatment for MDD.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JAMA</w:t>
      </w:r>
      <w:r>
        <w:rPr>
          <w:rFonts w:ascii="Arial" w:cs="Arial" w:eastAsia="Arial" w:hAnsi="Arial"/>
          <w:sz w:val="16"/>
          <w:szCs w:val="16"/>
          <w:color w:val="auto"/>
        </w:rPr>
        <w:t>). We expect top line results of the AV-101 MDD Phase 2 Adjunctive Treatment Study to be available in the first half of 2019. In addition,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as a monotherapy in subjects with treatment-resistant MDD (the </w:t>
      </w:r>
      <w:r>
        <w:rPr>
          <w:rFonts w:ascii="Arial" w:cs="Arial" w:eastAsia="Arial" w:hAnsi="Arial"/>
          <w:sz w:val="16"/>
          <w:szCs w:val="16"/>
          <w:i w:val="1"/>
          <w:iCs w:val="1"/>
          <w:color w:val="auto"/>
        </w:rPr>
        <w:t>NIMH AV-101 MDD</w:t>
      </w:r>
      <w:r>
        <w:rPr>
          <w:rFonts w:ascii="Arial" w:cs="Arial" w:eastAsia="Arial" w:hAnsi="Arial"/>
          <w:sz w:val="16"/>
          <w:szCs w:val="16"/>
          <w:color w:val="auto"/>
        </w:rPr>
        <w:t xml:space="preserve"> </w:t>
      </w:r>
      <w:r>
        <w:rPr>
          <w:rFonts w:ascii="Arial" w:cs="Arial" w:eastAsia="Arial" w:hAnsi="Arial"/>
          <w:sz w:val="16"/>
          <w:szCs w:val="16"/>
          <w:i w:val="1"/>
          <w:iCs w:val="1"/>
          <w:color w:val="auto"/>
        </w:rPr>
        <w:t>Phase 2 Monotherapy Study</w:t>
      </w:r>
      <w:r>
        <w:rPr>
          <w:rFonts w:ascii="Arial" w:cs="Arial" w:eastAsia="Arial" w:hAnsi="Arial"/>
          <w:sz w:val="16"/>
          <w:szCs w:val="16"/>
          <w:color w:val="auto"/>
        </w:rPr>
        <w:t>).</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we may pursue additional RM collaborations or out-licensing transactions involving blood, cartilage, and/or liver cells derived from hPSCs for (A) cell-based therapy, (B) cell repair therapy, and/or (C) tissue engineering.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2017 has been derived from our audited consolidated financial statements at that date but does not include all disclosures required by U.S. GAAP. The operating results for the three and nine months ended December 31, 2017 are not necessarily indicative of the operating results to be expected for our fiscal year ending March 31, 2018, or for any other future interim or other period.</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our fiscal year ended March 31, 2017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29, 2017.</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accompanying unaudited Condensed Consolidated Financial Statements have been prepared assuming we will continue as a going concern. As a company having not yet developed commercial products or achieved sustainable revenues, we have experienced recurring losses and negative cash flows from operations resulting in a deficit of $152.5 million accumulated from inception (May 1998) through December 31, 2017. We expect losses and negative cash flows from operations to continue for the foreseeable future as we engage in further development of AV-101, initially as an adjunctive treatment for MDD, and subsequently as a potential new treatment alternative for other CNS-related conditions, as well as exploring and potentially executing drug rescue and development opportunities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our inception through December 31, 2017, we have financed our operations and technology acquisitions primarily through the issuance and sale of our equity and debt securities for cash proceeds of approximately $61.4 million, as well as from an aggregate of approximately $17.6 million of government research grant awards, strategic collaboration payments, intellectual property sublicensing and other revenues. We have also issued equity securities with an approximate value at issuance of $33.6 million in non-cash settlements of certain liabilities, including liabilities for professional services rendered to us or as compensation for such services. Additionally, pursuant to our February 2015 CRADA with the NIH, substantial ongoing Phase 2 clinical development activities relating to the NIMH AV-101 MDD Phase 2 Monotherapy Study are being sponsored in full, at no cost to us other than supplying clinical trial material, by the NIMH under the direction of Dr. Carlos Zarate Jr. as Principal Investigator.</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2017, we had a cash and cash equivalents balance of $13.0 million. We believe this amount is sufficient to enable us to fund our planned operations for at least 12 months following the issuance of the financial statements included in this Report.</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December 2017, we completed an underwritten public offering of shares of our common stock and warrants to purchase shares of our common stock at a combined public offering price of $1.50 per share and related warrant under our Registration Statement on Form S-1 (Registration No. 333-221009), resulting in gross proceeds of $15.0 million (the </w:t>
      </w:r>
      <w:r>
        <w:rPr>
          <w:rFonts w:ascii="Arial" w:cs="Arial" w:eastAsia="Arial" w:hAnsi="Arial"/>
          <w:sz w:val="16"/>
          <w:szCs w:val="16"/>
          <w:i w:val="1"/>
          <w:iCs w:val="1"/>
          <w:color w:val="auto"/>
        </w:rPr>
        <w:t>December 2017 Public Offering</w:t>
      </w:r>
      <w:r>
        <w:rPr>
          <w:rFonts w:ascii="Arial" w:cs="Arial" w:eastAsia="Arial" w:hAnsi="Arial"/>
          <w:sz w:val="16"/>
          <w:szCs w:val="16"/>
          <w:color w:val="auto"/>
        </w:rPr>
        <w:t xml:space="preserve">). In September 2017, we completed an underwritten public offering pursuant to which we offered and sold shares of our common stock and warrants resulting in gross proceeds of approximately $2.4 million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xml:space="preserve">) under our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xml:space="preserve">). (See Note 7,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for additional information regarding the December 2017 Public Offering and the September 2017 Public Offering.) Subject to certain restrictions, the S-3 Registration Statement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if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sale of our equity securities, we may also seek to enter additional research and development collaborations that could generate revenue or provide substantial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with the U.S. government or other third-parties that could generate revenue and/or non-dilutive funding for development of AV-101 and other product candidates and technologies,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initially as an adjunctive treatment for MDD, and as a potential treatment option for other CNS conditions, as well as various potential applications of our stem cell technology platform, the availability of, and our ability to obtain, government grant awards and agreements, and our ability to enter into collaborations on terms acceptable to us. To further advance the clinical development of AV-101 and opportunities related to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if needed, future financing will be available in sufficient amounts, in a timely manner, or on terms acceptable to us, if at all. If we are unable to obtain substantial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$1.25 million of sublicense revenue recorded in the quarter ended December 31, 2016 under the BlueRock Agreement,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our scientific personnel and direct project costs. External research and development expenses consist primarily of costs associated with nonclinical and clinical development of AV-101, now in Phase 2 clinical development, initially for MDD, stem cell technology-related research and development costs, and costs related to the filing, maintenance and prosecution of patents and patent applications, technology licenses and protection of other intellectual property. All such costs are charged to expense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change in value is recognized as an expense during the period over which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nine months ended December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5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250"/>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2016</w:t>
            </w:r>
          </w:p>
        </w:tc>
        <w:tc>
          <w:tcPr>
            <w:tcW w:w="140" w:type="dxa"/>
            <w:vAlign w:val="bottom"/>
          </w:tcPr>
          <w:p>
            <w:pPr>
              <w:spacing w:after="0"/>
              <w:rPr>
                <w:sz w:val="21"/>
                <w:szCs w:val="21"/>
                <w:color w:val="auto"/>
              </w:rPr>
            </w:pP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299,100</w:t>
            </w:r>
          </w:p>
        </w:tc>
        <w:tc>
          <w:tcPr>
            <w:tcW w:w="6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113,900</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627,400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239,900</w:t>
            </w:r>
          </w:p>
        </w:tc>
        <w:tc>
          <w:tcPr>
            <w:tcW w:w="140" w:type="dxa"/>
            <w:vAlign w:val="bottom"/>
          </w:tcPr>
          <w:p>
            <w:pPr>
              <w:spacing w:after="0"/>
              <w:rPr>
                <w:sz w:val="19"/>
                <w:szCs w:val="19"/>
                <w:color w:val="auto"/>
              </w:rPr>
            </w:pPr>
          </w:p>
        </w:tc>
      </w:tr>
      <w:tr>
        <w:trPr>
          <w:trHeight w:val="223"/>
        </w:trPr>
        <w:tc>
          <w:tcPr>
            <w:tcW w:w="5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299,100</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627,400</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390,200</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759,500</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390,200</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759,500</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334,000</w:t>
            </w:r>
          </w:p>
        </w:tc>
        <w:tc>
          <w:tcPr>
            <w:tcW w:w="140" w:type="dxa"/>
            <w:vAlign w:val="bottom"/>
          </w:tcPr>
          <w:p>
            <w:pPr>
              <w:spacing w:after="0"/>
              <w:rPr>
                <w:sz w:val="19"/>
                <w:szCs w:val="19"/>
                <w:color w:val="auto"/>
              </w:rPr>
            </w:pPr>
          </w:p>
        </w:tc>
      </w:tr>
      <w:tr>
        <w:trPr>
          <w:trHeight w:val="23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689,300</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267,200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1,386,900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573,900</w:t>
            </w:r>
          </w:p>
        </w:tc>
        <w:tc>
          <w:tcPr>
            <w:tcW w:w="140" w:type="dxa"/>
            <w:vAlign w:val="bottom"/>
            <w:shd w:val="clear" w:color="auto" w:fill="CCEEFF"/>
          </w:tcPr>
          <w:p>
            <w:pPr>
              <w:spacing w:after="0"/>
              <w:rPr>
                <w:sz w:val="20"/>
                <w:szCs w:val="20"/>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April 2017, our Board approved the grant of options to purchase an aggregate of 880,000 shares of our common stock at an exercise price of $1.96 per share to the independent members of our Board, our officers and our employees. In September 2017, our stockholders approved an amendment to our 2016 Amended and Restated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to increase the number of shares issuable thereunder from 3.0 million shares to 10.0 million shares. Following that approval, our Board authorized the grant of options to purchase an aggregate of 770,000 shares of our common stock at an exercise price of $1.56 per share to the independent members of our Board, our officers, employees and certain consultants. We valued the options granted in April 2017 and September 2017 using the Black-Scholes Option Pricing Model and the following weighted average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September</w:t>
            </w:r>
          </w:p>
        </w:tc>
        <w:tc>
          <w:tcPr>
            <w:tcW w:w="0" w:type="dxa"/>
            <w:vAlign w:val="bottom"/>
          </w:tcPr>
          <w:p>
            <w:pPr>
              <w:spacing w:after="0"/>
              <w:rPr>
                <w:sz w:val="1"/>
                <w:szCs w:val="1"/>
                <w:color w:val="auto"/>
              </w:rPr>
            </w:pPr>
          </w:p>
        </w:tc>
      </w:tr>
      <w:tr>
        <w:trPr>
          <w:trHeight w:val="231"/>
        </w:trPr>
        <w:tc>
          <w:tcPr>
            <w:tcW w:w="8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April 2017</w:t>
            </w:r>
          </w:p>
        </w:tc>
        <w:tc>
          <w:tcPr>
            <w:tcW w:w="120" w:type="dxa"/>
            <w:vAlign w:val="bottom"/>
          </w:tcPr>
          <w:p>
            <w:pPr>
              <w:spacing w:after="0"/>
              <w:rPr>
                <w:sz w:val="20"/>
                <w:szCs w:val="20"/>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June 2016, our Board approved the grant of options to purchase an aggregate of 655,000 shares of our common stock at an exercise price of $3.49 per share to the independent members of our Board and to our officers, including our then-newly-hired Chief Medical Officer. In September 2016, the Board approved the grant of an option to purchase 125,000 shares of our common stock at an exercise price of $4.27 per share to another then-newly-hired officer. We valued the options granted in June 2016 and September 2016 using the Black-Scholes Option Pricing Model and the following weighted 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September</w:t>
            </w:r>
          </w:p>
        </w:tc>
        <w:tc>
          <w:tcPr>
            <w:tcW w:w="0" w:type="dxa"/>
            <w:vAlign w:val="bottom"/>
          </w:tcPr>
          <w:p>
            <w:pPr>
              <w:spacing w:after="0"/>
              <w:rPr>
                <w:sz w:val="1"/>
                <w:szCs w:val="1"/>
                <w:color w:val="auto"/>
              </w:rPr>
            </w:pPr>
          </w:p>
        </w:tc>
      </w:tr>
      <w:tr>
        <w:trPr>
          <w:trHeight w:val="231"/>
        </w:trPr>
        <w:tc>
          <w:tcPr>
            <w:tcW w:w="8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June 2016</w:t>
            </w:r>
          </w:p>
        </w:tc>
        <w:tc>
          <w:tcPr>
            <w:tcW w:w="120" w:type="dxa"/>
            <w:vAlign w:val="bottom"/>
          </w:tcPr>
          <w:p>
            <w:pPr>
              <w:spacing w:after="0"/>
              <w:rPr>
                <w:sz w:val="20"/>
                <w:szCs w:val="20"/>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December 31, 2017, there were stock options outstanding to purchase 3,279,871 shares of our common stock at a weighted average exercise price of $3.23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regarding option grants made during February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our net loss for the periods presented, potentially dilutive securities were excluded from the computation of net loss per share, as their effect would be antidilutive. For the three and nine-month periods ended December 31, 2017 and 2016, the accrual for dividends on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is treated as a deduction from our net loss to arrive at net loss attributable to common stockholders for those periods. Additionally, in 2017, the deemed dividend attributable to the trigger of the down round provision feature, and, in 2016, the deemed dividend attributable to our sale and issuance of Series B Preferred Units, each consisting of one share of Series B Preferred and a five-year warrant to purchase one share of our common stock for $7.00, each represent further deductions from our net loss to arrive at net loss attributable to common stockholders for those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excluded in determining diluted net loss attributable to common stockholders per common share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top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Outstanding options under the Amended and Restated 2016 (formerly 2008) and 1999 Stock Incentive Plans</w:t>
            </w:r>
          </w:p>
        </w:tc>
        <w:tc>
          <w:tcPr>
            <w:tcW w:w="1100" w:type="dxa"/>
            <w:vAlign w:val="bottom"/>
          </w:tcPr>
          <w:p>
            <w:pPr>
              <w:jc w:val="right"/>
              <w:spacing w:after="0"/>
              <w:rPr>
                <w:sz w:val="20"/>
                <w:szCs w:val="20"/>
                <w:color w:val="auto"/>
              </w:rPr>
            </w:pPr>
            <w:r>
              <w:rPr>
                <w:rFonts w:ascii="Arial" w:cs="Arial" w:eastAsia="Arial" w:hAnsi="Arial"/>
                <w:sz w:val="18"/>
                <w:szCs w:val="18"/>
                <w:color w:val="auto"/>
              </w:rPr>
              <w:t>3,279,871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1,659,324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16,918,292</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4,550,370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24,426,415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10,437,946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8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6"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7"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560" w:firstLine="8"/>
        <w:spacing w:after="0" w:line="248" w:lineRule="auto"/>
        <w:tabs>
          <w:tab w:leader="none" w:pos="18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at fair value at December 31, 2017 or March 31, 2017.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nine months ended December 31, 2017, as compared to the recent accounting pronouncements described in our Form 10-K for the fiscal year ended March 31, 2017, that are of significance or potential significance to us.</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July 2017,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i w:val="1"/>
          <w:iCs w:val="1"/>
          <w:color w:val="auto"/>
        </w:rPr>
        <w:t>ASU 2017-11</w:t>
      </w:r>
      <w:r>
        <w:rPr>
          <w:rFonts w:ascii="Arial" w:cs="Arial" w:eastAsia="Arial" w:hAnsi="Arial"/>
          <w:sz w:val="16"/>
          <w:szCs w:val="16"/>
          <w:color w:val="auto"/>
        </w:rPr>
        <w:t>). Part I of this ASU provides that an entity will no longer have to consider “down round” features (i.e., a provision in an equity-linked financial instrument, such as a free-standing warrant, or an embedded feature, such as a conversion option in a convertible instrument, that reduces the exercise price of such instrument if the entity subsequently sells stock for a lower price or issues an equity-linked instrument with a lower exercise price) when determining whether certain equity-linked financial instruments or embedded features are indexed to its own stock. The definition of a down round feature in ASU 2017-11 excludes standard anti-dilution provisions related to changes in an entity’s capital structure. Accounting Standards Codification Topic 815-40, “Derivatives and Hedging–Contracts in Entity’s Own Equity” (</w:t>
      </w:r>
      <w:r>
        <w:rPr>
          <w:rFonts w:ascii="Arial" w:cs="Arial" w:eastAsia="Arial" w:hAnsi="Arial"/>
          <w:sz w:val="16"/>
          <w:szCs w:val="16"/>
          <w:i w:val="1"/>
          <w:iCs w:val="1"/>
          <w:color w:val="auto"/>
        </w:rPr>
        <w:t>ASC 815-40</w:t>
      </w:r>
      <w:r>
        <w:rPr>
          <w:rFonts w:ascii="Arial" w:cs="Arial" w:eastAsia="Arial" w:hAnsi="Arial"/>
          <w:sz w:val="16"/>
          <w:szCs w:val="16"/>
          <w:color w:val="auto"/>
        </w:rPr>
        <w:t>) requires that a freestanding equity-linked financial instrument be indexed to the issuer’s own stock to be classified as equity. An equity-linked embedded feature that meets the definition of a derivative may avoid bifurcation and derivative accounting if it is indexed to the issuer’s own stock. Under the terms of prior guidance, a freestanding financial instrument or embedded feature was not considered indexed to the issuer’s own stock if it had a down round provision. Consequently, the freestanding financial instrument was classified as a liability (or asset), and if it met the definition of a derivative, was measured at fair value with changes in fair value recorded through earnings. Similarly, an embedded feature was bifurcated and separately accounted for as a derivative if it met all other criteria for bifurcation under ASC 815-40. The bifurcated embedded feature was also measured at fair value through earnings. Under the provisions of ASU 2017-11, an entity that presents earnings per share (</w:t>
      </w:r>
      <w:r>
        <w:rPr>
          <w:rFonts w:ascii="Arial" w:cs="Arial" w:eastAsia="Arial" w:hAnsi="Arial"/>
          <w:sz w:val="16"/>
          <w:szCs w:val="16"/>
          <w:i w:val="1"/>
          <w:iCs w:val="1"/>
          <w:color w:val="auto"/>
        </w:rPr>
        <w:t>EPS</w:t>
      </w:r>
      <w:r>
        <w:rPr>
          <w:rFonts w:ascii="Arial" w:cs="Arial" w:eastAsia="Arial" w:hAnsi="Arial"/>
          <w:sz w:val="16"/>
          <w:szCs w:val="16"/>
          <w:color w:val="auto"/>
        </w:rPr>
        <w:t xml:space="preserve">) under Accounting Standards Codification Topic 260, “Earnings Per Share” will recognize the effect of a down round feature in a freestanding equity-classified financial instrument only when it is triggered. The effect of triggering such a feature will be recognized as a dividend and a reduction to income available to common shareholders in basic EPS. The new guidance requires new disclosures for financial instruments with down round features and other terms that change conversion or exercise prices. Part I of ASU 2017-11 is effective for fiscal years beginning after December 15, 2018, and interim periods therein, however early adoption is permitted. We early-adopted ASU 2017-11 effective with our quarter ended September 30, 2017 and applied its guidance to certain of the warrants issued in the September 2017 Public Offering, as described more completely in Note 7, </w:t>
      </w:r>
      <w:r>
        <w:rPr>
          <w:rFonts w:ascii="Arial" w:cs="Arial" w:eastAsia="Arial" w:hAnsi="Arial"/>
          <w:sz w:val="16"/>
          <w:szCs w:val="16"/>
          <w:i w:val="1"/>
          <w:iCs w:val="1"/>
          <w:color w:val="auto"/>
        </w:rPr>
        <w:t>Capital Stock</w:t>
      </w:r>
      <w:r>
        <w:rPr>
          <w:rFonts w:ascii="Arial" w:cs="Arial" w:eastAsia="Arial" w:hAnsi="Arial"/>
          <w:sz w:val="16"/>
          <w:szCs w:val="16"/>
          <w:color w:val="auto"/>
        </w:rPr>
        <w:t>. No retrospective adjustments to our financial statements were required as a result of our adoption of ASU 2017-11.</w:t>
      </w:r>
    </w:p>
    <w:p>
      <w:pPr>
        <w:spacing w:after="0" w:line="18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February 2016, the FASB issued ASU No. 2016-2, “Leases.” This ASU requires substantially all leases, including operating leases, to be recognized by lessees on their balance sheet as a right-of-use asset and corresponding lease liability. This ASU is effective for our interim and annual reporting periods beginning April 1, 2019 and early adoption is permitted. We are currently evaluating the impact that the adoption of this ASU will have on our financial statements.</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which simplified several aspects of the accounting for share-based payments, including immediate recognition of all excess tax benefits and deficiencies in the income statement,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for the excess tax benefit and employee taxes paid when an employer withholds shares for tax-withholding purposes. This ASU became effective for our interim and annual reporting periods beginning April 1, 2017, and the adoption of this standard did not have a material impact on our financial statements. Pursuant to our adoption of this standard, we elected to account for the impact of option forfeitures as they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are composed of the following at December 31, 2017 and March 31,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AV-101 materials and services</w:t>
            </w:r>
          </w:p>
        </w:tc>
        <w:tc>
          <w:tcPr>
            <w:tcW w:w="51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Professional services</w:t>
            </w:r>
          </w:p>
        </w:tc>
        <w:tc>
          <w:tcPr>
            <w:tcW w:w="4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60"/>
              <w:spacing w:after="0"/>
              <w:rPr>
                <w:sz w:val="20"/>
                <w:szCs w:val="20"/>
                <w:color w:val="auto"/>
              </w:rPr>
            </w:pPr>
            <w:r>
              <w:rPr>
                <w:rFonts w:ascii="Arial" w:cs="Arial" w:eastAsia="Arial" w:hAnsi="Arial"/>
                <w:sz w:val="18"/>
                <w:szCs w:val="18"/>
                <w:color w:val="auto"/>
              </w:rPr>
              <w:t>Public offering expenses</w:t>
            </w:r>
          </w:p>
        </w:tc>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4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51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940,400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4940" w:type="dxa"/>
            <w:vAlign w:val="bottom"/>
            <w:vMerge w:val="restart"/>
          </w:tcPr>
          <w:p>
            <w:pPr>
              <w:jc w:val="right"/>
              <w:ind w:right="2872"/>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38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composed of the following at December 31, 2017 and March 31,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December 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6"/>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AV-101 development and related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565,700</w:t>
            </w: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770,900</w:t>
            </w:r>
          </w:p>
        </w:tc>
        <w:tc>
          <w:tcPr>
            <w:tcW w:w="14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Note 6. Notes Payable</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11"/>
          </w:tcPr>
          <w:p>
            <w:pPr>
              <w:spacing w:after="0"/>
              <w:rPr>
                <w:sz w:val="20"/>
                <w:szCs w:val="20"/>
                <w:color w:val="auto"/>
              </w:rPr>
            </w:pPr>
            <w:r>
              <w:rPr>
                <w:rFonts w:ascii="Arial" w:cs="Arial" w:eastAsia="Arial" w:hAnsi="Arial"/>
                <w:sz w:val="18"/>
                <w:szCs w:val="18"/>
                <w:color w:val="auto"/>
                <w:w w:val="93"/>
              </w:rPr>
              <w:t>The following table summarizes our unsecured promissory notes at December 31, 2017 and March 31, 2017.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w w:val="87"/>
              </w:rPr>
              <w:t>December 31, 2017</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March 31, 2017</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2"/>
              </w:rPr>
              <w:t>Principal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90"/>
              </w:rPr>
              <w:t>Accrued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20"/>
                <w:szCs w:val="20"/>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Accrued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92"/>
              </w:rPr>
              <w:t>Balance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w w:val="96"/>
              </w:rPr>
              <w:t>Interest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Balance</w:t>
            </w:r>
          </w:p>
        </w:tc>
        <w:tc>
          <w:tcPr>
            <w:tcW w:w="140" w:type="dxa"/>
            <w:vAlign w:val="bottom"/>
          </w:tcPr>
          <w:p>
            <w:pPr>
              <w:spacing w:after="0"/>
              <w:rPr>
                <w:sz w:val="21"/>
                <w:szCs w:val="21"/>
                <w:color w:val="auto"/>
              </w:rPr>
            </w:pPr>
          </w:p>
        </w:tc>
        <w:tc>
          <w:tcPr>
            <w:tcW w:w="80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Interest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7.95% and 8.25% Notes payable to insurance</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premium financing company (current)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43,700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54,800</w:t>
            </w:r>
          </w:p>
        </w:tc>
        <w:tc>
          <w:tcPr>
            <w:tcW w:w="80" w:type="dxa"/>
            <w:vAlign w:val="bottom"/>
          </w:tcPr>
          <w:p>
            <w:pPr>
              <w:spacing w:after="0"/>
              <w:rPr>
                <w:sz w:val="18"/>
                <w:szCs w:val="18"/>
                <w:color w:val="auto"/>
              </w:rPr>
            </w:pPr>
          </w:p>
        </w:tc>
        <w:tc>
          <w:tcPr>
            <w:tcW w:w="8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notes payable to unrelated parties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43,700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54,800</w:t>
            </w:r>
          </w:p>
        </w:tc>
        <w:tc>
          <w:tcPr>
            <w:tcW w:w="80" w:type="dxa"/>
            <w:vAlign w:val="bottom"/>
          </w:tcPr>
          <w:p>
            <w:pPr>
              <w:spacing w:after="0"/>
              <w:rPr>
                <w:sz w:val="18"/>
                <w:szCs w:val="18"/>
                <w:color w:val="auto"/>
              </w:rPr>
            </w:pPr>
          </w:p>
        </w:tc>
        <w:tc>
          <w:tcPr>
            <w:tcW w:w="8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(43,700)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(43,700)</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(54,800)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non-current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May 2017, we executed a 7.95% promissory note in the principal amount of $142,400 in connection with insurance policy premiums. The note is payable in monthly installments of $14,800, including principal and interest, through March 2018, and had a remaining outstanding balance of $43,700 at December 31, 2017. In February 2017, we executed a promissory note in the principal amount of $60,700 in connection with other insurance policy premiums. That note was payable in monthly installments of $6,300, including principal and interest, and was paid in full at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Capital Stock</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our Annual Meeting of Stockholders on September 15, 2017, as approved by and recommended to our stockholders by our Board of Directors, our stockholders approved an amendment to our Restated and Amended Articles of Incorporation to increase the authorized number of shares of common stock that we may issue from 30.0 million shares to 100.0 million shares. The amendment became effective on September 15, 2017, upon our filing of a certificate of amendment with the Nevada Secretary of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December 2017 Underwritten Public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December 13, 2017, we completed the December 2017 Public Offering, resulting in gross proceeds of $15.0 million, pursuant to which we offered and sold shares of our common stock and warrants to purchase shares of our common stock at a combined public offering price of $1.50 per shares and related warrant. We issued an aggregate of 10,000,000 shares of our common stock and warrants to purchase up to 10,000,000 shares of our common stock at an exercise price of $1.50 per share (the </w:t>
      </w:r>
      <w:r>
        <w:rPr>
          <w:rFonts w:ascii="Arial" w:cs="Arial" w:eastAsia="Arial" w:hAnsi="Arial"/>
          <w:sz w:val="16"/>
          <w:szCs w:val="16"/>
          <w:i w:val="1"/>
          <w:iCs w:val="1"/>
          <w:color w:val="auto"/>
        </w:rPr>
        <w:t>December 2017 Offering Warrants</w:t>
      </w:r>
      <w:r>
        <w:rPr>
          <w:rFonts w:ascii="Arial" w:cs="Arial" w:eastAsia="Arial" w:hAnsi="Arial"/>
          <w:sz w:val="16"/>
          <w:szCs w:val="16"/>
          <w:color w:val="auto"/>
        </w:rPr>
        <w:t xml:space="preserve">). The common stock and the shares of common stock underlying the December 2017 Offering Warrants issued in the December 2017 Public Offering were offered, issued and sold pursuant to our Registration Statement on Form S-1 (Registration No. 333-221009) that was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on December 11, 2017. The December 2017 Offering Warrants are exercisable at any time through December 13, 2022, have no anti-dilution or other exercise price or share reset features, except as is customary with respect to a change in our capital structure in the event of a stock split or dividend, and do not contain any cashless exercise features as long as our Registration Statement on Form S-1 (Registration No. 333-221009) is effective. Accordingly, we have accounted for the December 2017 Offering Warrants as equity warrants. We received net proceeds of approximately $13.6 million from the December 2017 Public Offering, after deducting underwriter’s commission and other expenses related to the offering.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September 2017 Underwritten Public Offering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September 6, 2017, we completed the September 2017 Public Offering, resulting in gross proceeds of approximately $2.4 million, pursuant to which we offered and sold shares of our common stock and warrants to two of our existing institutional investors. We issued an aggregate of 1,371,430 shares of our common stock, Series A1 Warrants to purchase up to 1,388,931 shares of common stock and Series A2 Warrants to purchase up to 503,641 of common stock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each exercisable for $1.82 per share in the September 2017 Public Offering. The Series A1 Warrants will be exercisable by the investors for a five-year period commencing on March 7, 2018, and the Series A2 Warrants were immediately exercisable at any time through September 6, 2022. The common stock and the shares of common stock underlying the Warrants issued in the September 2017 Public Offering were offered, issued and sold pursuant to our S-3 Registration Statement (Registration No. 333-215671) that had previously been declared effective by the Commission to cover this and potential future sales of our equity securities in one or more public offerings from time to time. We received net proceeds of approximately $2.0 million from the September 2017 Public Offering, after deducting underwriter’s commission and other expenses related to the offering.</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Series A1 Warrants to purchase an aggregate of 1,388,931 shares of our common stock issued in the September 2017 Public Offering have no anti-dilution or other exercise price or share reset features, except as is customary with respect to a change in our capital structure in the event of a stock split or dividend, and, accordingly, we have accounted for them as equity warrants. The Series A2 Warrants to purchase an aggregate of 503,641 shares of our common stock contained anti-dilution protection provisions that became effective upon the issuance of common stock in the December 2017 Public Offering at a price below their then-current $1.82 per share exercise price. The anti-dilution protection provisions in the Series A2 Warrants constituted a down round feature subject to the guidance in ASU 2017-11. Since the Series A2 Warrants contained no other provisions which required their treatment as liability warrants rather than equity warrants, including exercise price or share reset features, except as is customary with respect to a change in our capital structure in the event of a stock split or dividend and which are also present in the Series A1 Warrants, we also accounted for the Series A2 Warrants as equity warrants.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sale of units consisting of common stock and warrants in the December 2017 Public Offering at an offering price of $1.50 per unit triggered the anti-dilution provisions of the Series A2 Warrants. In accordance with the anti-dilution terms and formula contained in the Series A2 warrants, the exercise price of the Series A2 Warrants was reduced to $0.001 per share. In December 2017, certain holders exercised the reset Series A2 warrants to purchase an aggregate of 188,865 shares of our common stock from which we received nominal cash proceeds. In accordance with the guidance in ASU 2017-11, we recognized the effect of triggering the down round feature as a dividend in our Condensed Consolidated Statement of Stockholders’ Equity for the nine months ended December 31, 2017 and as an addition to net loss attributable to common stockholders and in our calculation of basic and fully diluted earnings per share in our Condensed Consolidated Statement of Operations for the three and nine months ended December 31, 2017.</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calculated the dividend from the trigger of the down round provision feature, $199,200, using the Black Scholes Option Pricing Model and the assumptions indicated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Pre-reset</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Post-reset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503,641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503,641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quarter ended June 30, 2017, in self-placed private placement transactions, we accepted subscription agreements from individual accredited investors, pursuant to which we sold to such investors units, at a weighted average purchase price of $2.00 per unit, consisting of an aggregate of 437,751 unregistered shares of our common stock and warrants, exercisable through April 30, 2021, to purchase an aggregate of 218,875 unregistered shares of our common stock at a weighted average exercise price of $3.99 per share. The purchasers of the units have no registration rights with respect to the shares of common stock, warrants or the shares of common stock issuable upon exercise of the warrants comprising the units sold. The warrants are not exercisable until six months and one day following the date of issuance. We received aggregate cash proceeds of $873,300 in connection with these self-placed private placement transactions, and the entire amount of the proceeds was credited to stockholders’ equity.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September 30,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December 31, 2017, in a self-placed private placement transaction, we sold to an accredited investor units consisting of 150,000 shares of our unregistered common stock and warrants exercisable through November 30, 2021 to purchase 150,000 unregistered shares of our common stock at an exercise price of $2.00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$150,000 from this sale of our securities, and the entire amount of the proceeds was credited to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 and in Settlement of Accounts Payable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quarter ended June 30, 2017, we issued 25,000 shares of our unregistered common stock having a fair value on the date of issuance of $49,800 as partial compensation to an investor relations service provider.</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September 30, 2017, we issued an aggregate of 927,500 unregistered shares of our common stock, of which 477,500 shares were issued from our 2016 Plan, for various professional services, including contract research, legal, investor relations and financial advisory services. The common stock issued had an aggregate fair value of $1,503,600 on the dates issued, of which all but $139,300 has been recognized as noncash expense through December 31, 2017. The un-expensed portion at December 31, 2017 is being recognized in expense ratably through July 2019 in accordance with the terms of work orders for certain contract research services to be provided through that period.</w:t>
      </w:r>
    </w:p>
    <w:p>
      <w:pPr>
        <w:spacing w:after="0" w:line="170"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During the quarter ended December 31, 2017, we issued an aggregate of 70,000 unregistered shares of our common stock, all of which were issued from our 2016 Plan for additional investor relations and financial advisory services. The common stock issued had an aggregate fair value of $140,800 on the dates issued.</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ended December 31, 2017, we also issued 500,000 unregistered shares of our common stock having a fair value at the time of issuance of $585,000 and a cash payment of $76,500 to our contract manufacturing organization (</w:t>
      </w:r>
      <w:r>
        <w:rPr>
          <w:rFonts w:ascii="Arial" w:cs="Arial" w:eastAsia="Arial" w:hAnsi="Arial"/>
          <w:sz w:val="18"/>
          <w:szCs w:val="18"/>
          <w:i w:val="1"/>
          <w:iCs w:val="1"/>
          <w:color w:val="auto"/>
        </w:rPr>
        <w:t>CMO</w:t>
      </w:r>
      <w:r>
        <w:rPr>
          <w:rFonts w:ascii="Arial" w:cs="Arial" w:eastAsia="Arial" w:hAnsi="Arial"/>
          <w:sz w:val="18"/>
          <w:szCs w:val="18"/>
          <w:color w:val="auto"/>
        </w:rPr>
        <w:t>) in exchange for and settlement of $526,500 of open accounts payable for services provided by the CMO relating to production of AV-101 drug substance. We recognized a corresponding loss on settlement of accounts payable in the amount of $135,000 for the quarter ended December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 Issued in Private Placements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September 30, 2017,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authorized the modification of outstanding warrants issued in private placement transactions between March 2017 and June 2017 to reduce the exercise prices and increase the number of shares issuable thereunder. We calculated the fair value of the warrant immediately before and after the modification using the Black Scholes Option Pricing Model and the weighted average assumptions indicated in the table below. We recognized the additional fair value, $279,700, as warrant modification expense, included as a component of general and administrative expenses, in our Condensed Consolidated Statement of Operations and Comprehensive Loss for the quarter ended September 30,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December 31, 2017, the Board authorized the modification of outstanding warrants issued in private placement transactions between August 2017 and November 2017 to reduce the exercise prices of the warrants. We calculated the fair value of the warrants immediately before and after the modification using the Black Scholes Option Pricing Model and the weighted average assumptions indicated in the table below. We recognized the additional fair value, $13,000, as warrant modification expense, included as a component of general and administrative expenses, in our Condensed Consolidated Statement of Operations and Comprehensive Loss for the quarter ended December 31, 2017.</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24"/>
                <w:szCs w:val="2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warrant issuances in the December 2017 Public Offering, the September 2017 Public Offering, and in our self-placed private placement transactions and the warrant modifications and exercises described above, at December 31, 2017, we had outstanding warrants to purchase shares of our common stock at a weighted average exercise price of $2.80 per share as follows:</w:t>
      </w:r>
    </w:p>
    <w:p>
      <w:pPr>
        <w:spacing w:after="0" w:line="188" w:lineRule="exact"/>
        <w:rPr>
          <w:sz w:val="20"/>
          <w:szCs w:val="20"/>
          <w:color w:val="auto"/>
        </w:rPr>
      </w:pPr>
    </w:p>
    <w:tbl>
      <w:tblPr>
        <w:tblLayout w:type="fixed"/>
        <w:tblInd w:w="350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Warrants</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23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Expiration</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100"/>
              <w:spacing w:after="0" w:line="189" w:lineRule="exact"/>
              <w:rPr>
                <w:sz w:val="20"/>
                <w:szCs w:val="20"/>
                <w:color w:val="auto"/>
              </w:rPr>
            </w:pPr>
            <w:r>
              <w:rPr>
                <w:rFonts w:ascii="Arial" w:cs="Arial" w:eastAsia="Arial" w:hAnsi="Arial"/>
                <w:sz w:val="18"/>
                <w:szCs w:val="18"/>
                <w:b w:val="1"/>
                <w:bCs w:val="1"/>
                <w:color w:val="auto"/>
              </w:rPr>
              <w:t>per</w:t>
            </w:r>
          </w:p>
        </w:tc>
        <w:tc>
          <w:tcPr>
            <w:tcW w:w="2320" w:type="dxa"/>
            <w:vAlign w:val="bottom"/>
            <w:gridSpan w:val="2"/>
            <w:vMerge w:val="continue"/>
          </w:tcPr>
          <w:p>
            <w:pPr>
              <w:spacing w:after="0"/>
              <w:rPr>
                <w:sz w:val="16"/>
                <w:szCs w:val="16"/>
                <w:color w:val="auto"/>
              </w:rPr>
            </w:pPr>
          </w:p>
        </w:tc>
        <w:tc>
          <w:tcPr>
            <w:tcW w:w="108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auto"/>
                <w:w w:val="88"/>
              </w:rPr>
              <w:t>at December</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2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Date</w:t>
            </w:r>
          </w:p>
        </w:tc>
        <w:tc>
          <w:tcPr>
            <w:tcW w:w="96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5"/>
              </w:rPr>
              <w:t>31, 2017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0.001</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9/6/2022</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314,776</w:t>
            </w: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2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11/30/2021 to 12/13/2022</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10,150,000</w:t>
            </w:r>
          </w:p>
        </w:tc>
        <w:tc>
          <w:tcPr>
            <w:tcW w:w="0" w:type="dxa"/>
            <w:vAlign w:val="bottom"/>
          </w:tcPr>
          <w:p>
            <w:pPr>
              <w:spacing w:after="0"/>
              <w:rPr>
                <w:sz w:val="1"/>
                <w:szCs w:val="1"/>
                <w:color w:val="auto"/>
              </w:rPr>
            </w:pPr>
          </w:p>
        </w:tc>
      </w:tr>
      <w:tr>
        <w:trPr>
          <w:trHeight w:val="216"/>
        </w:trPr>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w:t>
            </w:r>
          </w:p>
        </w:tc>
        <w:tc>
          <w:tcPr>
            <w:tcW w:w="23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9/6/2022 to 3/7/2023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1,388,931</w:t>
            </w: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4/30/2021</w:t>
            </w:r>
          </w:p>
        </w:tc>
        <w:tc>
          <w:tcPr>
            <w:tcW w:w="2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523,573</w:t>
            </w:r>
          </w:p>
        </w:tc>
        <w:tc>
          <w:tcPr>
            <w:tcW w:w="0" w:type="dxa"/>
            <w:vAlign w:val="bottom"/>
          </w:tcPr>
          <w:p>
            <w:pPr>
              <w:spacing w:after="0"/>
              <w:rPr>
                <w:sz w:val="1"/>
                <w:szCs w:val="1"/>
                <w:color w:val="auto"/>
              </w:rPr>
            </w:pPr>
          </w:p>
        </w:tc>
      </w:tr>
      <w:tr>
        <w:trPr>
          <w:trHeight w:val="216"/>
        </w:trPr>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12/31/2021</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9/26/2019</w:t>
            </w:r>
          </w:p>
        </w:tc>
        <w:tc>
          <w:tcPr>
            <w:tcW w:w="2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5/16/2021</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2,705,883</w:t>
            </w: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6.00</w:t>
            </w:r>
          </w:p>
        </w:tc>
        <w:tc>
          <w:tcPr>
            <w:tcW w:w="23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9/26/2019 to 11/30/2019</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97,750</w:t>
            </w:r>
          </w:p>
        </w:tc>
        <w:tc>
          <w:tcPr>
            <w:tcW w:w="0" w:type="dxa"/>
            <w:vAlign w:val="bottom"/>
          </w:tcPr>
          <w:p>
            <w:pPr>
              <w:spacing w:after="0"/>
              <w:rPr>
                <w:sz w:val="1"/>
                <w:szCs w:val="1"/>
                <w:color w:val="auto"/>
              </w:rPr>
            </w:pPr>
          </w:p>
        </w:tc>
      </w:tr>
      <w:tr>
        <w:trPr>
          <w:trHeight w:val="216"/>
        </w:trPr>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w:t>
            </w:r>
          </w:p>
        </w:tc>
        <w:tc>
          <w:tcPr>
            <w:tcW w:w="2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12/11/2018 to 3/3/2023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1,346,931</w:t>
            </w: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8.00</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3/25/2021</w:t>
            </w:r>
          </w:p>
        </w:tc>
        <w:tc>
          <w:tcPr>
            <w:tcW w:w="2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2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11/15/2017 to 1/11/2020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9/15/2019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110,448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16,918,292</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warrants outstanding at December 31, 2017, 2,705,883 shares of common stock underlying the warrants exercisable at $5.30 per share issued in our May 2016 public offering, 1,388,931 shares of common stock underlying the warrants exercisable at $1.82 per share issued in our September 2017 Public Offering and 10,000,000 shares of common stock underlying the warrants exercisable at $1.50 per share issued in our December 2017 Public Offering are registered for resale by the warrant holders. At December 31, 2017, warrants to purchase an aggregate of 314,776 registered shares of our common stock remain subject to down round anti-dilution protection features. The common shares issuable upon exercise of our remaining outstanding warrants are unregistered. All of the outstanding warrants are exercisable by the holders only by payment in cash of the stated exercise price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recently engaged by us for a wide range of material aspects related to the nonclinical and clinical development and regulatory affairs associated with our efforts to develop and commercialize AV-101 for MDD and other potential CNS indications. CBV is among our largest institutional stockholders at December 31, 2017, holding approximately 4.2% of our outstanding common stock. In October 2012, we issued certain unsecured promissory notes in the aggregate principal amount of approximately $1.3 million to CBV and CRL (the </w:t>
      </w:r>
      <w:r>
        <w:rPr>
          <w:rFonts w:ascii="Arial" w:cs="Arial" w:eastAsia="Arial" w:hAnsi="Arial"/>
          <w:sz w:val="16"/>
          <w:szCs w:val="16"/>
          <w:i w:val="1"/>
          <w:iCs w:val="1"/>
          <w:color w:val="auto"/>
        </w:rPr>
        <w:t>Cato Notes</w:t>
      </w:r>
      <w:r>
        <w:rPr>
          <w:rFonts w:ascii="Arial" w:cs="Arial" w:eastAsia="Arial" w:hAnsi="Arial"/>
          <w:sz w:val="16"/>
          <w:szCs w:val="16"/>
          <w:color w:val="auto"/>
        </w:rPr>
        <w:t>) as payment in full for all contract research and development services and regulatory advice previously rendered to us by CRL for nonclinical and Phase 1 development of AV-101. In June 2015, the Cato Notes and additional amounts payable to CRL for CRO services related to AV-101 were extinguished in exchange for our issuance of an aggregate of 328,571 shares of Series B Preferred stock to CBV, which shares of Series B Preferred stock were automatically converted in accordance with their terms into an equal number of registered shares of our common stock as a result of our May 2016 public offering.</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including AV-101,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May 2007 master services agreement with CRL, we incurred expenses of $292,700 and $101,900 during the quarters ended December 31, 2017 and 2016, respectively, and $904,900 and $180,100 in the nine-month periods ended December 31, 2017 and 2016, respectively. During the nine months ended December 31, 2017, we have issued an aggregate of 350,000 unregistered shares of our common stock to CRL under the terms of certain work orders for current and future CRO services relating to our development of AV-101 for MDD, the fair value of which represented approximately $443,000 of the reported CRO expense for the nine months then ended. We anticipate periodic expenses for CRO services from CRL related to nonclinical and clinical development of, and regulatory affairs related to, AV-101 and other potential product candidates will increase in future periods. In December 2017, we executed a work order with CRL for CRO services to be performed in conducting the AV-101 MDD Phase 2 Adjunctive Treatment Study and pursuant to which we became immediately obligated for an initial payment of $461,700, which amount is reflected in Accrued liabilities and Prepaid expenses in our Condensed Consolidated Balance Sheet at December 31,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February 9, 2018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2018, the holders of Series A2 warrants to purchase an aggregate of 314,774 shares of our common stock exercised all of such warrants at the reset exercise price of $0.001 per share, as described in Note 7, </w:t>
      </w:r>
      <w:r>
        <w:rPr>
          <w:rFonts w:ascii="Arial" w:cs="Arial" w:eastAsia="Arial" w:hAnsi="Arial"/>
          <w:sz w:val="18"/>
          <w:szCs w:val="18"/>
          <w:i w:val="1"/>
          <w:iCs w:val="1"/>
          <w:color w:val="auto"/>
        </w:rPr>
        <w:t>Capital Stock</w:t>
      </w:r>
      <w:r>
        <w:rPr>
          <w:rFonts w:ascii="Arial" w:cs="Arial" w:eastAsia="Arial" w:hAnsi="Arial"/>
          <w:sz w:val="18"/>
          <w:szCs w:val="18"/>
          <w:color w:val="auto"/>
        </w:rPr>
        <w:t>, from which we received nominal cash proceeds. Following these exercises, none of our outstanding warrants have down round anti-dilution protection features.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2016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2, 2018, the Compensation Committee of the Board approved the grant of options to independent members of the Board, officers and employees and certain professional service providers to purchase an aggregate of 2,150,000 shares of our common stock at an exercise price of $1.16 per share, the quoted closing price of our common stock on the Nasdaq Capital Markets on the date of the grant. The options are vested 25% upon grant with the remaining shares vesting ratably over the next twenty-four months.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and stockholders.</w:t>
      </w:r>
    </w:p>
    <w:p>
      <w:pPr>
        <w:spacing w:after="0" w:line="3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Report refer to calendar quarters and calendar years, unless reference is made otherwise.</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 from all standard FDA-approved antidepressants, as well as all atypical antipsychotics, such as aripiprazole, often used adjunctively with standard antidepressants. We believe AV-101 also has potential to treat several additional CNS indications </w:t>
      </w:r>
      <w:r>
        <w:rPr>
          <w:rFonts w:ascii="Arial" w:cs="Arial" w:eastAsia="Arial" w:hAnsi="Arial"/>
          <w:sz w:val="16"/>
          <w:szCs w:val="16"/>
          <w:color w:val="333333"/>
        </w:rPr>
        <w:t>where modulation of the NMDA receptors, activation of AMPA pathways and/or key active</w:t>
      </w:r>
      <w:r>
        <w:rPr>
          <w:rFonts w:ascii="Arial" w:cs="Arial" w:eastAsia="Arial" w:hAnsi="Arial"/>
          <w:sz w:val="16"/>
          <w:szCs w:val="16"/>
          <w:color w:val="auto"/>
        </w:rPr>
        <w:t xml:space="preserve"> </w:t>
      </w:r>
      <w:r>
        <w:rPr>
          <w:rFonts w:ascii="Arial" w:cs="Arial" w:eastAsia="Arial" w:hAnsi="Arial"/>
          <w:sz w:val="16"/>
          <w:szCs w:val="16"/>
          <w:color w:val="333333"/>
        </w:rPr>
        <w:t>metabolites of AV-101 may achieve therapeutic benefit</w:t>
      </w:r>
      <w:r>
        <w:rPr>
          <w:rFonts w:ascii="Arial" w:cs="Arial" w:eastAsia="Arial" w:hAnsi="Arial"/>
          <w:sz w:val="16"/>
          <w:szCs w:val="16"/>
          <w:color w:val="000000"/>
        </w:rPr>
        <w:t>, including, among others, as a non-opioid alternative for neuropathic pain and for Parkinson’s disease</w:t>
      </w:r>
      <w:r>
        <w:rPr>
          <w:rFonts w:ascii="Arial" w:cs="Arial" w:eastAsia="Arial" w:hAnsi="Arial"/>
          <w:sz w:val="16"/>
          <w:szCs w:val="16"/>
          <w:color w:val="333333"/>
        </w:rPr>
        <w:t xml:space="preserve"> </w:t>
      </w:r>
      <w:r>
        <w:rPr>
          <w:rFonts w:ascii="Arial" w:cs="Arial" w:eastAsia="Arial" w:hAnsi="Arial"/>
          <w:sz w:val="16"/>
          <w:szCs w:val="16"/>
          <w:color w:val="000000"/>
        </w:rPr>
        <w:t>levodopa -induced dyskinesia (</w:t>
      </w:r>
      <w:r>
        <w:rPr>
          <w:rFonts w:ascii="Arial" w:cs="Arial" w:eastAsia="Arial" w:hAnsi="Arial"/>
          <w:sz w:val="16"/>
          <w:szCs w:val="16"/>
          <w:i w:val="1"/>
          <w:iCs w:val="1"/>
          <w:color w:val="000000"/>
        </w:rPr>
        <w:t>PD LID</w:t>
      </w:r>
      <w:r>
        <w:rPr>
          <w:rFonts w:ascii="Arial" w:cs="Arial" w:eastAsia="Arial" w:hAnsi="Arial"/>
          <w:sz w:val="16"/>
          <w:szCs w:val="16"/>
          <w:color w:val="000000"/>
        </w:rPr>
        <w:t>).</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approved by the FDA as an anesthetic, in MDD patients with inadequate responses to multiple standard antidepressants. These NIMH studies, as well as clinical research at Yale University and other academic institutions in the U.S., have demonstrated ketamine’s robust antidepressant effects in treatment-resistant MDD patients within twenty-four hours of a single sub-anesthetic dose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orally administered AV-101 may have potential to deliver ketamine-like antidepressant effects, without ketamine’s psychological side effects and other safety concerns, and without the need for IV administration. As published in the October 2015 issue of the peer-reviewed, </w:t>
      </w:r>
      <w:r>
        <w:rPr>
          <w:rFonts w:ascii="Arial" w:cs="Arial" w:eastAsia="Arial" w:hAnsi="Arial"/>
          <w:sz w:val="16"/>
          <w:szCs w:val="16"/>
          <w:i w:val="1"/>
          <w:iCs w:val="1"/>
          <w:color w:val="auto"/>
        </w:rPr>
        <w:t>Journal of Pharmacology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Experimental Therapeutics, </w:t>
      </w:r>
      <w:r>
        <w:rPr>
          <w:rFonts w:ascii="Arial" w:cs="Arial" w:eastAsia="Arial" w:hAnsi="Arial"/>
          <w:sz w:val="16"/>
          <w:szCs w:val="16"/>
          <w:color w:val="auto"/>
        </w:rPr>
        <w:t>in an article 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site of the NMDA receptor and activating the AMPA receptor pathway in the brain.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October 2017, we received FDA authorization to launch our 180-patient Phase 2 multi-center, multi-dose, double blind, placebo-controlled efficacy and safety study of AV-101 as a new generation adjunctive treatment for MDD patients with an inadequate therapeutic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and in December 2017 the FDA granted Fast Track Designation to AV-101 for development as a potential adjunctive treatment for MDD.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Association </w:t>
      </w:r>
      <w:r>
        <w:rPr>
          <w:rFonts w:ascii="Arial" w:cs="Arial" w:eastAsia="Arial" w:hAnsi="Arial"/>
          <w:sz w:val="16"/>
          <w:szCs w:val="16"/>
          <w:color w:val="auto"/>
        </w:rPr>
        <w:t>(</w:t>
      </w:r>
      <w:r>
        <w:rPr>
          <w:rFonts w:ascii="Arial" w:cs="Arial" w:eastAsia="Arial" w:hAnsi="Arial"/>
          <w:sz w:val="16"/>
          <w:szCs w:val="16"/>
          <w:i w:val="1"/>
          <w:iCs w:val="1"/>
          <w:color w:val="auto"/>
        </w:rPr>
        <w:t>JAMA</w:t>
      </w:r>
      <w:r>
        <w:rPr>
          <w:rFonts w:ascii="Arial" w:cs="Arial" w:eastAsia="Arial" w:hAnsi="Arial"/>
          <w:sz w:val="16"/>
          <w:szCs w:val="16"/>
          <w:color w:val="auto"/>
        </w:rPr>
        <w:t>). We expect top line results of the AV-101 MDD Phase 2 Adjunctive Treatment Study to be available in the first half of 2019.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as a monotherapy in subjects with treatment-resistant MDD (the </w:t>
      </w:r>
      <w:r>
        <w:rPr>
          <w:rFonts w:ascii="Arial" w:cs="Arial" w:eastAsia="Arial" w:hAnsi="Arial"/>
          <w:sz w:val="16"/>
          <w:szCs w:val="16"/>
          <w:i w:val="1"/>
          <w:iCs w:val="1"/>
          <w:color w:val="auto"/>
        </w:rPr>
        <w:t>NIMH AV-101 MDD Phase 2 Monotherapy Study</w:t>
      </w:r>
      <w:r>
        <w:rPr>
          <w:rFonts w:ascii="Arial" w:cs="Arial" w:eastAsia="Arial" w:hAnsi="Arial"/>
          <w:sz w:val="16"/>
          <w:szCs w:val="16"/>
          <w:color w:val="auto"/>
        </w:rPr>
        <w:t>).</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we may pursue additional RM collaborations or out-licensing transactions involving blood, cartilage, and/or liver cells derived from hPSCs for (A) cell-based therapy, (B) cell repair therapy, and/or (C) tissue engineering.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300 million people worldwide are affected by depression. According to the NIH, major depression is one of the most common mental disorders in the U.S. The NIMH reports that, in 2016, approximately 16 million adults in the U.S. had at least one major depressive episode in the past year.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in an August 2017 report, one in eight Americans over the age of 12 reported taking a standard, FDA-approved antidepressant in the previous month.</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Most standard antidepressants target chemical imbalances in the brain related to neurotransmitter reuptake inhibition – either serotonin (antidepressants known as </w:t>
      </w:r>
      <w:r>
        <w:rPr>
          <w:rFonts w:ascii="Arial" w:cs="Arial" w:eastAsia="Arial" w:hAnsi="Arial"/>
          <w:sz w:val="16"/>
          <w:szCs w:val="16"/>
          <w:i w:val="1"/>
          <w:iCs w:val="1"/>
          <w:color w:val="auto"/>
        </w:rPr>
        <w:t>SSRIs</w:t>
      </w:r>
      <w:r>
        <w:rPr>
          <w:rFonts w:ascii="Arial" w:cs="Arial" w:eastAsia="Arial" w:hAnsi="Arial"/>
          <w:sz w:val="16"/>
          <w:szCs w:val="16"/>
          <w:color w:val="auto"/>
        </w:rPr>
        <w:t xml:space="preserve">) or serotonin/norepinephrine (antidepressants known as </w:t>
      </w:r>
      <w:r>
        <w:rPr>
          <w:rFonts w:ascii="Arial" w:cs="Arial" w:eastAsia="Arial" w:hAnsi="Arial"/>
          <w:sz w:val="16"/>
          <w:szCs w:val="16"/>
          <w:i w:val="1"/>
          <w:iCs w:val="1"/>
          <w:color w:val="auto"/>
        </w:rPr>
        <w:t>SNRIs</w:t>
      </w:r>
      <w:r>
        <w:rPr>
          <w:rFonts w:ascii="Arial" w:cs="Arial" w:eastAsia="Arial" w:hAnsi="Arial"/>
          <w:sz w:val="16"/>
          <w:szCs w:val="16"/>
          <w:color w:val="auto"/>
        </w:rPr>
        <w:t>). Nearly two out of every three drug-treated depression patients do not obtain adequate therapeutic benefit from their initial treatment with a standard antidepressant. Even when effective, these standard antidepressants take many weeks to achieve adequate therapeutic effects. After multiple treatment attempts involving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 (a drug such as aripiprazole), despite only modest potential therapeutic benefit and the significant risk of additional side effects from such adjunctive drugs.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AV-101 is our oral CNS product candidate in Phase 2 development in the United States, initially focused as a new generation antidepressant for the adjunctive treatment of MDD patients with an inadequate therapeutic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“The prodrug 4-chlorokynurenine causes ketamine-like antidepressant effects, but not side effects, by NMDA/glycineB-site inhibition,” using well-established preclinical models of depression, AV-101 was shown to induce fast-acting, dose-dependent, persistent and statistically significant ketamine-like antidepressant effects following a single treatment, responses equivalent to those seen with a single sub-anesthetic control dose of ketamine, but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completed two NIH-funded, randomized, double blind, placebo-controlled AV-101 Phase 1 safety studies. Currently, pursuant to our CRADA with the NIMH and Dr. Carlos Zarate, Jr., the NIMH is currently funding, and Dr. Zarate, as Principal Investigator, and his team are currently conducting, the NIMH AV-101 MDD Phase 2 Monotherapy Study.</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October 2017, we received authorization from the FDA to proceed, under our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with the AV-101 MDD Phase 2 Adjunctive Treatment Study, which will test the safety, efficacy and tolerability of AV-101 as an adjunctive treatment of MDD in adult patients with an inadequate therapeutic response to standard, FDA-approved antidepressants. We intend to launch the AV-101 MDD Phase 2 Adjunctive Treatment Study in the first quarter of 2018, and expect top line results to be available in the first half of 2019. In connection with our preparation for this study, as well as potential Phase 3 development and commercialization of AV-101, we, together with our CMO, developed a novel process for the production of AV-101 drug substance. We believe our new proprietary production process will significantly improve AV-101 manufacturing efficiency, thereby reducing the current and future cost of manufacturing AV-101 drug substance and improving the yield of AV-101 drug substance manufactured. Additionally, in December 2017 the FDA granted Fast Track Designation to AV-101 for development as a potential adjunctive treatment for MDD. The FDA’s Fast Track Designation is a process designed to facilitate the development and expedite the review of drugs to treat serious conditions and unmet medical needs. With Fast Track Designation, there is an increased possibility for a priority review of AV-101 by the FDA.</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believe preclinical studies and Phase 1 safety studies support our hypothesis that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 activation of AMPA pathways and/or key active</w:t>
      </w:r>
      <w:r>
        <w:rPr>
          <w:rFonts w:ascii="Arial" w:cs="Arial" w:eastAsia="Arial" w:hAnsi="Arial"/>
          <w:sz w:val="16"/>
          <w:szCs w:val="16"/>
          <w:color w:val="auto"/>
        </w:rPr>
        <w:t xml:space="preserve"> </w:t>
      </w:r>
      <w:r>
        <w:rPr>
          <w:rFonts w:ascii="Arial" w:cs="Arial" w:eastAsia="Arial" w:hAnsi="Arial"/>
          <w:sz w:val="16"/>
          <w:szCs w:val="16"/>
          <w:color w:val="333333"/>
        </w:rPr>
        <w:t>metabolites of AV-101 may achieve therapeutic benefit</w:t>
      </w:r>
      <w:r>
        <w:rPr>
          <w:rFonts w:ascii="Arial" w:cs="Arial" w:eastAsia="Arial" w:hAnsi="Arial"/>
          <w:sz w:val="16"/>
          <w:szCs w:val="16"/>
          <w:color w:val="000000"/>
        </w:rPr>
        <w:t>, including PD LID, epilepsy, and Huntington’s disease. We are beginning to plan additional Phase 2</w:t>
      </w:r>
      <w:r>
        <w:rPr>
          <w:rFonts w:ascii="Arial" w:cs="Arial" w:eastAsia="Arial" w:hAnsi="Arial"/>
          <w:sz w:val="16"/>
          <w:szCs w:val="16"/>
          <w:color w:val="333333"/>
        </w:rPr>
        <w:t xml:space="preserve"> </w:t>
      </w:r>
      <w:r>
        <w:rPr>
          <w:rFonts w:ascii="Arial" w:cs="Arial" w:eastAsia="Arial" w:hAnsi="Arial"/>
          <w:sz w:val="16"/>
          <w:szCs w:val="16"/>
          <w:color w:val="000000"/>
        </w:rPr>
        <w:t>clinical studies to further evaluate the therapeutic potential of AV-101 beyond MDD, however we do not intend to initiate such studies in 2018.</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2017, as filed with the SEC on June 29, 2017, and in Note 3 to the accompanying unaudited Condensed Consolidated Financial Statements included in Part 1, Item 1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generated $1.25 million of sublicense revenue from the BlueRock Agreement in December 2016. However, we have not yet achieved recurring revenue-generating status from any of our product candidates or technologies. Since our inception in May 1998,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December 31, 2017, we had an accumulated deficit of approximately $152.5 million. Our net loss for the nine months ended December 31, 2017 and 2016 was approximately $10.3 million and $7.7 million, respectively. We expect losses to continue for the foreseeable future, primarily related to our further development of AV-101 for the adjunctive treatment of MDD and other CNS indications.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Nine Months Ended December 31, 2017</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nine months ended December 31, 2017, we have continued to (i) advance nonclinical, including manufacturing, and clinical development of AV-101 as a potential new generation antidepressant and as a potential new therapeutic alternative for several other CNS indications with significant unmet medical need,</w:t>
      </w:r>
    </w:p>
    <w:p>
      <w:pPr>
        <w:jc w:val="both"/>
        <w:ind w:firstLine="8"/>
        <w:spacing w:after="0" w:line="302"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expand the regulatory and intellectual property foundation to support broad clinical development and, ultimately, commercialization of AV-101 in the U.S. and foreign markets, and (iii) on a limited basis, advance the predictive toxicology capabilities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small molecule new chemical entity drug rescue and development applications and collaborative regenerative medicine opportunities related to our cardiac stem cell technology platform.</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our CRADA with the NIH, the NIH continues to fund, and Dr. Carlos Zarate Jr. of the NIMH continues to conduct, the NIMH AV-101 MDD Phase 2 Monotherapy Study at no cost to us other than supplying clinical trial material.</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prepare for the launch of our AV-101 MDD Phase 2 Adjunctive Treatment Study with initiatives that have significantly improved the efficiency of our AV-101 manufacturing processes and are making available sufficient quantities of AV-101 to enable a comprehensive initiation of the study. We currently anticipate the launch of the AV-101 MDD Phase 2 Adjunctive Treatment Study, with Dr. Maurizio Fava of Harvard Medical School serving as Principal Investigator, in the first quarter of 2018.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33333"/>
        </w:rPr>
        <w:t>Additionally, we are pursuing initiatives to secure a broad spectrum of intellectual property protection for AV-101 covering multiple CNS indications. W</w:t>
      </w:r>
      <w:r>
        <w:rPr>
          <w:rFonts w:ascii="Arial" w:cs="Arial" w:eastAsia="Arial" w:hAnsi="Arial"/>
          <w:sz w:val="16"/>
          <w:szCs w:val="16"/>
          <w:color w:val="000000"/>
        </w:rPr>
        <w:t>e have</w:t>
      </w:r>
      <w:r>
        <w:rPr>
          <w:rFonts w:ascii="Arial" w:cs="Arial" w:eastAsia="Arial" w:hAnsi="Arial"/>
          <w:sz w:val="16"/>
          <w:szCs w:val="16"/>
          <w:color w:val="333333"/>
        </w:rPr>
        <w:t xml:space="preserve"> </w:t>
      </w:r>
      <w:r>
        <w:rPr>
          <w:rFonts w:ascii="Arial" w:cs="Arial" w:eastAsia="Arial" w:hAnsi="Arial"/>
          <w:sz w:val="16"/>
          <w:szCs w:val="16"/>
          <w:color w:val="000000"/>
        </w:rPr>
        <w:t>filed and are pursuing several patent applications in Europe, the U.S. and other selected regions. Several of these patent applications have already been granted or allowed, on both (i) certain novel therapeutic methods of use of AV-101, including depression, and (ii) certain novel methods of producing AV-101. In Europe, the European Patent Office (</w:t>
      </w:r>
      <w:r>
        <w:rPr>
          <w:rFonts w:ascii="Arial" w:cs="Arial" w:eastAsia="Arial" w:hAnsi="Arial"/>
          <w:sz w:val="16"/>
          <w:szCs w:val="16"/>
          <w:i w:val="1"/>
          <w:iCs w:val="1"/>
          <w:color w:val="000000"/>
        </w:rPr>
        <w:t>EPO</w:t>
      </w:r>
      <w:r>
        <w:rPr>
          <w:rFonts w:ascii="Arial" w:cs="Arial" w:eastAsia="Arial" w:hAnsi="Arial"/>
          <w:sz w:val="16"/>
          <w:szCs w:val="16"/>
          <w:color w:val="000000"/>
        </w:rPr>
        <w:t>) recently granted our patent related to methods of treating depression with AV-101 and certain other neurological indications. In the U.S. and other selected regional markets, we are currently pursuing a counterpart AV-101 patent application similar to the patent granted by the EPO. Although the U.S. Patent and Trademark Office (</w:t>
      </w:r>
      <w:r>
        <w:rPr>
          <w:rFonts w:ascii="Arial" w:cs="Arial" w:eastAsia="Arial" w:hAnsi="Arial"/>
          <w:sz w:val="16"/>
          <w:szCs w:val="16"/>
          <w:i w:val="1"/>
          <w:iCs w:val="1"/>
          <w:color w:val="000000"/>
        </w:rPr>
        <w:t>USPTO</w:t>
      </w:r>
      <w:r>
        <w:rPr>
          <w:rFonts w:ascii="Arial" w:cs="Arial" w:eastAsia="Arial" w:hAnsi="Arial"/>
          <w:sz w:val="16"/>
          <w:szCs w:val="16"/>
          <w:color w:val="000000"/>
        </w:rPr>
        <w:t>) has not yet allowed the counterpart application filed in the U.S., we believe that our counterpart patent applications under review by the USPTO and other countries ultimately will be granted.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U.S., Europe and other selected regional markets, we are also prosecuting patent applications related to novel methods of producing AV-101. The USPTO recently granted a patent covering our manufacturing process and the Chinese counterpart has also been granted. We have submitted a counterpart application to the EPO, which has not yet been approved. However, given that the USPTO has granted a patent in the U.S., we believe our counterpart patent application at the EPO ultimately will be granted.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33333"/>
        </w:rPr>
        <w:t xml:space="preserve">The USPTO has also recently issued a patent related to </w:t>
      </w:r>
      <w:r>
        <w:rPr>
          <w:rFonts w:ascii="Arial" w:cs="Arial" w:eastAsia="Arial" w:hAnsi="Arial"/>
          <w:sz w:val="18"/>
          <w:szCs w:val="18"/>
          <w:color w:val="000000"/>
        </w:rPr>
        <w:t>methods for producing, from human pluripotent stem cells (hPSCs), hematopoietic precursor stem cells,</w:t>
      </w:r>
      <w:r>
        <w:rPr>
          <w:rFonts w:ascii="Arial" w:cs="Arial" w:eastAsia="Arial" w:hAnsi="Arial"/>
          <w:sz w:val="18"/>
          <w:szCs w:val="18"/>
          <w:color w:val="333333"/>
        </w:rPr>
        <w:t xml:space="preserve"> </w:t>
      </w:r>
      <w:r>
        <w:rPr>
          <w:rFonts w:ascii="Arial" w:cs="Arial" w:eastAsia="Arial" w:hAnsi="Arial"/>
          <w:sz w:val="18"/>
          <w:szCs w:val="18"/>
          <w:color w:val="000000"/>
        </w:rPr>
        <w:t>which are stem cells that give rise to all of the blood cells and most of the bone marrow cells in the body. VistaGen holds an exclusive license to this patent from the University Health Network (</w:t>
      </w:r>
      <w:r>
        <w:rPr>
          <w:rFonts w:ascii="Arial" w:cs="Arial" w:eastAsia="Arial" w:hAnsi="Arial"/>
          <w:sz w:val="18"/>
          <w:szCs w:val="18"/>
          <w:i w:val="1"/>
          <w:iCs w:val="1"/>
          <w:color w:val="000000"/>
        </w:rPr>
        <w:t>UHN</w:t>
      </w:r>
      <w:r>
        <w:rPr>
          <w:rFonts w:ascii="Arial" w:cs="Arial" w:eastAsia="Arial" w:hAnsi="Arial"/>
          <w:sz w:val="18"/>
          <w:szCs w:val="18"/>
          <w:color w:val="000000"/>
        </w:rPr>
        <w:t>). The technology covered by the patent has the potential to impact both direct and supportive therapy for autoimmune disorders and cancer, with CAR-T cell applications, and foundational technology which may provide approaches for producing bone marrow stem cells for bone marrow transfusions.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December 2017, we completed an underwritten public offering, resulting in gross proceeds of $15.0 million, during which we offered and sold shares of our common stock and warrants to purchase shares of our common stock at a combined public offering price of $1.50 per share and related warrant (the </w:t>
      </w:r>
      <w:r>
        <w:rPr>
          <w:rFonts w:ascii="Arial" w:cs="Arial" w:eastAsia="Arial" w:hAnsi="Arial"/>
          <w:sz w:val="16"/>
          <w:szCs w:val="16"/>
          <w:i w:val="1"/>
          <w:iCs w:val="1"/>
          <w:color w:val="auto"/>
        </w:rPr>
        <w:t>December</w:t>
      </w:r>
      <w:r>
        <w:rPr>
          <w:rFonts w:ascii="Arial" w:cs="Arial" w:eastAsia="Arial" w:hAnsi="Arial"/>
          <w:sz w:val="16"/>
          <w:szCs w:val="16"/>
          <w:color w:val="auto"/>
        </w:rPr>
        <w:t xml:space="preserve"> </w:t>
      </w:r>
      <w:r>
        <w:rPr>
          <w:rFonts w:ascii="Arial" w:cs="Arial" w:eastAsia="Arial" w:hAnsi="Arial"/>
          <w:sz w:val="16"/>
          <w:szCs w:val="16"/>
          <w:i w:val="1"/>
          <w:iCs w:val="1"/>
          <w:color w:val="auto"/>
        </w:rPr>
        <w:t>2017 Public Offering</w:t>
      </w:r>
      <w:r>
        <w:rPr>
          <w:rFonts w:ascii="Arial" w:cs="Arial" w:eastAsia="Arial" w:hAnsi="Arial"/>
          <w:sz w:val="16"/>
          <w:szCs w:val="16"/>
          <w:color w:val="auto"/>
        </w:rPr>
        <w:t>). We issued an aggregate of 10,000,000 shares of our common stock and warrants to purchase up to 10,000,000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 an exercise price of $1.50 per share (the </w:t>
      </w:r>
      <w:r>
        <w:rPr>
          <w:rFonts w:ascii="Arial" w:cs="Arial" w:eastAsia="Arial" w:hAnsi="Arial"/>
          <w:sz w:val="16"/>
          <w:szCs w:val="16"/>
          <w:i w:val="1"/>
          <w:iCs w:val="1"/>
          <w:color w:val="auto"/>
        </w:rPr>
        <w:t>December 2017 Offering Warrants</w:t>
      </w:r>
      <w:r>
        <w:rPr>
          <w:rFonts w:ascii="Arial" w:cs="Arial" w:eastAsia="Arial" w:hAnsi="Arial"/>
          <w:sz w:val="16"/>
          <w:szCs w:val="16"/>
          <w:color w:val="auto"/>
        </w:rPr>
        <w:t xml:space="preserve">). The December 2017 Offering Warrants are exercisable at any time through December 13, 2022, and do not contain any cashless exercise features as long as our Registration Statement on Form S-1 (Registration No. 333-221009) (the </w:t>
      </w:r>
      <w:r>
        <w:rPr>
          <w:rFonts w:ascii="Arial" w:cs="Arial" w:eastAsia="Arial" w:hAnsi="Arial"/>
          <w:sz w:val="16"/>
          <w:szCs w:val="16"/>
          <w:i w:val="1"/>
          <w:iCs w:val="1"/>
          <w:color w:val="auto"/>
        </w:rPr>
        <w:t>S-1</w:t>
      </w:r>
      <w:r>
        <w:rPr>
          <w:rFonts w:ascii="Arial" w:cs="Arial" w:eastAsia="Arial" w:hAnsi="Arial"/>
          <w:sz w:val="16"/>
          <w:szCs w:val="16"/>
          <w:color w:val="auto"/>
        </w:rPr>
        <w:t>) is effective. We received net proceeds of approximately $13.6 million from the December 2017 Public Offering, after deducting underwriter’s commission and other expenses related to the offering. The common stock and the shares of common stock underlying the December 2017 Offering Warrants issued in the December 2017 Public Offering were offered, issued and sold pursuant to the S-1.</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September 2017, we completed an underwritten public offering, pursuant to which we sold 1,371,430 shares of our common stock and Series A1 Warrants to purchase up to 1,388,931 shares of common stock and Series A2 Warrants to purchase up to 503,641 shares of common stock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xml:space="preserve">), each initially exercisable for $1.82 per share to two of our existing institutional investors, resulting in net proceeds of approximately $2.0 million (the </w:t>
      </w:r>
      <w:r>
        <w:rPr>
          <w:rFonts w:ascii="Arial" w:cs="Arial" w:eastAsia="Arial" w:hAnsi="Arial"/>
          <w:sz w:val="16"/>
          <w:szCs w:val="16"/>
          <w:i w:val="1"/>
          <w:iCs w:val="1"/>
          <w:color w:val="auto"/>
        </w:rPr>
        <w:t>September 2017</w:t>
      </w:r>
      <w:r>
        <w:rPr>
          <w:rFonts w:ascii="Arial" w:cs="Arial" w:eastAsia="Arial" w:hAnsi="Arial"/>
          <w:sz w:val="16"/>
          <w:szCs w:val="16"/>
          <w:color w:val="auto"/>
        </w:rPr>
        <w:t xml:space="preserve"> </w:t>
      </w:r>
      <w:r>
        <w:rPr>
          <w:rFonts w:ascii="Arial" w:cs="Arial" w:eastAsia="Arial" w:hAnsi="Arial"/>
          <w:sz w:val="16"/>
          <w:szCs w:val="16"/>
          <w:i w:val="1"/>
          <w:iCs w:val="1"/>
          <w:color w:val="auto"/>
        </w:rPr>
        <w:t>Public Offering</w:t>
      </w:r>
      <w:r>
        <w:rPr>
          <w:rFonts w:ascii="Arial" w:cs="Arial" w:eastAsia="Arial" w:hAnsi="Arial"/>
          <w:sz w:val="16"/>
          <w:szCs w:val="16"/>
          <w:color w:val="auto"/>
        </w:rPr>
        <w:t>). The Series A1 Warrants will be exercisable for a five-year period commencing on March 7, 2018, and the Series A2 Warrants are exercisable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and expire on September 6, 2022. The common stock and the shares of common stock underlying the Warrants issued in the September 2017 Public Offering were sold pursuant to our effective Registration Statement on Form S-3 (Registration No. 333-215671) to cover this and potential future sales of our equity securities in one or more public offerings from time to time. Consistent with the anti-dilution protection provisions of the Series A2 Warrants, the exercise price of such warrants was reduced upon the closing of the December 2017 Public Offering. At the date of this Report, all of the Series A2 Warrants have been exercised at the reset exercise price as a result of the December 2017 Public Offering. Following these exercises, none of our outstanding warrants have down round anti-dilution protection features.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nine months ended December 31, 2017, we entered into self-placed private placement transactions with individual accredited investors, pursuant to which we sold units consisting of an aggregate of 616,323 shares of our unregistered common stock and, after adjustments, warrants which are not exercisable until six months and one day following issuance and expire between April 30, 2021 and November 30, 2022, to purchase an aggregate of 616,323 unregistered shares of our common stock at a weighted average fixed exercise price of approximately $2.00 per share. We received aggregate cash proceeds of approximately $1.1 million in these self-placed private placement transactions.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2017, we appointed </w:t>
      </w:r>
      <w:r>
        <w:rPr>
          <w:rFonts w:ascii="Arial" w:cs="Arial" w:eastAsia="Arial" w:hAnsi="Arial"/>
          <w:sz w:val="18"/>
          <w:szCs w:val="18"/>
          <w:color w:val="333333"/>
        </w:rPr>
        <w:t>Mark Wallace, M.D., Distinguished Professor of Clinical Anesthesiology at the University of California, San Diego, to our Clinical</w:t>
      </w:r>
      <w:r>
        <w:rPr>
          <w:rFonts w:ascii="Arial" w:cs="Arial" w:eastAsia="Arial" w:hAnsi="Arial"/>
          <w:sz w:val="18"/>
          <w:szCs w:val="18"/>
          <w:color w:val="auto"/>
        </w:rPr>
        <w:t xml:space="preserve"> </w:t>
      </w:r>
      <w:r>
        <w:rPr>
          <w:rFonts w:ascii="Arial" w:cs="Arial" w:eastAsia="Arial" w:hAnsi="Arial"/>
          <w:sz w:val="18"/>
          <w:szCs w:val="18"/>
          <w:color w:val="333333"/>
        </w:rPr>
        <w:t>and Regulatory Advisory Board to assist us in advancing development of AV-101 as a potential non-opioid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2017 and 2016</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results of our operations, including both cash and noncash components, for the three months ended December 31, 2017 and 2016 (amounts in thousands).</w:t>
      </w:r>
    </w:p>
    <w:p>
      <w:pPr>
        <w:spacing w:after="0" w:line="180"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Three Months Ended December</w:t>
      </w:r>
    </w:p>
    <w:p>
      <w:pPr>
        <w:spacing w:after="0" w:line="4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accounts payable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(3,005)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Deemed dividend from trigger of down round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60"/>
              <w:spacing w:after="0"/>
              <w:rPr>
                <w:sz w:val="20"/>
                <w:szCs w:val="20"/>
                <w:color w:val="auto"/>
              </w:rPr>
            </w:pPr>
            <w:r>
              <w:rPr>
                <w:rFonts w:ascii="Arial" w:cs="Arial" w:eastAsia="Arial" w:hAnsi="Arial"/>
                <w:sz w:val="18"/>
                <w:szCs w:val="18"/>
                <w:color w:val="auto"/>
              </w:rPr>
              <w:t>provision feature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$1.25 million in sublicense revenue pursuant to the BlueRock Therapeutics Agreement in the quarter ended December 31, 2016. While we may potentially receive additional payments and royalties under the BlueRock Therapeutics Agreement in the future, in the event certain performance-based milestones and commercial sales are achieved, we reported no revenue for the quarter ended December 31, 2017 and we presently have no recurring revenue generating arrangements with respect to AV-101 or other potential product candidates. There can be no assurance that the BlueRock Agreement will provide additional revenue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including both cash and noncash components, totaled $1.6 million for each of the quarters ended December 31, 2017 and 2016. Noncash expenses, including stock compensation, depreciation and a portion of rent expense in both periods and a portion of AV-101 project expenses in the quarter ended December 31, 2017, totaled approximately $385,000 and $215,000 for the quarters ended December 31, 2017 and 2016, respectively. While total research and development expense remains essentially unchanged, we have continued our focus on nonclinical and clinical development of AV-101, particularly our preparations for the launch of the AV-101 MDD Phase 2 Adjunctive Treatment Study, which is currently anticipated in the first quarter of 2018. The following table indicates the primary components of research and development expense for each of the periods (amounts in thousands):</w:t>
      </w:r>
    </w:p>
    <w:p>
      <w:pPr>
        <w:spacing w:after="0" w:line="168"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 including UHN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salaries and benefits expense reflects the impact of modest salary increases granted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and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in July 2017 and to the non-officer members of our scientific staff in June 2017 and to bonus payments made to scientific staff members in December 2017, offset by the impact of a staff position terminated in April 2017.</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Noncash stock-based compensation expense increased in the current period primarily from the routine amortization of option grants made to our CSO, CMO and scientific staff in September 2017, April 2017 and November 2016. Grants awarded after December 2016 account for approximately $199,000 of 2017 expense. Expense attributable to these grants is generally being amortized over two-year to four-year vesting periods, based on the terms of the respective grants. Additionally, substantially all option grants made prior to September 2015 were fully-vested and fully-expensed prior to June 30, 2017.</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the current period primarily reflects the change in terms of consulting agreements with our stem cell-related scientific advisory board members. Consulting expense in 2016 reflected the impact of the rationalization of the agreements and accruals related to such advisory board members.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 Technology license-related expense for 2016 also includes net expense of $158,000 related to the sublicense consideration paid to UHN pursuant to the BlueRock Therapeutics Agreement plus additional fees and expenses related to two new stem cell technology related licenses acquired from UHN, net of amounts previously accrued in connection with our prior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UHN, and $55,000 representing the fair value of a warrant granted to intellectual property counsel as partial compensation for services.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AV-101 project expenses for the quarters ended December 31, 2017 and 2016 include continuing costs incurred to develop more efficient and cost-effective proprietary manufacturing methods for AV-101, and to produce clinical trial material for the AV-101 MDD Phase 2 Adjunctive Treatment Study, as well as costs incurred for certain other nonclinical studies to facilitate further clinical development of AV-101 in MDD and potentially for other indications, and to comply with applicable FDA regulations. We expect these expenses to increase materially over the next several quarters as we initiate and conduct the AV-101 MDD Phase 2 Adjunctive Treatment Study. AV-101 expenses in 2016 also included initial costs for preparation of the IND and trial protocol submission to the FDA to obtain approval for the AV-101 MDD Phase 2 Adjunctive Treatment Study. Stem cell and other project related expenses reflects costs associated with our in-house stem cell technology-related initiatives in both years, and, in 2016, our participation in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project.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the quarter ended December 31,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General and administrative expense, including both cash and noncash components, decreased by 44% to approximately $1.3 million from $2.3 million for the quarters ended December 31, 2017 and 2016, respectively. Noncash expense accounted for approximately $485,000 and $1,486,000 for the quarters ended December 31, 2017 and 2016, respectively, including, in both periods, stock compensation expense, a portion of investor relations and investment banking expenses, warrant modification expense, and a portion of rent expense. The overall decrease in general and administrative expenses resulted primarily from decreased professional services expenses, notably attributable to a decrease in noncash expense attributable to grants of common stock for services, a decrease in noncash warrant modification expense, partially offset by increased salary and benefits and noncash stock compensation expenses. The following table indicates the primary components of general and administrative expenses, including the cash and noncash components, for each of the periods (amounts in thousands):</w:t>
      </w:r>
    </w:p>
    <w:p>
      <w:pPr>
        <w:spacing w:after="0" w:line="153"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salaries and benefits primarily reflects the impact of modest salary increases granted in July 2017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and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in January 2017 and July 2017 to our Vice President-Corporate Development (</w:t>
      </w:r>
      <w:r>
        <w:rPr>
          <w:rFonts w:ascii="Arial" w:cs="Arial" w:eastAsia="Arial" w:hAnsi="Arial"/>
          <w:sz w:val="18"/>
          <w:szCs w:val="18"/>
          <w:i w:val="1"/>
          <w:iCs w:val="1"/>
          <w:color w:val="auto"/>
        </w:rPr>
        <w:t>VP-Corporate Development</w:t>
      </w:r>
      <w:r>
        <w:rPr>
          <w:rFonts w:ascii="Arial" w:cs="Arial" w:eastAsia="Arial" w:hAnsi="Arial"/>
          <w:sz w:val="18"/>
          <w:szCs w:val="18"/>
          <w:color w:val="auto"/>
        </w:rPr>
        <w:t>) and, in June 2017, to a non-officer member of our administrative staff as well as bonus payments in December 2017 to our VP-Corporate Development and an administrative staff member.</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option grants to independent members of our Board and our CEO, CFO, VP Corporate Development and administrative staff in September 2017, April 2017 and November 2016, plus the new-hire grant made to our VP-Corporate Development in September 2016. Grants awarded after December 2016 account for approximately $274,000 of 2017 expense. Expense attributable to these grants is generally being amortized over a two-year to four-year vesting period, based on the terms of the respective grants. Additionally, substantially all option grants made prior to September 2015 were fully-vested and fully-expensed prior to June 30, 2017.</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The Board modified committee assignments effective in April 2017, resulting in the slight increase in current year expense.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Legal, accounting and other professional fees for the quarters ended December 31, 2017 and 2016 includes cash expense related to routine legal services as well as accounting expense related to the review of the financial statements for the third quarter of each fiscal year. Other professional fees for the quarter ended December 31, 2016 additionally included noncash expense related to grants of an aggregate of 220,000 unregistered shares of our common stock valued on the respective grant dates at an aggregate of $862,800 plus aggregate cash payments of $80,000 to investment professionals for financial advisory and corporate development services.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quarters ended December 31, 2017 and 2016, in addition to cash fees and expenses we incurred, we granted an aggregate of 70,000 and 35,000 unregistered shares of our common stock, respectively, to certain investor relations, market awareness and strategic business advisory service providers for their services and recognized noncash expense of $84,000 and $137,800, respectively, representing the fair value of the stock at the time of issuance.</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and partnering initiatives. Travel expenses for the quarter ended December 31, 2017 were primarily related to advancing the consummation of the December 2017 Public Offering.</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the quarter ended December 31, 2017 reflects higher commercial property rents prevalent in the South San Francisco real estate market and recognized in our November 2016 lease amendment extending the lease of our headquarters facilities by five years from July 31, 2017 to July 31, 2022 and the related accounting for the extension amendment.</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quarter ended December 31, 2017, we modified outstanding warrants issued in private placement transactions between August 2017 and November 2017 to purchase an aggregate of 178,572 shares of our common stock to reduce the exercise prices from a weighted average of $2.32 per share to a weighted average of $1.58 per share. We recognized the calculated increase in the fair value of the warrants, $13,000, as noncash warrant modification expense. During the quarter ended December 31, 2016, we entered into warrant exchange agreements with certain warrant holders pursuant to which the warrant holders exchanged outstanding warrants to purchase an aggregate of 163,044 shares of our common stock for an aggregate of 110,008 shares of our unregistered common stock. We accounted for these transactions as warrant modifications, resulting in our recognition of $293,300 in noncash expense in the quarter ended December 31, 2016. During that quarter we also modified an outstanding warrant to reduce the exercise price from $8.00 per share to $3.51 per share and increase the number of shares exercisable under the warrant from 25,000 shares to 50,000 shares, recognizing $76,900 in noncash expense as the incremental fair value attributable to the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totaled $2,000 for the quarter ended December 31, 2017 compared to $900 reported for the quarter ended December 31, 2016. Interest expense in both periods relates to interest paid on insurance premium financing and on a capital lease of office equipment.</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2017, we issued 500,000 unregistered shares of our common stock having a fair value at the time of issuance of $585,000 and a cash payment of $76,500 to a contract manufacturing organization in settlement of $526,500 of open accounts payable. We recognized a corresponding loss on settlement of accounts payable in the amount of $135,000 for the quarter.</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recognized $263,000 and $237,700 for the quarters ended December 31, 2017 and 2016, respectively, representing the 10% cumulative dividend payable on our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our Series B Preferred stock into shares of our common stock since August 2016.</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sale of units consisting of common stock and warrants in the December 2017 Public Offering at an offering price of $1.50 per unit triggered the anti-dilution provisions of the Series A2 Warrants to purchase an aggregate of 503,641 shares of our common stock issued in the September 2017 Public Offering. In accordance with the anti-dilution terms and formula contained in the Series A2 warrants, the exercise price of the Series A2 Warrants was reduced from the initial exercise price of $1.82 per share to $0.001 per share. We recognized the effect of triggering the down round feature, $199,200, as a further addition to net loss attributable to common stockholders and in our calculation of basic and fully diluted earnings per share in our accompanying Condensed Consolidated Statement of Operations and Comprehensive Loss and as a dividend in our Condensed Consolidated Statement of Stockholders’ Equity included in Part I of this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December 31, 2017 and 2016</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summarizes the results of our operations, including both cash and noncash components, for the nine months ended December 31, 2017 and 2016 (amounts in thousands).</w:t>
      </w:r>
    </w:p>
    <w:p>
      <w:pPr>
        <w:spacing w:after="0" w:line="180"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accounts payable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(10,265)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Deemed dividend from trigger of down round</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60"/>
              <w:spacing w:after="0"/>
              <w:rPr>
                <w:sz w:val="20"/>
                <w:szCs w:val="20"/>
                <w:color w:val="auto"/>
              </w:rPr>
            </w:pPr>
            <w:r>
              <w:rPr>
                <w:rFonts w:ascii="Arial" w:cs="Arial" w:eastAsia="Arial" w:hAnsi="Arial"/>
                <w:sz w:val="18"/>
                <w:szCs w:val="18"/>
                <w:color w:val="auto"/>
              </w:rPr>
              <w:t>provision feature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Deemed dividend on Series B Preferred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(11,233)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$1.25 million in sublicense revenue pursuant to the BlueRock Therapeutics Agreement in the nine months ended December 31, 2016. While we may potentially receive additional payments and royalties under the BlueRock Therapeutics Agreement in the future, in the event certain performance-based milestones and commercial sales are achieved, we reported no revenue for the nine months ended December 31, 2017 and we presently have no recurring revenue generating arrangements with respect to AV-101 or other potential product candidates. There can be no assurance that the BlueRock Agreement will provide additional revenue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including both cash and noncash components, totaled $5.1 million for the nine months ended December 31, 2017, an increase of approximately 27% compared to the $4.0 million reported for the nine months ended December 31, 2016. Noncash expenses totaled approximately $1,228,000 and $346,000 in the nine months ended December 31, 2017 and 2016, respectively, including stock compensation, depreciation and a portion of rent expense in both periods, and a portion of AV-101 project expenses in the nine months ended December 31, 2017. The increase in research and development expense in 2017 reflects our continued focus on nonclinical and clinical development of AV-101, particularly our preparations for the launch of the AV-101 MDD Phase 2 Adjunctive Treatment Study, which is currently anticipated in the first quarter of 2018. The following table indicates the primary cash and noncash components of research and development expense for each of the periods (amounts in thousands):</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salaries and benefits reflects the hiring of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in June 2016, and a salary increase granted to our CMO in July 2017, as well as salary increases granted to our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to the non-officer members of our scientific staff in June 2016 and June 2017, offset by the impact of a staff position terminated in April 2017. Additionally, our then-newly-hired CMO did not receive a bonus in July 2016; however, both our CMO and CSO were granted a bonus in September 2017.</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based compensation expense increased in the current period primarily as a result of the routine amortization of option grants made to our CSO, CMO and scientific staff in September 2017, April 2017 and November 2016, plus the new-hire grant made to our CMO in June 2016. Grants awarded after December 2016 account for approximately $279,000 of 2017 expense. The expense attributable to these grants is generally being amortized over a two-year to four-year vesting period, based on the terms of the respective grants. Substantially all option grants made prior to September 2015 were fully-vested and fully-expensed prior to June 30, 2017.</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2017 primarily reflects the change in terms of consulting agreements with our stem cell-related scientific advisory board members. Consulting expense in 2016 reflected the impact of the rationalization of the agreements and accruals related to such advisory board members.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Technology license expense in both periods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also includes legal counsel and other costs we have incurred to advance numerous pending or now-granted patent applications in the U.S. and various foreign countries with respect to AV-101 and our stem cell technology platform. Technology license-related expense for 2016 also includes net expense of $158,000 related to the sublicense consideration paid to UHN pursuant to the BlueRock Therapeutics Agreement plus additional fees and expenses related to two new stem cell technology related licenses acquired from UHN, net of amounts previously accrued in connection with our prior SRCA with UHN, and $55,000 representing the fair value of a warrant granted to intellectual property counsel as partial compensation for services.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AV-101 project expense for both periods includes costs incurred to develop more efficient and cost-effective proprietary manufacturing methods for AV-101, and to produce clinical trial material enabling the AV-101 MDD Phase 2 Adjunctive Treatment Study, and, primarily in 2017, costs incurred for certain other nonclinical studies to facilitate further clinical development of AV-101 in MDD and potentially for other indications and to comply with applicable FDA regulations. We expect these expenses to increase materially over the next several quarters as we initiate and conduct the AV-101 MDD Phase 2 Adjunctive Treatment Study. Stem cell and other project related expenses reflects costs associated with our in-house stem cell technology-related initiatives, and, to a greater extent in 2016, our participation in the FDA’s CiPA project.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 and administrative expense, including both cash and noncash components, increased approximately 2% to $5.0 million for the nine months ended December 31, 2017 from $4.9 million for the nine months ended December 31, 2016. Noncash expense accounted for approximately $2.2 million and $2.5 million for the nine months ended December 31, 2017 and 2016, respectively, including, in both periods, stock compensation expense, a portion of investor relations and professional services expenses, warrant modification expense, and a portion of rent expense. The overall increase in general and administrative expenses was primarily attributable to increased salary and benefits expense and noncash stock compensation and investor relations expenses, offset by reductions in professional services and noncash warrant modification expenses. The following table indicates the primary components of general and administrative expenses, including noncash components, for each of the periods (amounts in thousands):</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5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salaries and benefits reflects the impact of the hiring of our VP-Corporate Development in September 2016 and salary increases granted in June 2016 and July 2017 to our CEO and CFO, and in June 2016 and June 2017 to a non-officer member of our administrative staff. Additionally, each of our officers was granted a bonus in September 2017, but our VP-Corporate Development had not yet joined the Company in July 2016, when our CEO and CFO received a bonus payment.</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Stock based compensation expense increased in 2017 primarily as a result of the routine amortization of option grants to independent members of our Board of Directors and our CEO, CFO, VP-Corporate Development and administrative staff in September 2017, April 2017 and November 2016, plus the new-hire grant made to our VP-Corporate Development in September 2016. Grants awarded after December 2016 account for approximately $383,000 of 2017 expense. The expense attributable to these grants is generally being amortized over a two-year to four-year vesting period based on the terms of the respective grants. Substantially all option grants made prior to September 2015 were fully-vested and fully-expensed prior to June 30, 2017.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The Board modified committee assignments effective in April 2017, resulting in the modest increase in expense.</w:t>
      </w:r>
    </w:p>
    <w:p>
      <w:pPr>
        <w:spacing w:after="0" w:line="18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Legal, accounting and other professional fees for the nine months ended December 31, 2017 and 2016 includes expense related to routine legal services as well as the accounting expense related to the annual audit of the prior year’s financial statements, tax return preparation and the review of the financial statements for the first three quarters of the current fiscal year. In addition to cash fees incurred, during the nine months ended December 31, 2017, we granted an aggregate of 20,000 unregistered shares of our common stock having an aggregate fair value of $30,800 to legal services providers as partial compensation for services and an aggregate of 150,000 unregistered shares of our common stock having an aggregate fair value of $234,000 to two investment banking firms pursuant to financial advisory agreements. Noncash expense for the nine months ended December 31, 2016 included (i) $337,500 recognized in the quarter ended June 30, 2016 pursuant to the June 30, 2015 grant of an aggregate of 90,000 shares of our Series B 10% convertible preferred stock having an aggregate fair value of $1,350,000 as compensation for financial advisory and corporate development service contracts with two independent providers for services to be performed through June 30, 2016; (ii) $108,500 recognized in the quarter ended September 30, 2016 representing the fair value of 25,000 unregistered shares of our common stock granted to a legal services provider as compensation for services; and (iii) $862,800 recognized in the quarter ended December 31, 2016 representing the fair value of 220,000 unregistered shares of our common stock granted as compensation for financial advisory, investment banking and business development services.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nine months ended December 31, 2017, in addition to cash fees and expenses we incurred, we granted an aggregate of 552,000 shares of our unregistered common stock to various corporate development, investor relations, market awareness and business advisory service providers as full or partial compensation for their services and recognized noncash expense totaling $847,300, representing the fair value of the stock at the time of issuance. In the nine months ended December 31, 2016, in addition to cash fees and expenses we incurred, we granted an aggregate of 60,000 unregistered shares of our common stock to three investor relations and investor awareness service providers as partial compensation for their services and recognized noncash expense of $246,300, representing the fair value of the stock at the time of issuance. During the same period in 2016, we also granted three-year, immediately exercisable warrants to purchase an aggregate of 75,000 shares of our unregistered common stock at exercise prices ranging from $4.50 per share to $6.00 per share to three investor relations service providers and recognized non-cash expense of $172,300 representing the fair value of the warrants at the time of issuance.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September 2017, we reduced the exercise price of 247,500 warrants issued in the Spring 2017 Private Placement from a weighted average exercise price of $3.99 per share to $2.00 per share. We also issued to each of the Spring 2017 Private Placement investors additional warrants to purchase an aggregate total of 247,501 shares of common stock, with an exercise price of $2.00 per share. We recognized noncash expense of $279,700 in the quarter ended September 30, 2017, representing the increase in fair value of the warrants granted initially before and after the modification and the fair value of the additional warrants granted. In December 2017, we modified outstanding warrants issued in private placement transactions between August 2017 and November 2017 to purchase an aggregate of 178,572 shares of our common stock to reduce the exercise prices from a weighted average of $2.32 per share to a weighted average of $1.58 per share. We recognized the increase in the fair value of the warrants, $13,000, as noncash warrant modification expense in the quarter ended December 31, 2017. Between April 2016 and December 2016, we entered into warrant exchange agreements with certain warrant holders pursuant to which the warrant holders exchanged outstanding warrants to purchase an aggregate of 224,513 shares of our common stock for an aggregate of 156,246 shares of our unregistered common stock. We accounted for these transactions as warrant modifications, resulting in our recognition of an aggregate of $350,700 in noncash expense attributable to the increase in fair value related to the warrant exchanges during the nine-month period ended December 31, 2016. Further, in December 2016, we modified an outstanding warrant to reduce the exercise price from $8.00 per share to $3.51 per share and increase the number of shares exercisable under the warrant from 25,000 shares to 50,000 shares, recognizing $76,900 in expense in the quarter then ended as the incremental fair value attributable to the modification.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totaled $7,700 for the nine months ended December 31, 2017 compared to $3,700 for the nine months ended December 31, 2017. Interest expense in both periods relates to interest paid on insurance premium financing and on a capital lease of office equipment.</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2017, we issued 500,000 unregistered shares of our common stock having a fair value at the time of issuance of $585,000 and a cash payment of $76,500 to a contract manufacturing organization in settlement of $526,500 of open accounts payable. We recognized a corresponding loss on settlement of accounts payable in the amount of $135,000 for the quarter.</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$766,600 and $1,018,500 for the nine months ended December 31, 2017 and 2016, respectively, representing the 10% cumulative noncash dividend payable on our Series B Preferred as an additional deduction in arriving at net loss attributable to common stockholders in the accompanying Condensed Consolidated Statement of Operations and Comprehensive Loss included in Part I of this Report. The reduction in the dividend accrual results from the automatic conversion of an aggregate of 2,403,051 shares of Series B Preferred into an equal number of shares of our common stock upon our completion of our May 2016 public offering of shares of our common stock and warrants, and a subsequent voluntary conversion of 87,500 shares of our Series B Preferred in August 2016. There have been no conversions of outstanding shares of Series B Preferred into common shares since August 2016.</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sale of units consisting of common stock and warrants in the December 2017 Public Offering at an offering price of $1.50 per unit triggered the anti-dilution provisions of the Series A2 Warrants to purchase an aggregate of 503,641 shares of our common stock issued in the September 2017 Public Offering. In accordance with the anti-dilution terms and formula contained in the Series A2 warrants, the exercise price of the Series A2 Warrants was reduced from the initial exercise price of $1.82 per share to $0.001 per share. We recognized the effect of triggering the down round feature, $199,200, as a further addition to net loss attributable to common stockholders and in our calculation of basic and fully diluted earnings per share in our accompanying Condensed Consolidated Statement of Operations and Comprehensive Loss and as a dividend in our Condensed Consolidated Statement of Stockholders’ Equity included in Part I of this Report.</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quarter ended June 30, 2016, we allocated the proceeds from our self-placed private placement sales of Series B Preferred Units to the Series B Preferred stock and the Series B Warrants based on their relative fair values on the dates of the sales. The difference between the relative fair value per share of the Series B Preferred, approximately $4.20 per share, and its Conversion Price (or stated value) of $7.00 per share represented a deemed dividend to the purchasers of the Series B Preferred Units. Accordingly, we recognized a deemed dividend in the aggregate amount of $111,100 in arriving at net loss attributable to common stockholders for the nine months ended December 31, 2016 in the accompanying Condensed Consolidated Statement of Operations and Comprehensive Loss included in Part I of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our inception in May 1998 through December 31, 2017, we have financed our operations and technology acquisitions primarily through the issuance and sale of our equity and debt securities, including convertible promissory notes and short-term promissory notes, for cash proceeds of approximately $61.4 million, as well as from an aggregate of approximately $17.6 million of government research grant awards, strategic collaboration payments, intellectual property sublicensing and other revenues. We have also issued equity securities with an approximate aggregate value at issuance of $35.6 million in non-cash settlements of certain liabilities, including liabilities for professional services rendered to us or as compensation for such services. Additionally, pursuant to our CRADA with the NIH, the NIMH continues to conduct Phase 2 clinical development activities relating to AV-101 as a potential new generation antidepressant. The NIMH AV-101 MDD Phase 2 Monotherapy Study is being sponsored in full, at no cost to us other than supplying clinical trial material, by the NIMH under the direction of Dr. Carlos Zarate Jr. as Principal Investigator.</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December 2017, we completed the December 2017 Public Offering, resulting in gross proceeds of $15.0 million, during which we offered and sold shares of our common stock and warrants to purchase shares of our common stock at a combined public offering price of $1.50 per share and related warrant. We issued an aggregate of 10,000,000 shares of our common stock and December 2017 Offering Warrants to purchase up to 10,000,000 shares of our common stock at an exercise price of $1.50 per share. The December 2017 Offering Warrants are exercisable at any time through December 13, 2022, and do not contain any cashless exercise features as long as our Registration Statement on Form S-1 (Registration No. 333-221009) is effective. We received net proceeds of approximately $13.6 million from the December 2017 Public Offering, after deducting underwriter’s commission and other expenses related to the offering. The common stock and the shares of common stock underlying the December 2017 Offering Warrants issued in the December 2017 Public Offering were offered, issued and sold pursuant to the S-1.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September 2017, we completed the September 2017 Public Offering, pursuant to which we sold 1,371,430 shares of our common stock and Series A1 Warrants to purchase up to 1,388,931 shares of common stock and Series A2 Warrants to purchase up to 503,641 shares of common stock, each initially exercisable for $1.82 per share to two of our existing institutional investors, resulting in net proceeds of approximately $2.0 million. The Series A1 Warrants will be exercisable for a five-year period commencing on March 7, 2018, and the Series A2 Warrants are exercisable at any time and expire on September 6, 2022. The common stock and the shares of common stock underlying the Warrants issued in the September 2017 Public Offering were sold pursuant to our effective Registration Statement on Form S-3 (Registration No. 333-215671) to cover this and potential future sales of our equity securities in one or more public offerings from time to time. Consistent with the anti-dilution protection provisions of the Series A2 Warrants, the exercise price of such warrants was reduced upon the closing of the December 2017 Public Offering. At the date of this Report, all of the Series A2 Warrants have been exercised at the reset exercise price as a result of the December 2017 Public Offering. Following these exercises, none of our outstanding warrants have down round anti-dilution protection features.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nine months ended December 31, 2017, we entered into self-placed private placement transactions with individual accredited investors, pursuant to which we sold units consisting of an aggregate of 616,323 shares of our unregistered common stock and, after adjustments, warrants which are not exercisable until six months and one day following issuance and expire between April 30, 2021 and November 30, 2022, to purchase an aggregate of 616,323 unregistered shares of our common stock at a weighted average fixed exercise price of approximately $2.00 per share. We received aggregate cash proceeds of approximately $1.1 million in these self-placed private placement transactions.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2017, we had a cash and cash equivalents balance of $13.0 million. We believe this amount is sufficient to enable us to fund our planned operations for the next 12 months. We expect to seek additional capital to finalize and release the results of the AV-101 MDD Phase 2 Adjunctive Treatment Study, produce additional AV-101 study material, conduct Phase 3-enabling studies, conduct Phase 3 studies in MDD, conduct AV-101 Phase 2 studies in CNS indications other than MDD and to fund our internal operations in 2019 and beyond.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as we have numerous times in the past, to raise additional capital as and when necessary and advisable, potentially including through an offering under a Registration Statement on Form S-1, through one or more offerings under our effective S-3 Registration Statement or through other capital raising activity, to sustain our operations and achieve our key corporate objectives beyond the next twelve months, including finalizing and releasing the results of the AV-101 MDD Phase 2 Adjunctive Treatment Study. There can, however, be no assurance that future financing will be available in sufficient amounts, in a timely manner, or on terms acceptable to us, if at all.</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also seek additional research and development collaborations that could generate revenue, funding for development of AV-101 and additional product candidates, and/or additional government grant awards and agreements similar to our current CRADA with the NIMH, under which the NIMH is fully funding and conducting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the timing of and projected costs relating to key research and development projects, including our expenses associated with the AV-101 MDD Phase 2 Adjunctive Treatment Study, regulatory consulting, CRO and CMO services, investor relations and corporate development, legal, acquisition and protection of intellectual property, public company compliance and other professional services and working capital costs.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as and when needed in 2018 or 2019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Off-Balance Sheet Arrangements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We have no off-balance sheet arrangements.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8040" w:type="dxa"/>
            <w:vAlign w:val="bottom"/>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Annual Report on Form 10-K for our fiscal year ended March 31, 2017 filed with the Securities and Exchange Commission on June 29, 2017, we identified two material weaknesses in our internal control over financial reporting relating to (i) segregation of duties and (ii) the functionality of our accounting software. Management has determined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2017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potentially, various other diseases and disorders involving the CNS, as well as, but to a more limited extent, our ability to produce, develop and commercialize NCEs from our drug rescue programs. AV-101 will require substantial additional nonclinical and clinical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Drug development is a long, expensive and uncertain process, and delay or failure can occur at any stage of any of our nonclinical or clinical studies. This process takes many years and may also include post-marketing studies and surveillance obligations, which would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we cannot assure you that AV-101, any drug rescue NCE, or any other future product candidate will be successfully developed or commercialized.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We expect the FDA to require us to complete the planned AV-101 MDD Phase 2 Adjunctive Treatment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toxicology studies, additional nonclinical and certain small clinical studies before submitting an NDA for AV-101. The results of all of these studies are not known until after the studies are concluded.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other product candidate we may seek to develop for many reasons, including, among others:</w:t>
      </w:r>
    </w:p>
    <w:p>
      <w:pPr>
        <w:spacing w:after="0" w:line="186" w:lineRule="exact"/>
        <w:rPr>
          <w:sz w:val="20"/>
          <w:szCs w:val="20"/>
          <w:color w:val="auto"/>
        </w:rPr>
      </w:pPr>
    </w:p>
    <w:p>
      <w:pPr>
        <w:jc w:val="both"/>
        <w:ind w:left="980" w:hanging="486"/>
        <w:spacing w:after="0" w:line="306"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980" w:hanging="48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FDA may require development of a Risk Evaluation and Mitigation Strategy ( </w:t>
      </w:r>
      <w:r>
        <w:rPr>
          <w:rFonts w:ascii="Arial" w:cs="Arial" w:eastAsia="Arial" w:hAnsi="Arial"/>
          <w:sz w:val="16"/>
          <w:szCs w:val="16"/>
          <w:i w:val="1"/>
          <w:iCs w:val="1"/>
          <w:color w:val="auto"/>
        </w:rPr>
        <w:t>REMS</w:t>
      </w:r>
      <w:r>
        <w:rPr>
          <w:rFonts w:ascii="Arial" w:cs="Arial" w:eastAsia="Arial" w:hAnsi="Arial"/>
          <w:sz w:val="16"/>
          <w:szCs w:val="16"/>
          <w:color w:val="auto"/>
        </w:rPr>
        <w:t>) as a condition of approval or post-approval;</w:t>
      </w:r>
    </w:p>
    <w:p>
      <w:pPr>
        <w:spacing w:after="0" w:line="248" w:lineRule="exact"/>
        <w:rPr>
          <w:rFonts w:ascii="Arial" w:cs="Arial" w:eastAsia="Arial" w:hAnsi="Arial"/>
          <w:sz w:val="16"/>
          <w:szCs w:val="16"/>
          <w:color w:val="auto"/>
        </w:rPr>
      </w:pPr>
    </w:p>
    <w:p>
      <w:pPr>
        <w:ind w:left="980" w:hanging="486"/>
        <w:spacing w:after="0" w:line="33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FDA or the applicable foreign regulatory agency may determine that the manufacturing processes or facilities of third-party contract manufacturers with which we contract do not conform to applicable requirements, including current Good Manufacturing Practices (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have applied for, and have been granted Fast Track designation from the FDA for AV-101 for the treatment of MDD. However, this designation may not actually lead to a faster development or regulatory review or approval process for AV-101. Further, there is no guarantee the FDA will grant Fast Track designation for AV-101 as a treatment option for other CNS indications or for other product candidates in the future.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October 2017 we applied for FDA Fast Track designation for AV-101, and in December 2017 the FDA granted Fast Track designation for AV-101 for the treatment of MDD. However, this designation may not lead to a faster development or regulatory review or approval process for AV-101 and the FDA may withdraw Fast Track designation of AV-101 if it believes that the designation is no longer supported by data from our clinical development programs.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apply for Fast Track designation for AV-101 as a treatment option for other CNS indications, as well as for other product candidates. The FDA has broad discretion whether or not to grant a Fast Track designation, and even if we believe AV-101 and other product candidates are eligible for this designation, we cannot be sure that the review or approval will compare to conventional FDA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and/or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AV-101 MDD Phase 2 Monotherapy Study and/or our AV-101 MDD Phase 2 Adjunctive Treatment Study fail(s) to produce positive results, the development timeline and regulatory approval and commercialization prospects for AV-101 and, correspondingly, our business and financial prospects, could be materially adversely affected.</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serious adverse events or other undesirable side effects or safety concerns are identified during the use of AV-101 in investigator-sponsored clinical trials or in our clinical trials of AV-101, it may adversely affect or delay our clinical development of AV-101 for MDD and other CNS indications.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as a monotherapy is currently being tested by the NIMH in the NIMH AV-101 MDD Phase 2 Monotherapy Study and may be subjected to testing in the future for other CNS indications in additional investigator sponsored clinical trials. If serious adverse events or other undesirable side effects or safety concerns, or unexpected characteristics of AV-101 are observed in investigator-sponsored clinical trials of AV-101 or in our clinical trials of AV-101, it may adversely affect or delay our clinical development of AV-101, and the occurrence of these events would have a material adverse effect on our business and financial prospects.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AV-101 or other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CRADA with the NIMH, the NIMH is conducting and funding the NIMH AV-101 MDD Phase 2 Monotherapy Study. We will need to complete the planned AV-101 MDD Phase 2 Adjunctive Treatment Study, at least two additional large Phase 3 pivotal clinical trials, additional toxicology and other nonclinical studies and certain smaller clinical studies prior to the submission of an NDA for AV-101 as a new generation adjunctive treatment for MDD. Successful completion of our nonclinical and clinical trials is a prerequisite to submitting an NDA to the FDA and, consequently, the ultimate approval required before commercial marketing of AV-101 for MDD and any other product candidates we may develop. Except as disclosed herein, we do not know whether the NIMH AV-101 MDD Phase 2 Monotherapy Study, our AV-101 MDD Phase 2 Adjunctive Treatment Study or any of our future-planned nonclinical and clinical trials will be completed on schedule, if at all, as the commencement and completion of nonclinical and clinical trials can be delayed or prevented for a number of reasons, including, among others:</w:t>
      </w:r>
    </w:p>
    <w:p>
      <w:pPr>
        <w:spacing w:after="0" w:line="199" w:lineRule="exact"/>
        <w:rPr>
          <w:sz w:val="20"/>
          <w:szCs w:val="20"/>
          <w:color w:val="auto"/>
        </w:rPr>
      </w:pPr>
    </w:p>
    <w:p>
      <w:pPr>
        <w:ind w:left="980" w:hanging="486"/>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39" w:lineRule="exact"/>
        <w:rPr>
          <w:rFonts w:ascii="Arial" w:cs="Arial" w:eastAsia="Arial" w:hAnsi="Arial"/>
          <w:sz w:val="16"/>
          <w:szCs w:val="16"/>
          <w:color w:val="auto"/>
        </w:rPr>
      </w:pPr>
    </w:p>
    <w:p>
      <w:pPr>
        <w:ind w:left="980" w:hanging="486"/>
        <w:spacing w:after="0" w:line="33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delays in the manufacturing of, or insufficient supply of, AV-101 or other product candidates necessary to conduct nonclinical or clinical trials, including delays in the manufacturing of sufficient supply or finished drug product resulting from our new manufacturing process for AV-101;</w:t>
      </w:r>
    </w:p>
    <w:p>
      <w:pPr>
        <w:spacing w:after="0" w:line="139" w:lineRule="exact"/>
        <w:rPr>
          <w:rFonts w:ascii="Arial" w:cs="Arial" w:eastAsia="Arial" w:hAnsi="Arial"/>
          <w:sz w:val="16"/>
          <w:szCs w:val="16"/>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FDA guidance or unanticipated events during our nonclinical studies and clinical trials of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of AV-101 or other product candidates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or other product candidates may be harmed and our ability to generate product revenue will be delayed.</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nonclinical and clinical trials of AV-101 and any other product candidates. If these third parties do not successfully carry out their contractual duties or meet expected deadlines, completion of nonclinical and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completely on our own. We rely on our network of strategic relationships with various medical institutions, nonclinical and clinical investigators, contract laboratories and other third parties, such as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or the NIH does not relieve us of our regulatory responsibilities. We and our CROs, the NIMH and any investigator in an investigator-sponsored study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the NIMH AV-101 MDD Phase 2 Monotherapy Study,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nonclinical and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completely on third-parties to manufacture and prepare supplies of AV-101 for all nonclinical and clinical studies of AV-101, and we intend to continue to rely on third parties to produce all nonclinical, clinical and commercial supplies of AV-101 in the future.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currently have, nor do we plan to acquire or develop, the necessary infrastructure internal resources or technical capabilities to manufacture and prepare supplies of AV-101, or any future product candidates, for use in nonclinical and clinical studies, and we lack the internal resources and the capability to manufacture any product candidate on a clinical or commercial scale. As a result, we rely completely on third party contract manufacturing organizations (</w:t>
      </w:r>
      <w:r>
        <w:rPr>
          <w:rFonts w:ascii="Arial" w:cs="Arial" w:eastAsia="Arial" w:hAnsi="Arial"/>
          <w:sz w:val="16"/>
          <w:szCs w:val="16"/>
          <w:i w:val="1"/>
          <w:iCs w:val="1"/>
          <w:color w:val="auto"/>
        </w:rPr>
        <w:t>CMO</w:t>
      </w:r>
      <w:r>
        <w:rPr>
          <w:rFonts w:ascii="Arial" w:cs="Arial" w:eastAsia="Arial" w:hAnsi="Arial"/>
          <w:sz w:val="16"/>
          <w:szCs w:val="16"/>
          <w:color w:val="auto"/>
        </w:rPr>
        <w:t>s) to manufacture AV-101 active pharmaceutical ingredient (</w:t>
      </w:r>
      <w:r>
        <w:rPr>
          <w:rFonts w:ascii="Arial" w:cs="Arial" w:eastAsia="Arial" w:hAnsi="Arial"/>
          <w:sz w:val="16"/>
          <w:szCs w:val="16"/>
          <w:i w:val="1"/>
          <w:iCs w:val="1"/>
          <w:color w:val="auto"/>
        </w:rPr>
        <w:t>API</w:t>
      </w:r>
      <w:r>
        <w:rPr>
          <w:rFonts w:ascii="Arial" w:cs="Arial" w:eastAsia="Arial" w:hAnsi="Arial"/>
          <w:sz w:val="16"/>
          <w:szCs w:val="16"/>
          <w:color w:val="auto"/>
        </w:rPr>
        <w:t>) and prepare AV-101 final drug product. The facilities used by our CMOs to manufacture AV-101 API and final drug product are subject to a pre-approval inspection by the FDA to assess compliance with applicable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directly control either the supply or quality of materials used in the manufacturing and preparation of AV-101 or the AV-101 manufacturing process, and we are completely dependent on our CMOs to comply with all cGMPs for manufacture of both AV-101 API and AV-101 finished drug product. If our CMOs cannot secure adequate supplies of suitable raw materials or successfully manufacture AV-101 API that conforms to our specifications and the strict regulatory requirements of the FDA or applicable foreign regulatory agencies, production of sufficient supplies of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for required or planned nonclinical and/or clinical studies of AV-101. If the FDA or an applicable foreign regulatory agency determines now or in the future that our CMOs’ facilities are noncompliant, we may need to find alternative manufacturing facilities, which would adversely impact our ability to develop, obtain regulatory approval for or market AV-101. Our reliance on CMOs also exposes us to the possibility that they, or third parties with access to their facilities, will have access to and may appropriate our trade secrets or other proprietary information.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yet have long-term AV-101 supply agreements in place with our CMOs and each batch of AV-101 is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development and, if approved, commercial quantities of AV-101 and any other product candidates we may seek to develop in the future. Although we believe our current scale of manufacturing for AV-101 and current and projected supply of AV-101 API and finished drug product will be adequate to support our planned nonclinical and clinical studies of AV-101, no assurance can be given that unanticipated AV-101 supply shortages, CMO-related delays in manufacture and production of AV-101 API and finished drug product will not occur in the future.</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AV-101 or any other product candidate in the United States, we may never receive regulatory approval to market AV-101 or any other product candidate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Before we can commercialize our product candidates, the United States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may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While we currently do not know whether any of our product candidates will be considered to be controlled substances, certain of our product candidates, including AV-101, may be regulated as controlled substances.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any of our product candidates are regulated as controlled substances, depending on the controlled substance schedule in which the product candidates are placed, we, our contract manufacturers,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Moreover, if any of our product candidates are regulated as controlled substances, we and our CMOs would be subject to initial and periodic DEA inspection.If we or our contract manufacturers are not able to obtain or maintain any necessary DEA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an infrastructure for the sale, marketing and distribution of pharmaceutical products, nor do we intend to create such capabilities in the foreseeable future. Therefore, in order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jc w:val="both"/>
        <w:ind w:left="980" w:hanging="486"/>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our oral AV-101. However, new antidepressant products with other mechanisms of action or products approved for other indications, including the FDA-approved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 medications to treat patients with MDD.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field of new generation, orally available, adjunctive treatments of adult MDD patients with an inadequate response to standard FDA-approved antidepressants, we believe our principal competitor is Alkermes’ oral opiate modulator drug candidate, ALKS-5461, which adjunctive treatment product candidate is the subject of a New Drug Application recently submitted to the FDA by Alkermes.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Parkinson’s disease levodopa induced dyskinesia, neuropathic pain, epilepsy, and other neurological conditions and diseases, including, but not limited to, Abbott Laboratories, Acadia, Allergan, Alkermes, AstraZeneca,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 candidates with commercial and therapeutic potential. Although AV-101 is in Phase 2 clinical development for treatment of MDD,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980" w:hanging="486"/>
        <w:spacing w:after="0" w:line="306"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980" w:hanging="486"/>
        <w:spacing w:after="0" w:line="306"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0" w:lineRule="exact"/>
        <w:rPr>
          <w:rFonts w:ascii="Arial" w:cs="Arial" w:eastAsia="Arial" w:hAnsi="Arial"/>
          <w:sz w:val="16"/>
          <w:szCs w:val="16"/>
          <w:color w:val="auto"/>
        </w:rPr>
      </w:pPr>
    </w:p>
    <w:p>
      <w:pPr>
        <w:jc w:val="both"/>
        <w:ind w:left="980" w:hanging="486"/>
        <w:spacing w:after="0" w:line="25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980" w:hanging="486"/>
        <w:spacing w:after="0" w:line="25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980" w:hanging="486"/>
        <w:spacing w:after="0" w:line="25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FDA marketing approval for AV-101 as an adjunctive treatment of MDD, physicians may nevertheless prescribe AV-101 to their patients in a manner that is inconsistent with the FDA-approved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AV-101 of other product candidates, there may be limits to the regulatory exclusivity afforded by such designation.</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product candidates, including AV-101. Even if we obtain Orphan Drug designation from the FDA for AV-101 or any other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 candidates we produce;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establish and maintain sales, distribution and marketing capabilities, and/or enter into strategic partnering arrangements to access such capabilities;</w:t>
      </w:r>
    </w:p>
    <w:p>
      <w:pPr>
        <w:spacing w:after="0" w:line="259" w:lineRule="exact"/>
        <w:rPr>
          <w:rFonts w:ascii="Arial" w:cs="Arial" w:eastAsia="Arial" w:hAnsi="Arial"/>
          <w:sz w:val="15"/>
          <w:szCs w:val="15"/>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acquire or license additional product candidates, or discover, as well as produce, develop and commercialize proprietary drug rescue NCEs using our stem cell technology, and we cannot provide any assurance that we will successfully develop and commercialize AV-101, acquire or license additional product candidates or discover and develop drug rescue NCEs, or that, if produced, AV-101 or any other product candidate will be successfully commercialized.</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or, as the case may be, produce drug rescue NCEs require substantial technical, financial and human resources, whether or not any additional product candidate is acquired or licensed or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7"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drug rescue research and development methodology may not be successful in identifying and developing potential drug rescue NCEs;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acquired and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drug rescue NCEs and no operating history with respect to the production of drug rescue NCEs, and we may never be able to produce a drug rescue NCE.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develop and commercialize AV-101, acquire or license additional product candidates,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With respect to drug rescure,there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do acquire additional product candidates or produce proprietary drug rescue NCEs, we can give no assurance that we will be able to develop and commercialize them as marketable drugs, on our own or in collaboration with others. Before we generate any revenues from AV-101, additional acquired or licensed products candidates or any drug rescue NCEs we or our potential collaborators must complete preclinical and clinical developments, submit clinical and manufacturing data to the FDA, qualify a third party CMO,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9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$10.3 million and $47.2 million, which includes $26.7 million of non-cash expense related to the extinguishment of essentially all of our outstanding promissory notes and certain other indebtedness, during the fiscal years ended March 31, 2017 and 2016, respectively. We incurred a net loss of approximately $10.3 million in the nine months ended December 31, 2017 and, as of that date, we had an accumulated deficit of approximately $152.5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not including the fair market value of the ongoing NIMH AV-101 MDD Phase 2 Monotherapy Study fully-sponsored by the NIMH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72"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product candidates;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commercialize our product candidates, if approved, by developing a sales force or entering into collaborations with third parties; and</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2017 as well as the unaudited condensed consolidated financial statements for the period ended December 31, 2017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our cardiac stem cell technology for drug rescue and potential regenerative medicine applications, and we will continue to expend substantial resources for the foreseeable future developing and commercializing AV-101 for multiple CNS indications, and, potentially, developing drug rescue NCEs and RM therapies, on our own or in collaborations similar to the BlueRock Agreement.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At December 31, 2017, we had a cash and cash equivalents balance of $13.0 million. We believe this amount is sufficient to enable us to fund our planned operations for at least the twelve months following the issuance of the financial statements included in this Report. We expect to seek additional capital to finalize the results from the AV-101 MDD Phase 2 Adjunctive Treatment Study, produce additional AV-101 study material, conduct Phase 3-enabling studies, conduct Phase 3 studies in MDD, conduct AV-101 Phase 2 studies in CNS indications other than MDD and to fund our internal operations in 2019 and beyond.</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2017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275" w:lineRule="exact"/>
        <w:rPr>
          <w:rFonts w:ascii="Arial" w:cs="Arial" w:eastAsia="Arial" w:hAnsi="Arial"/>
          <w:sz w:val="16"/>
          <w:szCs w:val="16"/>
          <w:color w:val="auto"/>
        </w:rPr>
      </w:pPr>
    </w:p>
    <w:p>
      <w:pPr>
        <w:ind w:left="1120" w:hanging="626"/>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52" w:lineRule="exact"/>
        <w:rPr>
          <w:rFonts w:ascii="Arial" w:cs="Arial" w:eastAsia="Arial" w:hAnsi="Arial"/>
          <w:sz w:val="18"/>
          <w:szCs w:val="18"/>
          <w:color w:val="auto"/>
        </w:rPr>
      </w:pPr>
    </w:p>
    <w:p>
      <w:pPr>
        <w:ind w:left="1080" w:hanging="58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2017, we had federal and state net operating loss carryforwards of $77.1 million and $67.6 million, respectively, which begin to expire in fiscal 2018.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stem cell technology-related drug rescue and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05"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have an issued patent relating to AV-101 in the U.S. and the European Union, we cannot yet provide any assurances that any of our other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additional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 Any lawsuit we are engaged in to protect or enforce our patents or the patents of our licensors could be expensive, time-consuming and unsuccessful.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6"/>
          <w:szCs w:val="16"/>
          <w:i w:val="1"/>
          <w:iCs w:val="1"/>
          <w:color w:val="auto"/>
        </w:rPr>
        <w:t>Mayo Collaborative Services, DBA Mayo</w:t>
      </w:r>
      <w:r>
        <w:rPr>
          <w:rFonts w:ascii="Arial" w:cs="Arial" w:eastAsia="Arial" w:hAnsi="Arial"/>
          <w:sz w:val="16"/>
          <w:szCs w:val="16"/>
          <w:color w:val="auto"/>
        </w:rPr>
        <w:t xml:space="preserve"> </w:t>
      </w:r>
      <w:r>
        <w:rPr>
          <w:rFonts w:ascii="Arial" w:cs="Arial" w:eastAsia="Arial" w:hAnsi="Arial"/>
          <w:sz w:val="16"/>
          <w:szCs w:val="16"/>
          <w:i w:val="1"/>
          <w:iCs w:val="1"/>
          <w:color w:val="auto"/>
        </w:rPr>
        <w:t>Medical Laboratories, et al. v. Prometheus Laboratories, Inc.</w:t>
      </w:r>
      <w:r>
        <w:rPr>
          <w:rFonts w:ascii="Arial" w:cs="Arial" w:eastAsia="Arial" w:hAnsi="Arial"/>
          <w:sz w:val="16"/>
          <w:szCs w:val="16"/>
          <w:color w:val="auto"/>
        </w:rPr>
        <w:t>, the Court held that several claims drawn to measuring drug metabolite levels from patient samples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the Court held that claims to isolated genomic DNA are not patentable, but claims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980" w:right="2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December 31, 2017; (ii) 4.0 million shares of Series B 10% Convertible Preferred stock, of which approximately 1.2 million shares remain issued and outstanding at December 31, 2017; and (iii) 3.0 million shares of Series C Convertible Preferred Stock, of which approximately 2.3 million shares are issued and outstanding at December 31, 2017.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2017, in a self-placed private placement transaction, we sold to an accredited investor units consisting of (i) 150,000 shares of our unregistered common stock and (ii) warrants exercisable through November 30, 2021 to purchase 150,000 unregistered shares of our common stock at an exercise price of $1.50 per share. The warrants are not exercisable until six months and one day following the date of issuance. We received cash proceeds of $150,000 from this sale of our securities.</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December 2017, we issued 50,000 shares of our unregistered common stock for services provided by our contract research organization under the terms of a negotiated work order.</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2017, we issued 500,000 shares of our unregistered common stock having a fair value at the time of issuance of $585,000 and a cash payment of $76,500 to a contract manufacturing organization in settlement of $526,500 of open accounts payable.</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line="176" w:lineRule="exact"/>
              <w:rPr>
                <w:rFonts w:ascii="Arial" w:cs="Arial" w:eastAsia="Arial" w:hAnsi="Arial"/>
                <w:sz w:val="18"/>
                <w:szCs w:val="18"/>
                <w:color w:val="auto"/>
                <w:w w:val="79"/>
              </w:rPr>
            </w:pPr>
            <w:hyperlink w:anchor="page72">
              <w:r>
                <w:rPr>
                  <w:rFonts w:ascii="Arial" w:cs="Arial" w:eastAsia="Arial" w:hAnsi="Arial"/>
                  <w:sz w:val="18"/>
                  <w:szCs w:val="18"/>
                  <w:color w:val="auto"/>
                  <w:w w:val="79"/>
                </w:rPr>
                <w:t>31.</w:t>
              </w:r>
              <w:r>
                <w:rPr>
                  <w:rFonts w:ascii="Arial" w:cs="Arial" w:eastAsia="Arial" w:hAnsi="Arial"/>
                  <w:sz w:val="18"/>
                  <w:szCs w:val="18"/>
                  <w:u w:val="single" w:color="auto"/>
                  <w:color w:val="auto"/>
                  <w:w w:val="79"/>
                </w:rPr>
                <w:t>1</w:t>
              </w:r>
            </w:hyperlink>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w:anchor="page73">
              <w:r>
                <w:rPr>
                  <w:rFonts w:ascii="Arial" w:cs="Arial" w:eastAsia="Arial" w:hAnsi="Arial"/>
                  <w:sz w:val="18"/>
                  <w:szCs w:val="18"/>
                  <w:color w:val="auto"/>
                  <w:w w:val="79"/>
                </w:rPr>
                <w:t>31.</w:t>
              </w:r>
              <w:r>
                <w:rPr>
                  <w:rFonts w:ascii="Arial" w:cs="Arial" w:eastAsia="Arial" w:hAnsi="Arial"/>
                  <w:sz w:val="18"/>
                  <w:szCs w:val="18"/>
                  <w:u w:val="single" w:color="auto"/>
                  <w:color w:val="auto"/>
                  <w:w w:val="79"/>
                </w:rPr>
                <w:t>2</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40" w:hanging="1032"/>
        <w:spacing w:after="0" w:line="268" w:lineRule="auto"/>
        <w:tabs>
          <w:tab w:leader="none" w:pos="104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7"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20"/>
                <w:szCs w:val="20"/>
                <w:color w:val="auto"/>
              </w:rPr>
            </w:pPr>
            <w:r>
              <w:rPr>
                <w:rFonts w:ascii="Arial" w:cs="Arial" w:eastAsia="Arial" w:hAnsi="Arial"/>
                <w:sz w:val="18"/>
                <w:szCs w:val="18"/>
                <w:color w:val="auto"/>
              </w:rPr>
              <w:t>February 12, 2018</w:t>
            </w:r>
          </w:p>
        </w:tc>
        <w:tc>
          <w:tcPr>
            <w:tcW w:w="4920" w:type="dxa"/>
            <w:vAlign w:val="bottom"/>
            <w:gridSpan w:val="2"/>
          </w:tcPr>
          <w:p>
            <w:pPr>
              <w:spacing w:after="0"/>
              <w:rPr>
                <w:sz w:val="20"/>
                <w:szCs w:val="20"/>
                <w:color w:val="auto"/>
              </w:rPr>
            </w:pPr>
            <w:r>
              <w:rPr>
                <w:rFonts w:ascii="Arial" w:cs="Arial" w:eastAsia="Arial" w:hAnsi="Arial"/>
                <w:sz w:val="18"/>
                <w:szCs w:val="18"/>
                <w:color w:val="auto"/>
              </w:rPr>
              <w:t>/s/ Shawn K. Singh</w:t>
            </w:r>
          </w:p>
        </w:tc>
      </w:tr>
      <w:tr>
        <w:trPr>
          <w:trHeight w:val="228"/>
        </w:trPr>
        <w:tc>
          <w:tcPr>
            <w:tcW w:w="6500" w:type="dxa"/>
            <w:vAlign w:val="bottom"/>
          </w:tcPr>
          <w:p>
            <w:pPr>
              <w:spacing w:after="0"/>
              <w:rPr>
                <w:sz w:val="19"/>
                <w:szCs w:val="19"/>
                <w:color w:val="auto"/>
              </w:rPr>
            </w:pPr>
          </w:p>
        </w:tc>
        <w:tc>
          <w:tcPr>
            <w:tcW w:w="1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8"/>
              </w:rPr>
              <w:t>Shawn K. Singh</w:t>
            </w:r>
          </w:p>
        </w:tc>
        <w:tc>
          <w:tcPr>
            <w:tcW w:w="3580" w:type="dxa"/>
            <w:vAlign w:val="bottom"/>
          </w:tcPr>
          <w:p>
            <w:pPr>
              <w:spacing w:after="0"/>
              <w:rPr>
                <w:sz w:val="19"/>
                <w:szCs w:val="19"/>
                <w:color w:val="auto"/>
              </w:rPr>
            </w:pPr>
          </w:p>
        </w:tc>
      </w:tr>
      <w:tr>
        <w:trPr>
          <w:trHeight w:val="222"/>
        </w:trPr>
        <w:tc>
          <w:tcPr>
            <w:tcW w:w="6500" w:type="dxa"/>
            <w:vAlign w:val="bottom"/>
          </w:tcPr>
          <w:p>
            <w:pPr>
              <w:spacing w:after="0"/>
              <w:rPr>
                <w:sz w:val="19"/>
                <w:szCs w:val="19"/>
                <w:color w:val="auto"/>
              </w:rPr>
            </w:pPr>
          </w:p>
        </w:tc>
        <w:tc>
          <w:tcPr>
            <w:tcW w:w="4920" w:type="dxa"/>
            <w:vAlign w:val="bottom"/>
            <w:gridSpan w:val="2"/>
          </w:tcPr>
          <w:p>
            <w:pPr>
              <w:ind w:left="60"/>
              <w:spacing w:after="0"/>
              <w:rPr>
                <w:sz w:val="20"/>
                <w:szCs w:val="20"/>
                <w:color w:val="auto"/>
              </w:rPr>
            </w:pPr>
            <w:r>
              <w:rPr>
                <w:rFonts w:ascii="Arial" w:cs="Arial" w:eastAsia="Arial" w:hAnsi="Arial"/>
                <w:sz w:val="18"/>
                <w:szCs w:val="18"/>
                <w:color w:val="auto"/>
              </w:rPr>
              <w:t>Principal Executive Officer</w:t>
            </w:r>
          </w:p>
        </w:tc>
      </w:tr>
      <w:tr>
        <w:trPr>
          <w:trHeight w:val="225"/>
        </w:trPr>
        <w:tc>
          <w:tcPr>
            <w:tcW w:w="6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34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20"/>
                <w:szCs w:val="20"/>
                <w:color w:val="auto"/>
              </w:rPr>
            </w:pPr>
            <w:r>
              <w:rPr>
                <w:rFonts w:ascii="Arial" w:cs="Arial" w:eastAsia="Arial" w:hAnsi="Arial"/>
                <w:sz w:val="18"/>
                <w:szCs w:val="18"/>
                <w:color w:val="auto"/>
              </w:rPr>
              <w:t>February 12, 2018</w:t>
            </w:r>
          </w:p>
        </w:tc>
        <w:tc>
          <w:tcPr>
            <w:tcW w:w="22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8"/>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Jerrold D. Dotson</w:t>
            </w:r>
          </w:p>
        </w:tc>
        <w:tc>
          <w:tcPr>
            <w:tcW w:w="4120" w:type="dxa"/>
            <w:vAlign w:val="bottom"/>
          </w:tcPr>
          <w:p>
            <w:pPr>
              <w:spacing w:after="0"/>
              <w:rPr>
                <w:sz w:val="19"/>
                <w:szCs w:val="19"/>
                <w:color w:val="auto"/>
              </w:rPr>
            </w:pPr>
          </w:p>
        </w:tc>
      </w:tr>
      <w:tr>
        <w:trPr>
          <w:trHeight w:val="222"/>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225"/>
        </w:trPr>
        <w:tc>
          <w:tcPr>
            <w:tcW w:w="3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34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December 31, 2017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Roman"/>
      <w:start w:val="2"/>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32"/>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2020-01-14T08:30:10Z</dcterms:created>
  <dcterms:modified xsi:type="dcterms:W3CDTF">2020-01-14T08:30:10Z</dcterms:modified>
</cp:coreProperties>
</file>