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333-234025</w:t>
      </w:r>
    </w:p>
    <w:p>
      <w:pPr>
        <w:spacing w:after="0" w:line="200" w:lineRule="exact"/>
        <w:rPr>
          <w:sz w:val="24"/>
          <w:szCs w:val="24"/>
          <w:color w:val="auto"/>
        </w:rPr>
      </w:pPr>
    </w:p>
    <w:p>
      <w:pPr>
        <w:jc w:val="both"/>
        <w:spacing w:after="0" w:line="274" w:lineRule="auto"/>
        <w:rPr>
          <w:sz w:val="20"/>
          <w:szCs w:val="20"/>
          <w:color w:val="auto"/>
        </w:rPr>
      </w:pPr>
      <w:r>
        <w:rPr>
          <w:rFonts w:ascii="Arial" w:cs="Arial" w:eastAsia="Arial" w:hAnsi="Arial"/>
          <w:sz w:val="16"/>
          <w:szCs w:val="16"/>
          <w:b w:val="1"/>
          <w:bCs w:val="1"/>
          <w:color w:val="FF0000"/>
        </w:rPr>
        <w:t>This preliminary prospectus supplement relates to an effective registration statement under the Securities Act of 1933, as amended, but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FF0000"/>
        </w:rPr>
        <w:t>SUBJECT TO COMPLETION, DATED DECEMBER 17, 2020</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PRELIMINARY PROSPECTUS SUPPLEMENT</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(To Prospectus Dated October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2950845</wp:posOffset>
            </wp:positionH>
            <wp:positionV relativeFrom="paragraph">
              <wp:posOffset>135255</wp:posOffset>
            </wp:positionV>
            <wp:extent cx="1248410" cy="871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8410" cy="871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Units</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Each Unit Consisting of</w:t>
      </w:r>
    </w:p>
    <w:p>
      <w:pPr>
        <w:spacing w:after="0" w:line="14"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Share of Common Stock and</w:t>
      </w:r>
    </w:p>
    <w:p>
      <w:pPr>
        <w:spacing w:after="0" w:line="14"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Shares of Series D Preferred Stock</w:t>
      </w:r>
    </w:p>
    <w:p>
      <w:pPr>
        <w:spacing w:after="0" w:line="204" w:lineRule="exact"/>
        <w:rPr>
          <w:sz w:val="24"/>
          <w:szCs w:val="24"/>
          <w:color w:val="auto"/>
        </w:rPr>
      </w:pPr>
    </w:p>
    <w:p>
      <w:pPr>
        <w:jc w:val="both"/>
        <w:ind w:firstLine="593"/>
        <w:spacing w:after="0" w:line="271" w:lineRule="auto"/>
        <w:rPr>
          <w:sz w:val="20"/>
          <w:szCs w:val="20"/>
          <w:color w:val="auto"/>
        </w:rPr>
      </w:pPr>
      <w:r>
        <w:rPr>
          <w:rFonts w:ascii="Arial" w:cs="Arial" w:eastAsia="Arial" w:hAnsi="Arial"/>
          <w:sz w:val="16"/>
          <w:szCs w:val="16"/>
          <w:color w:val="auto"/>
        </w:rPr>
        <w:t>We are offering units, consisting of share of our common stock and shares of our Voting Series D convertible preferred stock (“Series D Preferred Stock”), pursuant to this prospectus supplement and accompanying prospectus. The shares of our common stock and the shares of our Series D Preferred Stock are immediately separable and will be issued separately in this offering, but must be purchased together in this offering.</w:t>
      </w:r>
    </w:p>
    <w:p>
      <w:pPr>
        <w:spacing w:after="0" w:line="168" w:lineRule="exact"/>
        <w:rPr>
          <w:sz w:val="24"/>
          <w:szCs w:val="24"/>
          <w:color w:val="auto"/>
        </w:rPr>
      </w:pPr>
    </w:p>
    <w:p>
      <w:pPr>
        <w:jc w:val="both"/>
        <w:ind w:firstLine="593"/>
        <w:spacing w:after="0" w:line="303" w:lineRule="auto"/>
        <w:rPr>
          <w:sz w:val="20"/>
          <w:szCs w:val="20"/>
          <w:color w:val="auto"/>
        </w:rPr>
      </w:pPr>
      <w:r>
        <w:rPr>
          <w:rFonts w:ascii="Arial" w:cs="Arial" w:eastAsia="Arial" w:hAnsi="Arial"/>
          <w:sz w:val="14"/>
          <w:szCs w:val="14"/>
          <w:color w:val="auto"/>
        </w:rPr>
        <w:t>We do not currently have a sufficient number of authorized shares of common stock to cover the shares issuable upon conversion of the Series D Preferred Stock being offered by this prospectus supplement. As a result, the Series D Preferred Stock will not be convertible prior to the date on which we receive the approval of our stockholders of an amendment to our Restated and Amended Articles of Incorporation to increase the number of authorized shares of common stock to a total of 325 million shares (the “Charter Amendment”) and such Charter Amendment is effective. On or after the effective date of the Charter Amendment, each whole share of Series D Preferred Stock issued in this offering will initially be convertible into shares of our common stock at any time at the option of the holder subject to certain ownership limitations set forth in this prospectus supplement. We expect to hold a special meeting of our stockholders to vote on the Charter Amendment in the first calendar quarter of 2021. While our board of directors has unanimously recommended that our stockholders approve the Charter Amendment and all current directors and executive officers are supportive of the Charter Amendment, we cannot assure you that we will be able to obtain requisite stockholder approval of the Charter Amendment. In the event our stockholders do not approve the Charter Amendment, the shares of Series D Preferred Stock issued in this offering will not convert into shares of our common stock and may not have any value.</w:t>
      </w:r>
    </w:p>
    <w:p>
      <w:pPr>
        <w:spacing w:after="0" w:line="149" w:lineRule="exact"/>
        <w:rPr>
          <w:sz w:val="24"/>
          <w:szCs w:val="24"/>
          <w:color w:val="auto"/>
        </w:rPr>
      </w:pPr>
    </w:p>
    <w:p>
      <w:pPr>
        <w:jc w:val="both"/>
        <w:ind w:firstLine="593"/>
        <w:spacing w:after="0" w:line="271" w:lineRule="auto"/>
        <w:rPr>
          <w:sz w:val="20"/>
          <w:szCs w:val="20"/>
          <w:color w:val="auto"/>
        </w:rPr>
      </w:pPr>
      <w:r>
        <w:rPr>
          <w:rFonts w:ascii="Arial" w:cs="Arial" w:eastAsia="Arial" w:hAnsi="Arial"/>
          <w:sz w:val="16"/>
          <w:szCs w:val="16"/>
          <w:color w:val="auto"/>
        </w:rPr>
        <w:t>Our common stock is currently traded on the Nasdaq Capital Market under the symbol “VTGN.” On December 16, 2020, the last reported sale price of our common stock was $0.8342 per share. There is no established public trading market for our Series D Preferred Stock, and we do not expect a market to develop. In addition, we do not intend to apply for a listing of our Series D Preferred Stock on any national securities exchange.</w:t>
      </w:r>
    </w:p>
    <w:p>
      <w:pPr>
        <w:spacing w:after="0" w:line="164" w:lineRule="exact"/>
        <w:rPr>
          <w:sz w:val="24"/>
          <w:szCs w:val="24"/>
          <w:color w:val="auto"/>
        </w:rPr>
      </w:pPr>
    </w:p>
    <w:p>
      <w:pPr>
        <w:jc w:val="both"/>
        <w:ind w:firstLine="593"/>
        <w:spacing w:after="0" w:line="268" w:lineRule="auto"/>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S-5 of this prospectus supplement and in the accompanying prospectus, as well as those contained in the other documents incorporated by reference into this prospectus supplement and any related free writing prospectus. You should carefully read this entire prospectus supplement and the accompanying prospectus, including any information incorporated by reference, before deciding whether to purchase our securities.</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9120" w:type="dxa"/>
            <w:vAlign w:val="bottom"/>
          </w:tcPr>
          <w:p>
            <w:pPr>
              <w:spacing w:after="0"/>
              <w:rPr>
                <w:sz w:val="18"/>
                <w:szCs w:val="18"/>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Per Share</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spacing w:after="0" w:line="198"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2"/>
                <w:szCs w:val="22"/>
                <w:color w:val="auto"/>
                <w:vertAlign w:val="superscript"/>
              </w:rPr>
              <w:t>(1)</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to VistaGen Therapeutics, Inc. before expenses</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394"/>
        </w:trPr>
        <w:tc>
          <w:tcPr>
            <w:tcW w:w="9120" w:type="dxa"/>
            <w:vAlign w:val="bottom"/>
          </w:tcPr>
          <w:p>
            <w:pPr>
              <w:spacing w:after="0"/>
              <w:rPr>
                <w:sz w:val="20"/>
                <w:szCs w:val="20"/>
                <w:color w:val="auto"/>
              </w:rPr>
            </w:pPr>
            <w:r>
              <w:rPr>
                <w:rFonts w:ascii="Arial" w:cs="Arial" w:eastAsia="Arial" w:hAnsi="Arial"/>
                <w:sz w:val="16"/>
                <w:szCs w:val="16"/>
                <w:color w:val="auto"/>
              </w:rPr>
              <w:t>(1)  See “Underwriting” for additional information regarding underwriting compensation.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6" w:lineRule="exact"/>
        <w:rPr>
          <w:sz w:val="24"/>
          <w:szCs w:val="24"/>
          <w:color w:val="auto"/>
        </w:rPr>
      </w:pPr>
    </w:p>
    <w:p>
      <w:pPr>
        <w:ind w:right="200" w:firstLine="593"/>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9260" w:type="dxa"/>
            <w:vAlign w:val="bottom"/>
            <w:gridSpan w:val="4"/>
          </w:tcPr>
          <w:p>
            <w:pPr>
              <w:jc w:val="right"/>
              <w:ind w:right="115"/>
              <w:spacing w:after="0"/>
              <w:rPr>
                <w:sz w:val="20"/>
                <w:szCs w:val="20"/>
                <w:color w:val="auto"/>
              </w:rPr>
            </w:pPr>
            <w:r>
              <w:rPr>
                <w:rFonts w:ascii="Arial" w:cs="Arial" w:eastAsia="Arial" w:hAnsi="Arial"/>
                <w:sz w:val="16"/>
                <w:szCs w:val="16"/>
                <w:color w:val="auto"/>
                <w:w w:val="97"/>
              </w:rPr>
              <w:t>Delivery of securities being offered pursuant to this prospectus supplement and accompanying prospectus will be made on or about</w:t>
            </w:r>
          </w:p>
        </w:tc>
        <w:tc>
          <w:tcPr>
            <w:tcW w:w="1980" w:type="dxa"/>
            <w:vAlign w:val="bottom"/>
          </w:tcPr>
          <w:p>
            <w:pPr>
              <w:ind w:left="60"/>
              <w:spacing w:after="0"/>
              <w:rPr>
                <w:sz w:val="20"/>
                <w:szCs w:val="20"/>
                <w:color w:val="auto"/>
              </w:rPr>
            </w:pPr>
            <w:r>
              <w:rPr>
                <w:rFonts w:ascii="Arial" w:cs="Arial" w:eastAsia="Arial" w:hAnsi="Arial"/>
                <w:sz w:val="16"/>
                <w:szCs w:val="16"/>
                <w:color w:val="auto"/>
              </w:rPr>
              <w:t>, 2020, subject to the</w:t>
            </w:r>
          </w:p>
        </w:tc>
      </w:tr>
      <w:tr>
        <w:trPr>
          <w:trHeight w:val="205"/>
        </w:trPr>
        <w:tc>
          <w:tcPr>
            <w:tcW w:w="7100" w:type="dxa"/>
            <w:vAlign w:val="bottom"/>
            <w:gridSpan w:val="3"/>
          </w:tcPr>
          <w:p>
            <w:pPr>
              <w:spacing w:after="0"/>
              <w:rPr>
                <w:sz w:val="20"/>
                <w:szCs w:val="20"/>
                <w:color w:val="auto"/>
              </w:rPr>
            </w:pPr>
            <w:r>
              <w:rPr>
                <w:rFonts w:ascii="Arial" w:cs="Arial" w:eastAsia="Arial" w:hAnsi="Arial"/>
                <w:sz w:val="16"/>
                <w:szCs w:val="16"/>
                <w:color w:val="auto"/>
              </w:rPr>
              <w:t>satisfaction of certain closing conditions.</w:t>
            </w:r>
          </w:p>
        </w:tc>
        <w:tc>
          <w:tcPr>
            <w:tcW w:w="2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96"/>
        </w:trPr>
        <w:tc>
          <w:tcPr>
            <w:tcW w:w="7100" w:type="dxa"/>
            <w:vAlign w:val="bottom"/>
            <w:gridSpan w:val="3"/>
          </w:tcPr>
          <w:p>
            <w:pPr>
              <w:ind w:left="4580"/>
              <w:spacing w:after="0"/>
              <w:rPr>
                <w:sz w:val="20"/>
                <w:szCs w:val="20"/>
                <w:color w:val="auto"/>
              </w:rPr>
            </w:pPr>
            <w:r>
              <w:rPr>
                <w:rFonts w:ascii="Arial" w:cs="Arial" w:eastAsia="Arial" w:hAnsi="Arial"/>
                <w:sz w:val="16"/>
                <w:szCs w:val="16"/>
                <w:b w:val="1"/>
                <w:bCs w:val="1"/>
                <w:i w:val="1"/>
                <w:iCs w:val="1"/>
                <w:color w:val="auto"/>
              </w:rPr>
              <w:t>Joint Book-Running Managers</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12"/>
        </w:trPr>
        <w:tc>
          <w:tcPr>
            <w:tcW w:w="7100" w:type="dxa"/>
            <w:vAlign w:val="bottom"/>
            <w:gridSpan w:val="3"/>
          </w:tcPr>
          <w:p>
            <w:pPr>
              <w:ind w:left="2340"/>
              <w:spacing w:after="0"/>
              <w:rPr>
                <w:sz w:val="20"/>
                <w:szCs w:val="20"/>
                <w:color w:val="auto"/>
              </w:rPr>
            </w:pPr>
            <w:r>
              <w:rPr>
                <w:rFonts w:ascii="Arial" w:cs="Arial" w:eastAsia="Arial" w:hAnsi="Arial"/>
                <w:sz w:val="26"/>
                <w:szCs w:val="26"/>
                <w:b w:val="1"/>
                <w:bCs w:val="1"/>
                <w:color w:val="auto"/>
              </w:rPr>
              <w:t>Jefferies</w:t>
            </w:r>
          </w:p>
        </w:tc>
        <w:tc>
          <w:tcPr>
            <w:tcW w:w="2160" w:type="dxa"/>
            <w:vAlign w:val="bottom"/>
          </w:tcPr>
          <w:p>
            <w:pPr>
              <w:jc w:val="right"/>
              <w:spacing w:after="0"/>
              <w:rPr>
                <w:sz w:val="20"/>
                <w:szCs w:val="20"/>
                <w:color w:val="auto"/>
              </w:rPr>
            </w:pPr>
            <w:r>
              <w:rPr>
                <w:rFonts w:ascii="Arial" w:cs="Arial" w:eastAsia="Arial" w:hAnsi="Arial"/>
                <w:sz w:val="26"/>
                <w:szCs w:val="26"/>
                <w:b w:val="1"/>
                <w:bCs w:val="1"/>
                <w:color w:val="auto"/>
              </w:rPr>
              <w:t>William Blair</w:t>
            </w:r>
          </w:p>
        </w:tc>
        <w:tc>
          <w:tcPr>
            <w:tcW w:w="1980" w:type="dxa"/>
            <w:vAlign w:val="bottom"/>
          </w:tcPr>
          <w:p>
            <w:pPr>
              <w:spacing w:after="0"/>
              <w:rPr>
                <w:sz w:val="24"/>
                <w:szCs w:val="24"/>
                <w:color w:val="auto"/>
              </w:rPr>
            </w:pPr>
          </w:p>
        </w:tc>
      </w:tr>
      <w:tr>
        <w:trPr>
          <w:trHeight w:val="194"/>
        </w:trPr>
        <w:tc>
          <w:tcPr>
            <w:tcW w:w="50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461"/>
        </w:trPr>
        <w:tc>
          <w:tcPr>
            <w:tcW w:w="7100" w:type="dxa"/>
            <w:vAlign w:val="bottom"/>
            <w:gridSpan w:val="3"/>
          </w:tcPr>
          <w:p>
            <w:pPr>
              <w:ind w:left="3600"/>
              <w:spacing w:after="0"/>
              <w:rPr>
                <w:sz w:val="20"/>
                <w:szCs w:val="20"/>
                <w:color w:val="auto"/>
              </w:rPr>
            </w:pPr>
            <w:r>
              <w:rPr>
                <w:rFonts w:ascii="Arial" w:cs="Arial" w:eastAsia="Arial" w:hAnsi="Arial"/>
                <w:sz w:val="16"/>
                <w:szCs w:val="16"/>
                <w:color w:val="auto"/>
                <w:w w:val="92"/>
              </w:rPr>
              <w:t>The date of this prospectus supplement is December</w:t>
            </w:r>
          </w:p>
        </w:tc>
        <w:tc>
          <w:tcPr>
            <w:tcW w:w="2160" w:type="dxa"/>
            <w:vAlign w:val="bottom"/>
          </w:tcPr>
          <w:p>
            <w:pPr>
              <w:jc w:val="right"/>
              <w:ind w:right="1515"/>
              <w:spacing w:after="0"/>
              <w:rPr>
                <w:sz w:val="20"/>
                <w:szCs w:val="20"/>
                <w:color w:val="auto"/>
              </w:rPr>
            </w:pPr>
            <w:r>
              <w:rPr>
                <w:rFonts w:ascii="Arial" w:cs="Arial" w:eastAsia="Arial" w:hAnsi="Arial"/>
                <w:sz w:val="16"/>
                <w:szCs w:val="16"/>
                <w:color w:val="auto"/>
              </w:rPr>
              <w:t>, 2020</w:t>
            </w:r>
          </w:p>
        </w:tc>
        <w:tc>
          <w:tcPr>
            <w:tcW w:w="1980" w:type="dxa"/>
            <w:vAlign w:val="bottom"/>
          </w:tcPr>
          <w:p>
            <w:pPr>
              <w:spacing w:after="0"/>
              <w:rPr>
                <w:sz w:val="24"/>
                <w:szCs w:val="24"/>
                <w:color w:val="auto"/>
              </w:rPr>
            </w:pPr>
          </w:p>
        </w:tc>
      </w:tr>
      <w:tr>
        <w:trPr>
          <w:trHeight w:val="352"/>
        </w:trPr>
        <w:tc>
          <w:tcPr>
            <w:tcW w:w="5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gridSpan w:val="2"/>
          </w:tcPr>
          <w:p>
            <w:pPr>
              <w:jc w:val="center"/>
              <w:ind w:left="2440"/>
              <w:spacing w:after="0"/>
              <w:rPr>
                <w:sz w:val="20"/>
                <w:szCs w:val="20"/>
                <w:color w:val="auto"/>
              </w:rPr>
            </w:pPr>
            <w:r>
              <w:rPr>
                <w:rFonts w:ascii="Arial" w:cs="Arial" w:eastAsia="Arial" w:hAnsi="Arial"/>
                <w:sz w:val="16"/>
                <w:szCs w:val="16"/>
                <w:b w:val="1"/>
                <w:bCs w:val="1"/>
                <w:color w:val="auto"/>
              </w:rPr>
              <w:t>VISTAGEN THERAPEUTICS, INC.</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20" w:type="dxa"/>
            <w:vAlign w:val="bottom"/>
          </w:tcPr>
          <w:p>
            <w:pPr>
              <w:spacing w:after="0"/>
              <w:rPr>
                <w:sz w:val="24"/>
                <w:szCs w:val="24"/>
                <w:color w:val="auto"/>
              </w:rPr>
            </w:pPr>
          </w:p>
        </w:tc>
        <w:tc>
          <w:tcPr>
            <w:tcW w:w="4200" w:type="dxa"/>
            <w:vAlign w:val="bottom"/>
          </w:tcPr>
          <w:p>
            <w:pPr>
              <w:jc w:val="center"/>
              <w:ind w:right="1920"/>
              <w:spacing w:after="0"/>
              <w:rPr>
                <w:sz w:val="20"/>
                <w:szCs w:val="20"/>
                <w:color w:val="auto"/>
              </w:rPr>
            </w:pPr>
            <w:r>
              <w:rPr>
                <w:rFonts w:ascii="Arial" w:cs="Arial" w:eastAsia="Arial" w:hAnsi="Arial"/>
                <w:sz w:val="16"/>
                <w:szCs w:val="16"/>
                <w:b w:val="1"/>
                <w:bCs w:val="1"/>
                <w:color w:val="auto"/>
                <w:w w:val="99"/>
              </w:rPr>
              <w:t>TABLE OF CONTENTS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720" w:type="dxa"/>
            <w:vAlign w:val="bottom"/>
            <w:gridSpan w:val="2"/>
          </w:tcPr>
          <w:p>
            <w:pPr>
              <w:spacing w:after="0"/>
              <w:rPr>
                <w:sz w:val="20"/>
                <w:szCs w:val="20"/>
                <w:color w:val="auto"/>
              </w:rPr>
            </w:pPr>
            <w:r>
              <w:rPr>
                <w:rFonts w:ascii="Arial" w:cs="Arial" w:eastAsia="Arial" w:hAnsi="Arial"/>
                <w:sz w:val="16"/>
                <w:szCs w:val="16"/>
                <w:b w:val="1"/>
                <w:bCs w:val="1"/>
                <w:color w:val="auto"/>
              </w:rPr>
              <w:t>Prospectus Supplement</w:t>
            </w:r>
          </w:p>
        </w:tc>
        <w:tc>
          <w:tcPr>
            <w:tcW w:w="2520" w:type="dxa"/>
            <w:vAlign w:val="bottom"/>
            <w:vMerge w:val="restart"/>
          </w:tcPr>
          <w:p>
            <w:pPr>
              <w:jc w:val="center"/>
              <w:ind w:left="134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9"/>
        </w:trPr>
        <w:tc>
          <w:tcPr>
            <w:tcW w:w="4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About This Prospectus Supplement</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Prospectus Supplement Summary</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Risk Factors</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S-5</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Cautionary Notes Regarding Forward-Looking Statements</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S-11</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Use of Proceeds</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S-12</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Description of the Securities We Are Offering</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S-13</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Dividend Policy</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S-15</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Capitalization</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S-16</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Dilution</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S-17</w:t>
            </w:r>
          </w:p>
        </w:tc>
        <w:tc>
          <w:tcPr>
            <w:tcW w:w="0" w:type="dxa"/>
            <w:vAlign w:val="bottom"/>
          </w:tcPr>
          <w:p>
            <w:pPr>
              <w:spacing w:after="0"/>
              <w:rPr>
                <w:sz w:val="1"/>
                <w:szCs w:val="1"/>
                <w:color w:val="auto"/>
              </w:rPr>
            </w:pPr>
          </w:p>
        </w:tc>
      </w:tr>
      <w:tr>
        <w:trPr>
          <w:trHeight w:val="169"/>
        </w:trPr>
        <w:tc>
          <w:tcPr>
            <w:tcW w:w="8720" w:type="dxa"/>
            <w:vAlign w:val="bottom"/>
            <w:gridSpan w:val="2"/>
          </w:tcPr>
          <w:p>
            <w:pPr>
              <w:spacing w:after="0" w:line="161" w:lineRule="exact"/>
              <w:rPr>
                <w:sz w:val="20"/>
                <w:szCs w:val="20"/>
                <w:color w:val="auto"/>
              </w:rPr>
            </w:pPr>
            <w:r>
              <w:rPr>
                <w:rFonts w:ascii="Arial" w:cs="Arial" w:eastAsia="Arial" w:hAnsi="Arial"/>
                <w:sz w:val="16"/>
                <w:szCs w:val="16"/>
                <w:color w:val="0000EE"/>
              </w:rPr>
              <w:t>Material U.S. Federal Income Tax Consequences to Non-U.S. Holders</w:t>
            </w:r>
          </w:p>
        </w:tc>
        <w:tc>
          <w:tcPr>
            <w:tcW w:w="2520" w:type="dxa"/>
            <w:vAlign w:val="bottom"/>
          </w:tcPr>
          <w:p>
            <w:pPr>
              <w:jc w:val="center"/>
              <w:ind w:left="1340"/>
              <w:spacing w:after="0" w:line="161" w:lineRule="exact"/>
              <w:rPr>
                <w:sz w:val="20"/>
                <w:szCs w:val="20"/>
                <w:color w:val="auto"/>
              </w:rPr>
            </w:pPr>
            <w:r>
              <w:rPr>
                <w:rFonts w:ascii="Arial" w:cs="Arial" w:eastAsia="Arial" w:hAnsi="Arial"/>
                <w:sz w:val="16"/>
                <w:szCs w:val="16"/>
                <w:color w:val="auto"/>
                <w:w w:val="88"/>
              </w:rPr>
              <w:t>S-18</w:t>
            </w:r>
          </w:p>
        </w:tc>
        <w:tc>
          <w:tcPr>
            <w:tcW w:w="0" w:type="dxa"/>
            <w:vAlign w:val="bottom"/>
          </w:tcPr>
          <w:p>
            <w:pPr>
              <w:spacing w:after="0"/>
              <w:rPr>
                <w:sz w:val="1"/>
                <w:szCs w:val="1"/>
                <w:color w:val="auto"/>
              </w:rPr>
            </w:pPr>
          </w:p>
        </w:tc>
      </w:tr>
      <w:tr>
        <w:trPr>
          <w:trHeight w:val="206"/>
        </w:trPr>
        <w:tc>
          <w:tcPr>
            <w:tcW w:w="4520" w:type="dxa"/>
            <w:vAlign w:val="bottom"/>
            <w:tcBorders>
              <w:top w:val="single" w:sz="8" w:color="0000EE"/>
            </w:tcBorders>
            <w:shd w:val="clear" w:color="auto" w:fill="CCEEFF"/>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Underwriting</w:t>
              </w:r>
            </w:hyperlink>
          </w:p>
        </w:tc>
        <w:tc>
          <w:tcPr>
            <w:tcW w:w="420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S-23</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Legal Matters</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S-29</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Experts</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S-29</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Where You Can Find More Information</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S-30</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Incorporation of Certain Information by Reference</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S-30</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Prospectus</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520" w:type="dxa"/>
            <w:vAlign w:val="bottom"/>
          </w:tcPr>
          <w:p>
            <w:pPr>
              <w:jc w:val="center"/>
              <w:ind w:left="134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About This Prospectus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Company Overview</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Risk Factors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Cautionary Notes Regarding Forward-Looking Statements</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Use of Proceeds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Description of Our Capital Stock</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Description of Warrants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Description of Units</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Description of Certain Provisions of Nevada Law and Our Articles of Incorporation and Bylaws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Plan of Distribution</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Legal Matters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Experts</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Where You Can Find More Information</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5"/>
        </w:trPr>
        <w:tc>
          <w:tcPr>
            <w:tcW w:w="8720" w:type="dxa"/>
            <w:vAlign w:val="bottom"/>
            <w:gridSpan w:val="2"/>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Incorporation of Certain Information by Reference</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5"/>
          <w:szCs w:val="15"/>
          <w:color w:val="auto"/>
        </w:rPr>
        <w:t>We are responsible for the information contained and incorporated by reference in this prospectus supplement, the accompanying prospectus and in any free writing prospectus that we have authorized for use in connection with this offering. We have not authorized anyone to give you any other information, and we take no responsibility for any other information that others may give you. We are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the accompanying prospectus and any free writing prospectus that we have authorized for use in connection with this offering speaks only as of the date of this document, unless the information specifically indicates that another date applies. Neither the delivery of this prospectus supplement, the accompanying prospectus or any free writing prospectus that we have authorized for use in connection with this offering, nor any sale of securities made under these documents, will, under any circumstances, create any implication that there has been no change in our affairs since the date of this prospectus supplement, the accompanying prospectus or any free writing prospectus that we have authorized for use in connection with this offering, nor that the information contained or incorporated by reference is correct as of any time subsequent to the date of such information. You should assume that the information contained and incorporated by reference in this prospectus supplement, the accompanying prospectus and in any free writing prospectus that we have authorized for use in connection with this offering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328930</wp:posOffset>
            </wp:positionV>
            <wp:extent cx="714375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sectPr>
      </w:pPr>
    </w:p>
    <w:bookmarkStart w:id="2" w:name="page3"/>
    <w:bookmarkEnd w:id="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ABOUT THIS PROSPECTUS SUPPLEMENT</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This prospectus supplement and the accompanying prospectus form part of a registration statement on Form S-3 that we filed with the U.S. Securities and Exchange Commission (the “SEC”) using a “shelf” registration process. This document contains two parts. The first part consists of this prospectus supplement, which provides you with specific information about this offering and certain other matters relating to us and our business. The second part consists of the accompanying prospectus, which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including the documents incorporated by reference therein. Information in any document we subsequently file that is incorporated by reference shall modify or supersede the information in this prospectus supplement, the accompanying prospectus and documents incorporated by reference prior to such subsequent filing.</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the context otherwise requires, references in this prospectus supplement to “we”, “us” and “our”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3750" cy="6704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670433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PROSPECTUS SUPPLEMENT SUMMARY</w:t>
      </w:r>
    </w:p>
    <w:p>
      <w:pPr>
        <w:spacing w:after="0" w:line="216" w:lineRule="exact"/>
        <w:rPr>
          <w:sz w:val="20"/>
          <w:szCs w:val="20"/>
          <w:color w:val="auto"/>
        </w:rPr>
      </w:pPr>
    </w:p>
    <w:p>
      <w:pPr>
        <w:jc w:val="both"/>
        <w:ind w:left="120" w:firstLine="593"/>
        <w:spacing w:after="0" w:line="262" w:lineRule="auto"/>
        <w:rPr>
          <w:sz w:val="20"/>
          <w:szCs w:val="20"/>
          <w:color w:val="auto"/>
        </w:rPr>
      </w:pPr>
      <w:r>
        <w:rPr>
          <w:rFonts w:ascii="Arial" w:cs="Arial" w:eastAsia="Arial" w:hAnsi="Arial"/>
          <w:sz w:val="16"/>
          <w:szCs w:val="16"/>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and the accompanying prospectus and the documents incorporated by reference herein, the financial statements and the notes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Business Overview</w:t>
      </w:r>
    </w:p>
    <w:p>
      <w:pPr>
        <w:spacing w:after="0" w:line="216" w:lineRule="exact"/>
        <w:rPr>
          <w:sz w:val="20"/>
          <w:szCs w:val="20"/>
          <w:color w:val="auto"/>
        </w:rPr>
      </w:pPr>
    </w:p>
    <w:p>
      <w:pPr>
        <w:jc w:val="both"/>
        <w:ind w:left="120" w:firstLine="593"/>
        <w:spacing w:after="0" w:line="278" w:lineRule="auto"/>
        <w:rPr>
          <w:sz w:val="20"/>
          <w:szCs w:val="20"/>
          <w:color w:val="auto"/>
        </w:rPr>
      </w:pPr>
      <w:r>
        <w:rPr>
          <w:rFonts w:ascii="Arial" w:cs="Arial" w:eastAsia="Arial" w:hAnsi="Arial"/>
          <w:sz w:val="15"/>
          <w:szCs w:val="15"/>
          <w:color w:val="auto"/>
        </w:rPr>
        <w:t>We are a clinical-stage biopharmaceutical company committed to developing and commercializing differentiated new generation medications that go beyond the current standard of care for anxiety, depression and other central nervous system (“CNS”) disorders. Our pipeline includes three CNS product candidates, PH94B, PH10 and AV-101, each with a differentiated potential mechanism of action, favorable safety results observed in all clinical studies to date, and therapeutic potential in multiple CNS indications. We are currently preparing PH94B for a pivotal Phase 3 clinical study as a potential acute treatment of anxiety in adults with social anxiety disorder (“SAD”). We are also preparing PH94B for a small exploratory Phase 2A study in adult patients experiencing adjustment disorder with anxiety (“AjDA”). PH10 has completed a successful exploratory Phase 2A study for the treatment of major depressive disorder (“MDD”). We are currently preparing for the initiation of a Phase 2B clinical trial of PH10 as a potential stand-alone treatment for MDD. In several clinical studies, AV-101 was shown to be orally bioavailable and was well-tolerated. Based on successful preclinical studies involving AV-101 alone and in combination with probenecid, we are currently assessing the potential to pursue Phase 1B and subsequent Phase 2A clinical studies of AV-101, in combination with probenecid, for treatment of CNS indications involving the N-methyl-D-aspartate receptor (“NMDAR”). Additionally, our wholly owned subsidiary, VistaGen Therapeutics, Inc., d/b/a VistaStem, a California corporation (“VistaStem”), has pluripotent stem cell technology focused on assessing and developing small molecule new chemical entities (“NCEs”) for our CNS pipeline, or for out-licensing, by utilizing CardioSafe 3D, VistaStem’s customized human heart cell-based cardiac bioassay system. Our goal is to become a fully integrated biopharmaceutical company that develops and commercializes innovative CNS therapies for large and growing neuropsychiatry and neurology markets worldwide where current treatments are inadequate to meet the needs of millions of patients.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Our Product Candidates</w:t>
      </w:r>
    </w:p>
    <w:p>
      <w:pPr>
        <w:spacing w:after="0" w:line="216" w:lineRule="exact"/>
        <w:rPr>
          <w:sz w:val="20"/>
          <w:szCs w:val="20"/>
          <w:color w:val="auto"/>
        </w:rPr>
      </w:pPr>
    </w:p>
    <w:p>
      <w:pPr>
        <w:jc w:val="both"/>
        <w:ind w:left="120" w:firstLine="593"/>
        <w:spacing w:after="0" w:line="263" w:lineRule="auto"/>
        <w:rPr>
          <w:sz w:val="20"/>
          <w:szCs w:val="20"/>
          <w:color w:val="auto"/>
        </w:rPr>
      </w:pPr>
      <w:r>
        <w:rPr>
          <w:rFonts w:ascii="Arial" w:cs="Arial" w:eastAsia="Arial" w:hAnsi="Arial"/>
          <w:sz w:val="16"/>
          <w:szCs w:val="16"/>
          <w:color w:val="auto"/>
        </w:rPr>
        <w:t>We believe that PH94B has the potential to be a novel, first-in-class neuroactive steroid nasal spray for use in a wide range of indications involving anxiety or phobia. Designed to be self-administered in microgram doses, PH94B is designed to not require systemic uptake and distribution to produce rapid-onset anti-anxiety effects. We are initially developing PH94B as a potential fast-acting, non-sedating, non-addictive, new generation acute treatment of anxiety in adults with SAD. With its rapid-onset pharmacology, potential lack of systemic exposure and favorable safety results, observed in clinical studies to date, we believe that PH94B also has potential to be developed as a novel treatment for a broad range of anxiety disorders, including AjDA, postpartum anxiety, post-traumatic stress disorder, preprocedural anxiety, panic and others.</w:t>
      </w:r>
    </w:p>
    <w:p>
      <w:pPr>
        <w:spacing w:after="0" w:line="175" w:lineRule="exact"/>
        <w:rPr>
          <w:sz w:val="20"/>
          <w:szCs w:val="20"/>
          <w:color w:val="auto"/>
        </w:rPr>
      </w:pPr>
    </w:p>
    <w:p>
      <w:pPr>
        <w:jc w:val="both"/>
        <w:ind w:left="120" w:firstLine="593"/>
        <w:spacing w:after="0" w:line="286" w:lineRule="auto"/>
        <w:rPr>
          <w:sz w:val="20"/>
          <w:szCs w:val="20"/>
          <w:color w:val="auto"/>
        </w:rPr>
      </w:pPr>
      <w:r>
        <w:rPr>
          <w:rFonts w:ascii="Arial" w:cs="Arial" w:eastAsia="Arial" w:hAnsi="Arial"/>
          <w:sz w:val="15"/>
          <w:szCs w:val="15"/>
          <w:color w:val="auto"/>
        </w:rPr>
        <w:t>PH10 is an innovative odorless investigational synthetic neuroactive nasal spray designed to have rapid onset and therapeutic potential in several neuropsychiatric indications involving depression. Following completion of a successful exploratory Phase 2A clinical study, we are preparing to initiate a Phase 2B clinical study of PH10 for the treatment for MDD. Designed to be self-administered in microgram doses, PH10 is designed to not require systemic uptake and distribution to produce rapid-onset antidepressant effects. With its rapid-onset pharmacology, potential lack of systemic exposure and favorable safety results, observed in clinical studies to date, we believe that PH10 has potential to be a novel treatment for multiple depression related disorders and suicidal ideation.</w:t>
      </w:r>
    </w:p>
    <w:p>
      <w:pPr>
        <w:spacing w:after="0" w:line="159" w:lineRule="exact"/>
        <w:rPr>
          <w:sz w:val="20"/>
          <w:szCs w:val="20"/>
          <w:color w:val="auto"/>
        </w:rPr>
      </w:pPr>
    </w:p>
    <w:p>
      <w:pPr>
        <w:jc w:val="both"/>
        <w:ind w:left="120" w:firstLine="593"/>
        <w:spacing w:after="0" w:line="261" w:lineRule="auto"/>
        <w:rPr>
          <w:sz w:val="20"/>
          <w:szCs w:val="20"/>
          <w:color w:val="auto"/>
        </w:rPr>
      </w:pPr>
      <w:r>
        <w:rPr>
          <w:rFonts w:ascii="Arial" w:cs="Arial" w:eastAsia="Arial" w:hAnsi="Arial"/>
          <w:sz w:val="16"/>
          <w:szCs w:val="16"/>
          <w:color w:val="auto"/>
        </w:rPr>
        <w:t>AV-101 (4-Cl-KYN) is a potentially novel, investigational prodrug designed to be orally administered and to target the NMDAR, an ionotropic glutamate receptor in the brain. Abnormal NMDAR function is associated with numerous CNS diseases and disorders. AV-101’s active metabolite, 7-chloro-kynurenic acid, has been observed to be a potent and selective full antagonist of the glycine coagonist site of the NMDAR that inhibits the function of the NMDAR, but does not block the NMDAR like ketamine and other NMDAR antagonists. AV-101 has been observed in clinical trials to be orally bioavailable, well-tolerated and not cause dissociative or hallucinogenic psychological side effects or safety concerns similar to those that may be caused by other NMDAR antagonists. In light of these findings, we believe that AV-101 has potential to become an oral, new generation treatment for multiple large market CNS indications involving abnormal NDAR function and where current treatments are inadequate to meet high unmet patient needs. The U.S. Food and Drug Administration (“FDA”) has granted Fast Track designation for development of AV-101 as both a potential adjunctive treatment for MDD and as a non-opioid treatment for neuropathic pain (“NP”). We are currently evaluating AV-101’s therapeutic potential in combination with probenecid.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4" w:name="page5"/>
    <w:bookmarkEnd w:id="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3750" cy="7473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747331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left="120" w:firstLine="593"/>
        <w:spacing w:after="0" w:line="285" w:lineRule="auto"/>
        <w:rPr>
          <w:sz w:val="20"/>
          <w:szCs w:val="20"/>
          <w:color w:val="auto"/>
        </w:rPr>
      </w:pPr>
      <w:r>
        <w:rPr>
          <w:rFonts w:ascii="Arial" w:cs="Arial" w:eastAsia="Arial" w:hAnsi="Arial"/>
          <w:sz w:val="16"/>
          <w:szCs w:val="16"/>
          <w:color w:val="auto"/>
        </w:rPr>
        <w:t>VistaStem is applying pluripotent stem cell (hPSC) technology and CardioSafe 3D, our customized cardiac bioassay system, to discover and develop novel, investigational small molecule NCEs for our CNS pipeline or for out-licensing.</w:t>
      </w:r>
    </w:p>
    <w:p>
      <w:pPr>
        <w:spacing w:after="0" w:line="156" w:lineRule="exact"/>
        <w:rPr>
          <w:sz w:val="20"/>
          <w:szCs w:val="20"/>
          <w:color w:val="auto"/>
        </w:rPr>
      </w:pPr>
    </w:p>
    <w:p>
      <w:pPr>
        <w:jc w:val="both"/>
        <w:ind w:left="120" w:right="20" w:firstLine="593"/>
        <w:spacing w:after="0" w:line="320" w:lineRule="auto"/>
        <w:rPr>
          <w:sz w:val="20"/>
          <w:szCs w:val="20"/>
          <w:color w:val="auto"/>
        </w:rPr>
      </w:pPr>
      <w:r>
        <w:rPr>
          <w:rFonts w:ascii="Arial" w:cs="Arial" w:eastAsia="Arial" w:hAnsi="Arial"/>
          <w:sz w:val="15"/>
          <w:szCs w:val="15"/>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as well as U.S. and foreign patent applications.</w:t>
      </w:r>
    </w:p>
    <w:p>
      <w:pPr>
        <w:spacing w:after="0" w:line="133"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Our condensed consolidated financial statements incorporated by reference in this prospectus supplement also include the accounts of VistaStem and VistaStem’s two wholly owned inactive subsidiaries, Artemis Neuroscience, Inc., a Maryland corporation, and VistaStem Canada, Inc., a corporation organized under the laws of Ontario, Canada.</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Recent Developments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Conversion of Series B Preferred Stock</w:t>
      </w:r>
    </w:p>
    <w:p>
      <w:pPr>
        <w:spacing w:after="0" w:line="212"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On December 3, 2020, a holder of 28,571 shares of our 10% Convertible Series B preferred stock (“Series B Preferred”) converted such shares into an equal number of shares of our common stock pursuant to the terms of the Series B Preferred. In connection with the conversion, we issued 160,062 of our common stock in payment of approximately $124,600 of accrued dividends on the Series B Preferred converted.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Warrant Exercises</w:t>
      </w:r>
    </w:p>
    <w:p>
      <w:pPr>
        <w:spacing w:after="0" w:line="212" w:lineRule="exact"/>
        <w:rPr>
          <w:sz w:val="20"/>
          <w:szCs w:val="20"/>
          <w:color w:val="auto"/>
        </w:rPr>
      </w:pPr>
    </w:p>
    <w:p>
      <w:pPr>
        <w:jc w:val="both"/>
        <w:ind w:left="120" w:firstLine="593"/>
        <w:spacing w:after="0" w:line="285" w:lineRule="auto"/>
        <w:rPr>
          <w:sz w:val="20"/>
          <w:szCs w:val="20"/>
          <w:color w:val="auto"/>
        </w:rPr>
      </w:pPr>
      <w:r>
        <w:rPr>
          <w:rFonts w:ascii="Arial" w:cs="Arial" w:eastAsia="Arial" w:hAnsi="Arial"/>
          <w:sz w:val="16"/>
          <w:szCs w:val="16"/>
          <w:color w:val="auto"/>
        </w:rPr>
        <w:t>On December 9, 2020, holders of outstanding warrants to purchase an aggregate of 477,986 shares of our registered common stock at $0.50 per share exercised such warrants and we received cash proceeds of $239,000.</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Nasdaq Compliance</w:t>
      </w:r>
    </w:p>
    <w:p>
      <w:pPr>
        <w:spacing w:after="0" w:line="212" w:lineRule="exact"/>
        <w:rPr>
          <w:sz w:val="20"/>
          <w:szCs w:val="20"/>
          <w:color w:val="auto"/>
        </w:rPr>
      </w:pPr>
    </w:p>
    <w:p>
      <w:pPr>
        <w:jc w:val="both"/>
        <w:ind w:left="120" w:firstLine="593"/>
        <w:spacing w:after="0" w:line="263" w:lineRule="auto"/>
        <w:rPr>
          <w:sz w:val="20"/>
          <w:szCs w:val="20"/>
          <w:color w:val="auto"/>
        </w:rPr>
      </w:pPr>
      <w:r>
        <w:rPr>
          <w:rFonts w:ascii="Arial" w:cs="Arial" w:eastAsia="Arial" w:hAnsi="Arial"/>
          <w:sz w:val="16"/>
          <w:szCs w:val="16"/>
          <w:color w:val="auto"/>
        </w:rPr>
        <w:t>On January 31, 2020, we were notified by the Nasdaq Stock Market, LLC (“Nasdaq”) that we were not in compliance with the minimum bid price requirements set forth in Nasdaq Listing Rule 5550(a)(2) (the “Bid Price Rule”) for continued listing on the Nasdaq Capital Market. The Bid Price Rule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the Bid Price Rule. To regain compliance, the bid price of our common stock must have a closing bid price of at least $1.00 per share for a minimum of 10 consecutive business days.</w:t>
      </w:r>
    </w:p>
    <w:p>
      <w:pPr>
        <w:spacing w:after="0" w:line="175" w:lineRule="exact"/>
        <w:rPr>
          <w:sz w:val="20"/>
          <w:szCs w:val="20"/>
          <w:color w:val="auto"/>
        </w:rPr>
      </w:pPr>
    </w:p>
    <w:p>
      <w:pPr>
        <w:jc w:val="both"/>
        <w:ind w:left="120" w:firstLine="593"/>
        <w:spacing w:after="0" w:line="282" w:lineRule="auto"/>
        <w:rPr>
          <w:sz w:val="20"/>
          <w:szCs w:val="20"/>
          <w:color w:val="auto"/>
        </w:rPr>
      </w:pPr>
      <w:r>
        <w:rPr>
          <w:rFonts w:ascii="Arial" w:cs="Arial" w:eastAsia="Arial" w:hAnsi="Arial"/>
          <w:sz w:val="15"/>
          <w:szCs w:val="15"/>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were granted until October 12, 2020 to regain compliance with the Bid Price Rule. We did not regain compliance with the Bid Price Rule by October 12, 2020; however, we notified Nasdaq in writing of our intent to cure the deficiency during a second compliance period. On October 13, 2020, Nasdaq notified us that based on our satisfaction of the remaining Nasdaq Capital Market listing requirements and our statement of intent to cure the bid price deficiency, Nasdaq had granted us a second 180-day compliance period, or through April 12, 2021, in which to regain compliance. If we fail to regain compliance during the second 180-day period, then Nasdaq will notify us of its determination to delist our common stock, at which point we will have an opportunity to appeal the delisting determination to a hearings panel.</w:t>
      </w:r>
    </w:p>
    <w:p>
      <w:pPr>
        <w:spacing w:after="0" w:line="164"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On March 30, 2020, we received a letter from the Listing Qualifications Staff of Nasdaq notifying us that the listing of our shares of common stock was not in compliance with Nasdaq Listing Rule 5550(b)(2) (the “MVLS Rule”) for continued listing on the Nasdaq Capital Market, as the market value of our listed securities was less than $35 million for the previous 30 consecutive business days.</w:t>
      </w:r>
    </w:p>
    <w:p>
      <w:pPr>
        <w:spacing w:after="0" w:line="168"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To regain compliance with the MVLS Rule, the market value of our listed securities must be $35 million or more for a minimum of 10 consecutive business days. Between July 20, 2020 and August 2, 2020, the market value of our listed securities was above $35 million. As a result, on August 3, 2020 we received a letter from Nasdaq’s Listing Qualifications Staff advising that we had regained compliance with the MVLS Rule.</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Please see “Risk Factors” below for additional disclosure regarding our compliance with Nasdaq Listing Qualifications.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ind w:left="120" w:firstLine="593"/>
        <w:spacing w:after="0" w:line="300" w:lineRule="auto"/>
        <w:rPr>
          <w:sz w:val="20"/>
          <w:szCs w:val="20"/>
          <w:color w:val="auto"/>
        </w:rPr>
      </w:pPr>
      <w:r>
        <w:rPr>
          <w:rFonts w:ascii="Arial" w:cs="Arial" w:eastAsia="Arial" w:hAnsi="Arial"/>
          <w:sz w:val="14"/>
          <w:szCs w:val="14"/>
          <w:color w:val="auto"/>
        </w:rPr>
        <w:t>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w:t>
      </w:r>
    </w:p>
    <w:p>
      <w:pPr>
        <w:spacing w:after="0" w:line="1" w:lineRule="exact"/>
        <w:rPr>
          <w:sz w:val="20"/>
          <w:szCs w:val="20"/>
          <w:color w:val="auto"/>
        </w:rPr>
      </w:pPr>
    </w:p>
    <w:p>
      <w:pPr>
        <w:ind w:left="120" w:right="20" w:firstLine="3"/>
        <w:spacing w:after="0" w:line="276" w:lineRule="auto"/>
        <w:tabs>
          <w:tab w:leader="none" w:pos="528"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5" w:name="page6"/>
    <w:bookmarkEnd w:id="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3750" cy="10177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017778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3720" w:type="dxa"/>
            <w:vAlign w:val="bottom"/>
          </w:tcPr>
          <w:p>
            <w:pPr>
              <w:spacing w:after="0"/>
              <w:rPr>
                <w:sz w:val="18"/>
                <w:szCs w:val="18"/>
                <w:color w:val="auto"/>
              </w:rPr>
            </w:pPr>
          </w:p>
        </w:tc>
        <w:tc>
          <w:tcPr>
            <w:tcW w:w="2640" w:type="dxa"/>
            <w:vAlign w:val="bottom"/>
          </w:tcPr>
          <w:p>
            <w:pPr>
              <w:ind w:left="1160"/>
              <w:spacing w:after="0"/>
              <w:rPr>
                <w:sz w:val="20"/>
                <w:szCs w:val="20"/>
                <w:color w:val="auto"/>
              </w:rPr>
            </w:pPr>
            <w:r>
              <w:rPr>
                <w:rFonts w:ascii="Arial" w:cs="Arial" w:eastAsia="Arial" w:hAnsi="Arial"/>
                <w:sz w:val="16"/>
                <w:szCs w:val="16"/>
                <w:b w:val="1"/>
                <w:bCs w:val="1"/>
                <w:color w:val="auto"/>
              </w:rPr>
              <w:t>THE OFFERING</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88"/>
        </w:trPr>
        <w:tc>
          <w:tcPr>
            <w:tcW w:w="3720" w:type="dxa"/>
            <w:vAlign w:val="bottom"/>
          </w:tcPr>
          <w:p>
            <w:pPr>
              <w:spacing w:after="0"/>
              <w:rPr>
                <w:sz w:val="20"/>
                <w:szCs w:val="20"/>
                <w:color w:val="auto"/>
              </w:rPr>
            </w:pPr>
            <w:r>
              <w:rPr>
                <w:rFonts w:ascii="Arial" w:cs="Arial" w:eastAsia="Arial" w:hAnsi="Arial"/>
                <w:sz w:val="16"/>
                <w:szCs w:val="16"/>
                <w:b w:val="1"/>
                <w:bCs w:val="1"/>
                <w:color w:val="auto"/>
              </w:rPr>
              <w:t>Units Offered by Us</w:t>
            </w:r>
          </w:p>
        </w:tc>
        <w:tc>
          <w:tcPr>
            <w:tcW w:w="2640" w:type="dxa"/>
            <w:vAlign w:val="bottom"/>
          </w:tcPr>
          <w:p>
            <w:pPr>
              <w:ind w:left="1220"/>
              <w:spacing w:after="0"/>
              <w:rPr>
                <w:sz w:val="20"/>
                <w:szCs w:val="20"/>
                <w:color w:val="auto"/>
              </w:rPr>
            </w:pPr>
            <w:r>
              <w:rPr>
                <w:rFonts w:ascii="Arial" w:cs="Arial" w:eastAsia="Arial" w:hAnsi="Arial"/>
                <w:sz w:val="16"/>
                <w:szCs w:val="16"/>
                <w:color w:val="auto"/>
              </w:rPr>
              <w:t>We are offering</w:t>
            </w:r>
          </w:p>
        </w:tc>
        <w:tc>
          <w:tcPr>
            <w:tcW w:w="2380" w:type="dxa"/>
            <w:vAlign w:val="bottom"/>
          </w:tcPr>
          <w:p>
            <w:pPr>
              <w:ind w:left="60"/>
              <w:spacing w:after="0"/>
              <w:rPr>
                <w:sz w:val="20"/>
                <w:szCs w:val="20"/>
                <w:color w:val="auto"/>
              </w:rPr>
            </w:pPr>
            <w:r>
              <w:rPr>
                <w:rFonts w:ascii="Arial" w:cs="Arial" w:eastAsia="Arial" w:hAnsi="Arial"/>
                <w:sz w:val="16"/>
                <w:szCs w:val="16"/>
                <w:color w:val="auto"/>
              </w:rPr>
              <w:t>units. Each unit will consist of</w:t>
            </w:r>
          </w:p>
        </w:tc>
        <w:tc>
          <w:tcPr>
            <w:tcW w:w="2260" w:type="dxa"/>
            <w:vAlign w:val="bottom"/>
            <w:gridSpan w:val="3"/>
          </w:tcPr>
          <w:p>
            <w:pPr>
              <w:jc w:val="right"/>
              <w:ind w:right="80"/>
              <w:spacing w:after="0"/>
              <w:rPr>
                <w:sz w:val="20"/>
                <w:szCs w:val="20"/>
                <w:color w:val="auto"/>
              </w:rPr>
            </w:pPr>
            <w:r>
              <w:rPr>
                <w:rFonts w:ascii="Arial" w:cs="Arial" w:eastAsia="Arial" w:hAnsi="Arial"/>
                <w:sz w:val="16"/>
                <w:szCs w:val="16"/>
                <w:color w:val="auto"/>
                <w:w w:val="92"/>
              </w:rPr>
              <w:t>share of our common stock and</w:t>
            </w:r>
          </w:p>
        </w:tc>
      </w:tr>
      <w:tr>
        <w:trPr>
          <w:trHeight w:val="198"/>
        </w:trPr>
        <w:tc>
          <w:tcPr>
            <w:tcW w:w="3720" w:type="dxa"/>
            <w:vAlign w:val="bottom"/>
          </w:tcPr>
          <w:p>
            <w:pPr>
              <w:spacing w:after="0"/>
              <w:rPr>
                <w:sz w:val="17"/>
                <w:szCs w:val="17"/>
                <w:color w:val="auto"/>
              </w:rPr>
            </w:pPr>
          </w:p>
        </w:tc>
        <w:tc>
          <w:tcPr>
            <w:tcW w:w="7280" w:type="dxa"/>
            <w:vAlign w:val="bottom"/>
            <w:gridSpan w:val="5"/>
          </w:tcPr>
          <w:p>
            <w:pPr>
              <w:jc w:val="right"/>
              <w:spacing w:after="0"/>
              <w:rPr>
                <w:sz w:val="20"/>
                <w:szCs w:val="20"/>
                <w:color w:val="auto"/>
              </w:rPr>
            </w:pPr>
            <w:r>
              <w:rPr>
                <w:rFonts w:ascii="Arial" w:cs="Arial" w:eastAsia="Arial" w:hAnsi="Arial"/>
                <w:sz w:val="16"/>
                <w:szCs w:val="16"/>
                <w:color w:val="auto"/>
              </w:rPr>
              <w:t>shares of our Series D Preferred Stock. The units will not be certificated and the shares of</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1"/>
              </w:rPr>
              <w:t>our common stock and the shares of our Series D Preferred Stock are immediately separable</w:t>
            </w:r>
          </w:p>
        </w:tc>
      </w:tr>
      <w:tr>
        <w:trPr>
          <w:trHeight w:val="205"/>
        </w:trPr>
        <w:tc>
          <w:tcPr>
            <w:tcW w:w="3720" w:type="dxa"/>
            <w:vAlign w:val="bottom"/>
          </w:tcPr>
          <w:p>
            <w:pPr>
              <w:spacing w:after="0"/>
              <w:rPr>
                <w:sz w:val="17"/>
                <w:szCs w:val="17"/>
                <w:color w:val="auto"/>
              </w:rPr>
            </w:pPr>
          </w:p>
        </w:tc>
        <w:tc>
          <w:tcPr>
            <w:tcW w:w="5020" w:type="dxa"/>
            <w:vAlign w:val="bottom"/>
            <w:gridSpan w:val="2"/>
          </w:tcPr>
          <w:p>
            <w:pPr>
              <w:ind w:left="1220"/>
              <w:spacing w:after="0"/>
              <w:rPr>
                <w:sz w:val="20"/>
                <w:szCs w:val="20"/>
                <w:color w:val="auto"/>
              </w:rPr>
            </w:pPr>
            <w:r>
              <w:rPr>
                <w:rFonts w:ascii="Arial" w:cs="Arial" w:eastAsia="Arial" w:hAnsi="Arial"/>
                <w:sz w:val="16"/>
                <w:szCs w:val="16"/>
                <w:color w:val="auto"/>
              </w:rPr>
              <w:t>and will be issued separately in this offering.</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88"/>
        </w:trPr>
        <w:tc>
          <w:tcPr>
            <w:tcW w:w="3720" w:type="dxa"/>
            <w:vAlign w:val="bottom"/>
          </w:tcPr>
          <w:p>
            <w:pPr>
              <w:spacing w:after="0"/>
              <w:rPr>
                <w:sz w:val="24"/>
                <w:szCs w:val="24"/>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8"/>
              </w:rPr>
              <w:t>This prospectus supplement also relates to the offering of shares of our common stock</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0"/>
              </w:rPr>
              <w:t>issuable upon conversion of our Series D Preferred Stock. Such conversion is contingent upon</w:t>
            </w:r>
          </w:p>
        </w:tc>
      </w:tr>
      <w:tr>
        <w:trPr>
          <w:trHeight w:val="205"/>
        </w:trPr>
        <w:tc>
          <w:tcPr>
            <w:tcW w:w="3720" w:type="dxa"/>
            <w:vAlign w:val="bottom"/>
          </w:tcPr>
          <w:p>
            <w:pPr>
              <w:spacing w:after="0"/>
              <w:rPr>
                <w:sz w:val="17"/>
                <w:szCs w:val="17"/>
                <w:color w:val="auto"/>
              </w:rPr>
            </w:pPr>
          </w:p>
        </w:tc>
        <w:tc>
          <w:tcPr>
            <w:tcW w:w="5020" w:type="dxa"/>
            <w:vAlign w:val="bottom"/>
            <w:gridSpan w:val="2"/>
          </w:tcPr>
          <w:p>
            <w:pPr>
              <w:ind w:left="1220"/>
              <w:spacing w:after="0"/>
              <w:rPr>
                <w:sz w:val="20"/>
                <w:szCs w:val="20"/>
                <w:color w:val="auto"/>
              </w:rPr>
            </w:pPr>
            <w:r>
              <w:rPr>
                <w:rFonts w:ascii="Arial" w:cs="Arial" w:eastAsia="Arial" w:hAnsi="Arial"/>
                <w:sz w:val="16"/>
                <w:szCs w:val="16"/>
                <w:color w:val="auto"/>
                <w:w w:val="91"/>
              </w:rPr>
              <w:t>the approval and effectiveness of the Charter Amendment.</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20"/>
        </w:trPr>
        <w:tc>
          <w:tcPr>
            <w:tcW w:w="3720" w:type="dxa"/>
            <w:vAlign w:val="bottom"/>
          </w:tcPr>
          <w:p>
            <w:pPr>
              <w:spacing w:after="0"/>
              <w:rPr>
                <w:sz w:val="20"/>
                <w:szCs w:val="20"/>
                <w:color w:val="auto"/>
              </w:rPr>
            </w:pPr>
            <w:r>
              <w:rPr>
                <w:rFonts w:ascii="Arial" w:cs="Arial" w:eastAsia="Arial" w:hAnsi="Arial"/>
                <w:sz w:val="16"/>
                <w:szCs w:val="16"/>
                <w:b w:val="1"/>
                <w:bCs w:val="1"/>
                <w:color w:val="auto"/>
              </w:rPr>
              <w:t>Series D Convertible Preferred Stock</w:t>
            </w:r>
          </w:p>
        </w:tc>
        <w:tc>
          <w:tcPr>
            <w:tcW w:w="2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6"/>
                <w:szCs w:val="16"/>
                <w:color w:val="auto"/>
              </w:rPr>
              <w:t>Conversion</w:t>
            </w:r>
          </w:p>
        </w:tc>
        <w:tc>
          <w:tcPr>
            <w:tcW w:w="5440" w:type="dxa"/>
            <w:vAlign w:val="bottom"/>
            <w:gridSpan w:val="3"/>
          </w:tcPr>
          <w:p>
            <w:pPr>
              <w:ind w:left="1220"/>
              <w:spacing w:after="0"/>
              <w:rPr>
                <w:sz w:val="20"/>
                <w:szCs w:val="20"/>
                <w:color w:val="auto"/>
              </w:rPr>
            </w:pPr>
            <w:r>
              <w:rPr>
                <w:rFonts w:ascii="Arial" w:cs="Arial" w:eastAsia="Arial" w:hAnsi="Arial"/>
                <w:sz w:val="16"/>
                <w:szCs w:val="16"/>
                <w:color w:val="auto"/>
                <w:w w:val="92"/>
              </w:rPr>
              <w:t>The shares of our Series D Preferred Stock are convertible on a</w:t>
            </w:r>
          </w:p>
        </w:tc>
        <w:tc>
          <w:tcPr>
            <w:tcW w:w="480" w:type="dxa"/>
            <w:vAlign w:val="bottom"/>
          </w:tcPr>
          <w:p>
            <w:pPr>
              <w:ind w:left="120"/>
              <w:spacing w:after="0"/>
              <w:rPr>
                <w:sz w:val="20"/>
                <w:szCs w:val="20"/>
                <w:color w:val="auto"/>
              </w:rPr>
            </w:pPr>
            <w:r>
              <w:rPr>
                <w:rFonts w:ascii="Arial" w:cs="Arial" w:eastAsia="Arial" w:hAnsi="Arial"/>
                <w:sz w:val="16"/>
                <w:szCs w:val="16"/>
                <w:color w:val="auto"/>
              </w:rPr>
              <w:t>-to-</w:t>
            </w:r>
          </w:p>
        </w:tc>
        <w:tc>
          <w:tcPr>
            <w:tcW w:w="1360" w:type="dxa"/>
            <w:vAlign w:val="bottom"/>
          </w:tcPr>
          <w:p>
            <w:pPr>
              <w:jc w:val="right"/>
              <w:spacing w:after="0"/>
              <w:rPr>
                <w:sz w:val="20"/>
                <w:szCs w:val="20"/>
                <w:color w:val="auto"/>
              </w:rPr>
            </w:pPr>
            <w:r>
              <w:rPr>
                <w:rFonts w:ascii="Arial" w:cs="Arial" w:eastAsia="Arial" w:hAnsi="Arial"/>
                <w:sz w:val="16"/>
                <w:szCs w:val="16"/>
                <w:color w:val="auto"/>
                <w:w w:val="97"/>
              </w:rPr>
              <w:t>basis into shares of</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4"/>
              </w:rPr>
              <w:t>our common stock at any time at the option of the holder; provided, that such conversion is</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5"/>
              </w:rPr>
              <w:t>contingent upon the approval and effectiveness of the Charter Amendment; and provided,</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1"/>
              </w:rPr>
              <w:t>further, that the holder will be prohibited from converting Series D Preferred Stock into shares</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2"/>
              </w:rPr>
              <w:t>of our common stock if, as a result of such conversion, the holder, together with its affiliates,</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3"/>
              </w:rPr>
              <w:t>would own more than 9.99% of the total number of shares of our common stock then issued</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6"/>
              </w:rPr>
              <w:t>and outstanding. See “Description of the Securities We are Offering—Series D Preferred</w:t>
            </w:r>
          </w:p>
        </w:tc>
      </w:tr>
      <w:tr>
        <w:trPr>
          <w:trHeight w:val="205"/>
        </w:trPr>
        <w:tc>
          <w:tcPr>
            <w:tcW w:w="3720" w:type="dxa"/>
            <w:vAlign w:val="bottom"/>
          </w:tcPr>
          <w:p>
            <w:pPr>
              <w:spacing w:after="0"/>
              <w:rPr>
                <w:sz w:val="17"/>
                <w:szCs w:val="17"/>
                <w:color w:val="auto"/>
              </w:rPr>
            </w:pPr>
          </w:p>
        </w:tc>
        <w:tc>
          <w:tcPr>
            <w:tcW w:w="2640" w:type="dxa"/>
            <w:vAlign w:val="bottom"/>
          </w:tcPr>
          <w:p>
            <w:pPr>
              <w:ind w:left="1220"/>
              <w:spacing w:after="0"/>
              <w:rPr>
                <w:sz w:val="20"/>
                <w:szCs w:val="20"/>
                <w:color w:val="auto"/>
              </w:rPr>
            </w:pPr>
            <w:r>
              <w:rPr>
                <w:rFonts w:ascii="Arial" w:cs="Arial" w:eastAsia="Arial" w:hAnsi="Arial"/>
                <w:sz w:val="16"/>
                <w:szCs w:val="16"/>
                <w:color w:val="auto"/>
                <w:w w:val="95"/>
              </w:rPr>
              <w:t>Stock—Conversion.”</w:t>
            </w: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3"/>
        </w:trPr>
        <w:tc>
          <w:tcPr>
            <w:tcW w:w="3720" w:type="dxa"/>
            <w:vAlign w:val="bottom"/>
          </w:tcPr>
          <w:p>
            <w:pPr>
              <w:spacing w:after="0"/>
              <w:rPr>
                <w:sz w:val="20"/>
                <w:szCs w:val="20"/>
                <w:color w:val="auto"/>
              </w:rPr>
            </w:pPr>
            <w:r>
              <w:rPr>
                <w:rFonts w:ascii="Arial" w:cs="Arial" w:eastAsia="Arial" w:hAnsi="Arial"/>
                <w:sz w:val="16"/>
                <w:szCs w:val="16"/>
                <w:color w:val="auto"/>
              </w:rPr>
              <w:t>Liquidation Preference</w:t>
            </w: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1"/>
              </w:rPr>
              <w:t>Prior to approval and effectiveness of the Charter Amendment, in the event of our liquidation,</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5"/>
              </w:rPr>
              <w:t>dissolution, or winding up, holders of our Series D Preferred Stock will receive a payment</w:t>
            </w:r>
          </w:p>
        </w:tc>
      </w:tr>
      <w:tr>
        <w:trPr>
          <w:trHeight w:val="198"/>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2"/>
              </w:rPr>
              <w:t>equal to $0.001 per share of Series D Preferred Stock before any proceeds are distributed to</w:t>
            </w:r>
          </w:p>
        </w:tc>
      </w:tr>
      <w:tr>
        <w:trPr>
          <w:trHeight w:val="205"/>
        </w:trPr>
        <w:tc>
          <w:tcPr>
            <w:tcW w:w="3720" w:type="dxa"/>
            <w:vAlign w:val="bottom"/>
          </w:tcPr>
          <w:p>
            <w:pPr>
              <w:spacing w:after="0"/>
              <w:rPr>
                <w:sz w:val="17"/>
                <w:szCs w:val="17"/>
                <w:color w:val="auto"/>
              </w:rPr>
            </w:pPr>
          </w:p>
        </w:tc>
        <w:tc>
          <w:tcPr>
            <w:tcW w:w="7280" w:type="dxa"/>
            <w:vAlign w:val="bottom"/>
            <w:gridSpan w:val="5"/>
          </w:tcPr>
          <w:p>
            <w:pPr>
              <w:ind w:left="1220"/>
              <w:spacing w:after="0"/>
              <w:rPr>
                <w:sz w:val="20"/>
                <w:szCs w:val="20"/>
                <w:color w:val="auto"/>
              </w:rPr>
            </w:pPr>
            <w:r>
              <w:rPr>
                <w:rFonts w:ascii="Arial" w:cs="Arial" w:eastAsia="Arial" w:hAnsi="Arial"/>
                <w:sz w:val="16"/>
                <w:szCs w:val="16"/>
                <w:color w:val="auto"/>
                <w:w w:val="92"/>
              </w:rPr>
              <w:t>the holders of our common stock. On and after the approval and effectiveness of the Charter</w:t>
            </w:r>
          </w:p>
        </w:tc>
      </w:tr>
    </w:tbl>
    <w:p>
      <w:pPr>
        <w:jc w:val="both"/>
        <w:ind w:left="5060"/>
        <w:spacing w:after="0" w:line="267" w:lineRule="auto"/>
        <w:rPr>
          <w:sz w:val="20"/>
          <w:szCs w:val="20"/>
          <w:color w:val="auto"/>
        </w:rPr>
      </w:pPr>
      <w:r>
        <w:rPr>
          <w:rFonts w:ascii="Arial" w:cs="Arial" w:eastAsia="Arial" w:hAnsi="Arial"/>
          <w:sz w:val="16"/>
          <w:szCs w:val="16"/>
          <w:color w:val="auto"/>
        </w:rPr>
        <w:t>Amendment, the Series D Preferred Stock will have no liquidation preference. See “Description of the Securities We are Offering—Series D Preferred Stock—Liquidation Preference.”</w:t>
      </w:r>
    </w:p>
    <w:p>
      <w:pPr>
        <w:sectPr>
          <w:pgSz w:w="11900" w:h="16838" w:orient="portrait"/>
          <w:cols w:equalWidth="0" w:num="1">
            <w:col w:w="11120"/>
          </w:cols>
          <w:pgMar w:left="320" w:top="131" w:right="459" w:bottom="0" w:gutter="0" w:footer="0" w:header="0"/>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right="1000"/>
        <w:spacing w:after="0" w:line="290"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Prior to approval and effectiveness of the Charter Amendment, shares of Series D Preferred Stock will vote on an as-converted-to-common-stock basis as a single class with our shares of common stock. On and after approval and effectiveness of the Charter Amendment, shares of our Series D Preferred Stock will generally have no voting rights, except to the extent expressly provided in our articles of incorporation or as otherwise required by law.</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However, for so long as shares of Series D Preferred Stock are outstanding, the affirmative consent of holders of a majority of the outstanding Series D Preferred Stock will be required before we can (i) amend, alter, modify or repeal (whether by merger, consolidation or otherwise) the certificate of designations relating to our Series D Preferred Stock, our articles of incorporation or our bylaws in any manner that adversely affects the rights, preferences, privileges or the restrictions provided for the benefit of, the Series D Preferred Stock; (ii) issue further shares of Series D Preferred Stock or increase or decrease (other than by conversion) the number of authorized shares of Series D Preferred Stock; or (iii) enter into any agreement to do any of the foregoing that is not expressly made conditional on obtaining the affirmative vote or written consent of the requisite holders. See “Description of the Securities We are Offering—Series D Preferred Stock—Voting Rights.”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shares.</w:t>
      </w:r>
    </w:p>
    <w:p>
      <w:pPr>
        <w:spacing w:after="0" w:line="200" w:lineRule="exact"/>
        <w:rPr>
          <w:sz w:val="20"/>
          <w:szCs w:val="20"/>
          <w:color w:val="auto"/>
        </w:rPr>
      </w:pPr>
    </w:p>
    <w:p>
      <w:pPr>
        <w:spacing w:after="0" w:line="259"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We currently intend to use the net proceeds from the offering for research, development and manufacturing and regulatory expenses associated with continuing development of PH94B, PH10, AV-101, and potential drug candidates to expand our CNS pipeline and for other working capital and general corporate purposes. See “Use of Proceeds on page S-12.”</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Investing in our securities involves a high degree of risk. For a discussion of factors that you should consider before buying our securities, see the information under “Risk Factors” beginning on page S-5 of this prospectus supplement and under similar headings in the documents incorporated by reference into this prospectus supplement.</w:t>
      </w:r>
    </w:p>
    <w:p>
      <w:pPr>
        <w:spacing w:after="0" w:line="176" w:lineRule="exact"/>
        <w:rPr>
          <w:sz w:val="20"/>
          <w:szCs w:val="20"/>
          <w:color w:val="auto"/>
        </w:rPr>
      </w:pPr>
    </w:p>
    <w:p>
      <w:pPr>
        <w:sectPr>
          <w:pgSz w:w="11900" w:h="16838" w:orient="portrait"/>
          <w:cols w:equalWidth="0" w:num="2">
            <w:col w:w="4340" w:space="720"/>
            <w:col w:w="6060"/>
          </w:cols>
          <w:pgMar w:left="320" w:top="131" w:right="459" w:bottom="0" w:gutter="0" w:footer="0" w:header="0"/>
          <w:type w:val="continuous"/>
        </w:sectPr>
      </w:pPr>
    </w:p>
    <w:p>
      <w:pPr>
        <w:ind w:left="120"/>
        <w:spacing w:after="0"/>
        <w:tabs>
          <w:tab w:leader="none" w:pos="5040" w:val="left"/>
        </w:tabs>
        <w:rPr>
          <w:sz w:val="20"/>
          <w:szCs w:val="20"/>
          <w:color w:val="auto"/>
        </w:rPr>
      </w:pPr>
      <w:r>
        <w:rPr>
          <w:rFonts w:ascii="Arial" w:cs="Arial" w:eastAsia="Arial" w:hAnsi="Arial"/>
          <w:sz w:val="15"/>
          <w:szCs w:val="15"/>
          <w:b w:val="1"/>
          <w:bCs w:val="1"/>
          <w:color w:val="auto"/>
        </w:rPr>
        <w:t>Listing</w:t>
      </w:r>
      <w:r>
        <w:rPr>
          <w:sz w:val="20"/>
          <w:szCs w:val="20"/>
          <w:color w:val="auto"/>
        </w:rPr>
        <w:tab/>
      </w:r>
      <w:r>
        <w:rPr>
          <w:rFonts w:ascii="Arial" w:cs="Arial" w:eastAsia="Arial" w:hAnsi="Arial"/>
          <w:sz w:val="15"/>
          <w:szCs w:val="15"/>
          <w:color w:val="auto"/>
        </w:rPr>
        <w:t>Our common stock is listed on the Nasdaq Capital Market under the symbol “VTGN.” Our</w:t>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Series D Preferred is not and will not be listed on a national securities exchange.</w:t>
      </w:r>
    </w:p>
    <w:p>
      <w:pPr>
        <w:spacing w:after="0" w:line="229"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The number of shares of our common stock that are and will be outstanding immediately before and after this offering as shown above is based on 73,998,057 shares outstanding as of September 30, 2020. The number of shares outstanding as of September 30, 2020, as used throughout this prospectus supplement, unless otherwise indicated, excludes:</w:t>
      </w:r>
    </w:p>
    <w:p>
      <w:pPr>
        <w:spacing w:after="0" w:line="168" w:lineRule="exact"/>
        <w:rPr>
          <w:sz w:val="20"/>
          <w:szCs w:val="20"/>
          <w:color w:val="auto"/>
        </w:rPr>
      </w:pPr>
    </w:p>
    <w:p>
      <w:pPr>
        <w:ind w:left="1140" w:hanging="288"/>
        <w:spacing w:after="0" w:line="285"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of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jc w:val="both"/>
        <w:ind w:left="1140" w:hanging="288"/>
        <w:spacing w:after="0" w:line="271"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Stock, held by two institutional investors, and shares of our common stock which may be issued in payment of accrued dividends upon conversion of the Series B 10% Convertible Preferred Stock;</w:t>
      </w:r>
    </w:p>
    <w:p>
      <w:pPr>
        <w:spacing w:after="0" w:line="167" w:lineRule="exact"/>
        <w:rPr>
          <w:rFonts w:ascii="Arial" w:cs="Arial" w:eastAsia="Arial" w:hAnsi="Arial"/>
          <w:sz w:val="16"/>
          <w:szCs w:val="16"/>
          <w:color w:val="auto"/>
        </w:rPr>
      </w:pPr>
    </w:p>
    <w:p>
      <w:pPr>
        <w:ind w:left="1140" w:hanging="288"/>
        <w:spacing w:after="0" w:line="285"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Stock held by one institutional investor;</w:t>
      </w:r>
    </w:p>
    <w:p>
      <w:pPr>
        <w:spacing w:after="0" w:line="156" w:lineRule="exact"/>
        <w:rPr>
          <w:rFonts w:ascii="Arial" w:cs="Arial" w:eastAsia="Arial" w:hAnsi="Arial"/>
          <w:sz w:val="16"/>
          <w:szCs w:val="16"/>
          <w:color w:val="auto"/>
        </w:rPr>
      </w:pPr>
    </w:p>
    <w:p>
      <w:pPr>
        <w:ind w:left="1140" w:hanging="288"/>
        <w:spacing w:after="0"/>
        <w:tabs>
          <w:tab w:leader="none" w:pos="1140" w:val="left"/>
        </w:tabs>
        <w:numPr>
          <w:ilvl w:val="0"/>
          <w:numId w:val="2"/>
        </w:numPr>
        <w:rPr>
          <w:rFonts w:ascii="Arial" w:cs="Arial" w:eastAsia="Arial" w:hAnsi="Arial"/>
          <w:sz w:val="14"/>
          <w:szCs w:val="14"/>
          <w:color w:val="auto"/>
        </w:rPr>
      </w:pPr>
      <w:r>
        <w:rPr>
          <w:rFonts w:ascii="Arial" w:cs="Arial" w:eastAsia="Arial" w:hAnsi="Arial"/>
          <w:sz w:val="14"/>
          <w:szCs w:val="14"/>
          <w:color w:val="auto"/>
        </w:rPr>
        <w:t>25,761,834 shares of common stock that have been reserved for issuance upon exercise of outstanding warrants, with a weighted average exercise price of</w:t>
      </w:r>
    </w:p>
    <w:p>
      <w:pPr>
        <w:sectPr>
          <w:pgSz w:w="11900" w:h="16838" w:orient="portrait"/>
          <w:cols w:equalWidth="0" w:num="1">
            <w:col w:w="11120"/>
          </w:cols>
          <w:pgMar w:left="320" w:top="131" w:right="459" w:bottom="0" w:gutter="0" w:footer="0" w:header="0"/>
          <w:type w:val="continuous"/>
        </w:sectPr>
      </w:pPr>
    </w:p>
    <w:bookmarkStart w:id="6" w:name="page7"/>
    <w:bookmarkEnd w:id="6"/>
    <w:p>
      <w:pPr>
        <w:ind w:left="1020"/>
        <w:spacing w:after="0"/>
        <w:rPr>
          <w:sz w:val="20"/>
          <w:szCs w:val="20"/>
          <w:color w:val="auto"/>
        </w:rPr>
      </w:pPr>
      <w:r>
        <w:rPr>
          <w:rFonts w:ascii="Arial" w:cs="Arial" w:eastAsia="Arial" w:hAnsi="Arial"/>
          <w:sz w:val="16"/>
          <w:szCs w:val="16"/>
          <w:color w:val="auto"/>
        </w:rPr>
        <w:t>$1.53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-110490</wp:posOffset>
            </wp:positionV>
            <wp:extent cx="7143750" cy="1781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781810"/>
                    </a:xfrm>
                    <a:prstGeom prst="rect">
                      <a:avLst/>
                    </a:prstGeom>
                    <a:noFill/>
                  </pic:spPr>
                </pic:pic>
              </a:graphicData>
            </a:graphic>
          </wp:anchor>
        </w:drawing>
      </w:r>
    </w:p>
    <w:p>
      <w:pPr>
        <w:spacing w:after="0" w:line="192" w:lineRule="exact"/>
        <w:rPr>
          <w:sz w:val="20"/>
          <w:szCs w:val="20"/>
          <w:color w:val="auto"/>
        </w:rPr>
      </w:pPr>
    </w:p>
    <w:p>
      <w:pPr>
        <w:ind w:left="1020" w:hanging="288"/>
        <w:spacing w:after="0" w:line="28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12,068,088 shares of common stock reserved for issuance upon exercise of outstanding stock options under our 2019 Omnibus Equity Incentive Plan and our 2016 Equity Incentive Plan, with a weighted average exercise price of $1.20 per share;</w:t>
      </w:r>
    </w:p>
    <w:p>
      <w:pPr>
        <w:spacing w:after="0" w:line="156" w:lineRule="exact"/>
        <w:rPr>
          <w:rFonts w:ascii="Arial" w:cs="Arial" w:eastAsia="Arial" w:hAnsi="Arial"/>
          <w:sz w:val="16"/>
          <w:szCs w:val="16"/>
          <w:color w:val="auto"/>
        </w:rPr>
      </w:pPr>
    </w:p>
    <w:p>
      <w:pPr>
        <w:ind w:left="1020" w:hanging="288"/>
        <w:spacing w:after="0"/>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4,665,162 shares of common stock reserved for future issuance in connection with future grants under our 2019 Omnibus Equity Incentive Plan; and</w:t>
      </w:r>
    </w:p>
    <w:p>
      <w:pPr>
        <w:spacing w:after="0" w:line="223" w:lineRule="exact"/>
        <w:rPr>
          <w:rFonts w:ascii="Arial" w:cs="Arial" w:eastAsia="Arial" w:hAnsi="Arial"/>
          <w:sz w:val="15"/>
          <w:szCs w:val="15"/>
          <w:color w:val="auto"/>
        </w:rPr>
      </w:pPr>
    </w:p>
    <w:p>
      <w:pPr>
        <w:ind w:left="1020" w:hanging="288"/>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Employee Stock Purchase Plan (“ESPP”).</w:t>
      </w:r>
    </w:p>
    <w:p>
      <w:pPr>
        <w:spacing w:after="0" w:line="212"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Unless otherwise indicated, this prospectus supplement reflects and assumes (i) no exercise and/or conversion of any derivative securities that were outstanding as of September 30, 2020; (ii) no issuance of any derivative securities subsequent to September 30, 2020; and (iii) no conversion of the shares of Series D Preferred Stock issued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00"/>
          </w:cols>
          <w:pgMar w:left="440" w:top="131" w:right="459" w:bottom="1440" w:gutter="0" w:footer="0" w:header="0"/>
        </w:sectPr>
      </w:pPr>
    </w:p>
    <w:bookmarkStart w:id="7" w:name="page8"/>
    <w:bookmarkEnd w:id="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i w:val="1"/>
          <w:iCs w:val="1"/>
          <w:color w:val="auto"/>
        </w:rPr>
        <w:t>Our Annual Report on Form 10-K for the fiscal year ended March 31, 2020 and our Quarterly Reports on Form 10-Q for the quarters ended June 30, 2020 and September 30, 2020, each of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Risk Related to this Offering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adversely impacted, and may continue to adversely impact our business.</w:t>
      </w:r>
    </w:p>
    <w:p>
      <w:pPr>
        <w:spacing w:after="0" w:line="212"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Beginning in late 2019, a new strain of coronavirus (“COVID-19”)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175"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As the COVID-19 pandemic continues to rapidly evolve, we cannot at this time accurately predict the effects of these conditions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45" w:lineRule="exact"/>
        <w:rPr>
          <w:sz w:val="20"/>
          <w:szCs w:val="20"/>
          <w:color w:val="auto"/>
        </w:rPr>
      </w:pPr>
    </w:p>
    <w:p>
      <w:pPr>
        <w:jc w:val="both"/>
        <w:ind w:left="1040" w:hanging="299"/>
        <w:spacing w:after="0" w:line="26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faced, and may continue to face, delays and other disruptions to our ongoing clinical development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clinical development programs for our current product candidates, our research and development efforts may be impacted if our employees, our contract research organizations (“CROs”) and our third-party contract manufacturer(s) (“CMOs”) are advised to continue to work remotely as part of social distancing measures. Additionally, social distancing measures, stay-at-home orders and other governmental restrictions designed to combat the COVID-19 pandemic may impair our ability conduct our planned pivotal Phase 3 clinical study for PH94B in a timely manner.</w:t>
      </w:r>
    </w:p>
    <w:p>
      <w:pPr>
        <w:spacing w:after="0" w:line="179" w:lineRule="exact"/>
        <w:rPr>
          <w:rFonts w:ascii="Arial" w:cs="Arial" w:eastAsia="Arial" w:hAnsi="Arial"/>
          <w:sz w:val="16"/>
          <w:szCs w:val="16"/>
          <w:color w:val="auto"/>
        </w:rPr>
      </w:pPr>
    </w:p>
    <w:p>
      <w:pPr>
        <w:jc w:val="both"/>
        <w:ind w:left="1040" w:hanging="299"/>
        <w:spacing w:after="0" w:line="305" w:lineRule="auto"/>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Negative impacts on our suppliers and employees</w:t>
      </w:r>
      <w:r>
        <w:rPr>
          <w:rFonts w:ascii="Arial" w:cs="Arial" w:eastAsia="Arial" w:hAnsi="Arial"/>
          <w:sz w:val="14"/>
          <w:szCs w:val="14"/>
          <w:color w:val="auto"/>
        </w:rPr>
        <w:t>: COVID-19 has impacted and COVID-19 or another highly transmissible and pathogenic infectious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disease may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(“API”)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COVID-19 has also created significant disruption to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continued COVID-19 pandemic, or another significant outbreak of contagious disease in the human population,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We will require additional financing to fund future operations, including our research and development activities for our product candidates.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you purchase securities sold in this offering, you will experience immediate and substantial dilution in your investment as a result of this offering. In addition, we may issue additional equity or equity-linked securities in the future, which may result in additional dilution to you.</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combined public offering price per share being offered may be higher than the net tangible book value per share of our outstanding common stock prior to this</w:t>
      </w:r>
    </w:p>
    <w:p>
      <w:pPr>
        <w:spacing w:after="0" w:line="44" w:lineRule="exact"/>
        <w:rPr>
          <w:sz w:val="20"/>
          <w:szCs w:val="20"/>
          <w:color w:val="auto"/>
        </w:rPr>
      </w:pPr>
    </w:p>
    <w:p>
      <w:pPr>
        <w:spacing w:after="0"/>
        <w:tabs>
          <w:tab w:leader="none" w:pos="3560" w:val="left"/>
        </w:tabs>
        <w:rPr>
          <w:sz w:val="20"/>
          <w:szCs w:val="20"/>
          <w:color w:val="auto"/>
        </w:rPr>
      </w:pPr>
      <w:r>
        <w:rPr>
          <w:rFonts w:ascii="Arial" w:cs="Arial" w:eastAsia="Arial" w:hAnsi="Arial"/>
          <w:sz w:val="16"/>
          <w:szCs w:val="16"/>
          <w:color w:val="auto"/>
        </w:rPr>
        <w:t>offering. Based on the public offering price of $</w:t>
      </w:r>
      <w:r>
        <w:rPr>
          <w:sz w:val="20"/>
          <w:szCs w:val="20"/>
          <w:color w:val="auto"/>
        </w:rPr>
        <w:tab/>
      </w:r>
      <w:r>
        <w:rPr>
          <w:rFonts w:ascii="Arial" w:cs="Arial" w:eastAsia="Arial" w:hAnsi="Arial"/>
          <w:sz w:val="14"/>
          <w:szCs w:val="14"/>
          <w:color w:val="auto"/>
        </w:rPr>
        <w:t>per unit and our net tangible book value as of September 30, 2020 of approximately $0.06 per share, if you purchase</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securities in this offering, you will suffer immediate and substantial dilution of approximately $ per share, representing the difference between the public offering price per unit and the net tangible book value per share of our common stock as of September 30, 2020 after giving effect to this offering. See the section titled “</w:t>
      </w:r>
      <w:r>
        <w:rPr>
          <w:rFonts w:ascii="Arial" w:cs="Arial" w:eastAsia="Arial" w:hAnsi="Arial"/>
          <w:sz w:val="16"/>
          <w:szCs w:val="16"/>
          <w:i w:val="1"/>
          <w:iCs w:val="1"/>
          <w:color w:val="auto"/>
        </w:rPr>
        <w:t>Dilution</w:t>
      </w:r>
      <w:r>
        <w:rPr>
          <w:rFonts w:ascii="Arial" w:cs="Arial" w:eastAsia="Arial" w:hAnsi="Arial"/>
          <w:sz w:val="16"/>
          <w:szCs w:val="16"/>
          <w:color w:val="auto"/>
        </w:rPr>
        <w:t>” below for a more detailed discussion of the dilution you will incur if you purchase common stock in this offering.</w:t>
      </w:r>
    </w:p>
    <w:p>
      <w:pPr>
        <w:spacing w:after="0" w:line="170"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In addition, we expect that significant additional capital will be needed in the future to continue our planned operations. To the extent that we raise additional capital by issuing equity securities, including securities exercisable for or convertible into shares of our common stock, such as the shares of our Series D Preferred Stock, our existing shareholders’ ownership may experience substantial dilution, and the terms of these securities may include liquidation or other preferences that adversely affect your rights as a common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or the perception that such sales may occur, may adversely impact the price of our common stock.</w:t>
      </w:r>
    </w:p>
    <w:p>
      <w:pPr>
        <w:spacing w:after="0" w:line="235"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September 30, 2020, we had 73,998,057 shares of common stock outstanding, as well as outstanding options to purchase an aggregate of 12,068,088 shares of our common stock at a weighted average exercise price of $1.20 per share, up to 4,228,252 shares of common stock issuable upon conversion of outstanding shares of our preferred stock, up to 3,936,498 shares of common stock reserved for issuance as payment of accrued dividends on outstanding shares of our Series B 10% Convertible Preferred Stock, and outstanding warrants to purchase up to an aggregate of 25,761,834 shares of our common stock at a weighted average exercise price of $1.53 per share. The exercise and/or conversion of such outstanding derivative securities may result in further dilution of your investment.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such net proceeds in ways that you and other stockholders may not approve.</w:t>
      </w:r>
    </w:p>
    <w:p>
      <w:pPr>
        <w:spacing w:after="0" w:line="156"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Our management will have broad discretion in the use of the net proceeds from this offering, including for any of the purposes described in the section titled “</w:t>
      </w:r>
      <w:r>
        <w:rPr>
          <w:rFonts w:ascii="Arial" w:cs="Arial" w:eastAsia="Arial" w:hAnsi="Arial"/>
          <w:sz w:val="16"/>
          <w:szCs w:val="16"/>
          <w:i w:val="1"/>
          <w:iCs w:val="1"/>
          <w:color w:val="auto"/>
        </w:rPr>
        <w:t>Use of</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and you will not have the opportunity as part of your investment decision to assess whether the net proceeds are being used appropriately. Because of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the Series D Preferred Stock being offered in this offering.</w:t>
      </w:r>
    </w:p>
    <w:p>
      <w:pPr>
        <w:spacing w:after="0" w:line="212"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There is no established public trading market for the Series D Preferred Stock being offered in this offering, and we do not expect a market to develop. In addition, we do not intend to apply to list the Series D Preferred Stock on any securities exchange or nationally recognized trading system, including the Nasdaq Capital Market. Without an active market, the liquidity of the Series D Preferred Stock will be limited.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Series D Preferred Stock included in this offering may not have any value.</w:t>
      </w:r>
    </w:p>
    <w:p>
      <w:pPr>
        <w:spacing w:after="0" w:line="212"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color w:val="auto"/>
        </w:rPr>
        <w:t>We do not currently have a sufficient number of authorized shares of common stock to cover the shares issuable upon conversion of the Series D Preferred Stock being offered by this prospectus supplement. As a result, before any conversion of the Series D Preferred Stock, we need to receive stockholder approval of an amendment to our Restated and Amended Articles of Incorporation to increase the number of authorized shares of common stock to a total of 325 million shares (the “Charter Amendment”) at a special meeting of stockholders expected to take place during the first calendar quarter of 2021. While our board of directors has unanimously recommended that stockholders approve the Charter Amendment and all current directors and executive officers are supportive of the Charter Amendment, we cannot assure you that we will be able to obtain requisite stockholder approval of the Charter Amendment. The Series D Preferred Stock will convert into shares of our common stock on the date that we publicly announce through the filing of a Current Report on Form 8-K that the Charter Amendment has been approved by our stockholders and has become effective.</w:t>
      </w:r>
    </w:p>
    <w:p>
      <w:pPr>
        <w:spacing w:after="0" w:line="15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holders of the Series D Preferred Stock will initially be entitled to certain rights, including the right to receive a preferential payment equal to $0.001 per share before any proceeds are distributed to the holders of our common stock in the event of our liquidation, dissolution or winding up or a deemed liquidation event. Upon the approval of the Charter Amendment, these rights will terminate.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the event our stockholders do not approve the Charter Amendment, the Series D Preferred Stock will not convert and may not have any value.</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6"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jc w:val="both"/>
        <w:ind w:firstLine="593"/>
        <w:spacing w:after="0" w:line="299" w:lineRule="auto"/>
        <w:rPr>
          <w:sz w:val="20"/>
          <w:szCs w:val="20"/>
          <w:color w:val="auto"/>
        </w:rPr>
      </w:pPr>
      <w:r>
        <w:rPr>
          <w:rFonts w:ascii="Arial" w:cs="Arial" w:eastAsia="Arial" w:hAnsi="Arial"/>
          <w:sz w:val="14"/>
          <w:szCs w:val="14"/>
          <w:color w:val="auto"/>
        </w:rPr>
        <w:t>As of March 31, 2020, we had U.S. federal and state net operating loss carryforwards of approximately $125.1 million and $64.1 million, respectively, and U.S. federal and state tax credit carryforwards of approximately $2.1 and $1.2 million, respectively, and we have generated significant losses and credits after March 31, 2020. Under legislation enacted in 2017, informally titled the Tax Cuts and Jobs Act of 2017 (the “Tax Act”), as modified by the Coronavirus Aid, Relief, and Economic Security Act, federal net operating loss carryforwards generated in taxable years beginning after December 31, 2017 may be carried forward indefinitely but, in the case of taxable years beginning after December 31, 2020, may only be used to offset 80% of our taxable income annually. Similar rules may apply under state tax laws that may suspend or otherwise limit utilization of net operating losses, which could accelerate or permanently increase state taxes owed. For example, California enacted A.B. 85 which imposes limits on the usability of California net operating losses and certain tax credits in taxable years beginning after 2019 and before 2023. In addition, our ability to utilize our federal net operating loss and tax credit carryforwards may be limited under Sections 382 and 383 of the Code. The limitations apply if we experience an “ownership change,” which is generally defined as a greater than 50 percentage point change (by value) in the ownership of our equity by certain stockholders over a rolling three-year period. We have not assessed whether such an ownership change has previously occurred nor whether this offering will give rise to an ownership change. If we have experienced an ownership change at any time since our incorporation, we may already be subject to limitations on our ability to utilize all or a portion of our existing net operating losses and other tax attributes to offset taxable income. In addition, future changes in our stock ownership (including as a result of this offering), which may be outside of our control, may trigger an ownership change and, consequently, the limitations under Sections 382 and 383 of the Code. Similar provisions of state tax law may also apply to limit the use of our state net operating loss and tax credit carryforwards. As a result, if or when we earn net taxable income, our ability to use our pre-change net operating loss carryforwards and other tax attributes to offset such taxable income may be subject to limitations, which could adversely affect our future cash flows.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stock price and trading volume could decline.</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two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The market price of our common stock may be adversely affected by market conditions affecting the stock markets in general, including price and trading fluctuations on Nasdaq.</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6"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On January 31, 2020, we were notified by Nasdaq that we were not in compliance with the Bid Price Rule. The Bid Price Rule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the Bid Price Rule. To regain compliance, the bid price of our common stock must have a closing bid price of at least $1.00 per share for a minimum of 10 consecutive business days.</w:t>
      </w:r>
    </w:p>
    <w:p>
      <w:pPr>
        <w:spacing w:after="0" w:line="141"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were granted until October 12, 2020 to regain compliance with the Bid Price Rule. We did not regain compliance with the Bid Price Rule by October 12, 2020; however, we notified Nasdaq in writing of our intent to cure the deficiency during a second compliance period. On October 13, 2020, Nasdaq notified us that based on our satisfaction of the remaining Nasdaq Capital Market listing requirements and our statement of intent to cure the bid price deficiency, Nasdaq had granted us a second 180-day compliance period, or through April 12, 2021, in which to regain compliance. If we fail to regain compliance during the second 180-day period, then Nasdaq will notify us of its determination to delist our common stock, at which point we will have an opportunity to appeal the delisting determination to a hearings panel.</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Additionally, on March 30, 2020, we received a letter from the Listing Qualifications Staff of Nasdaq notifying us that the listing of our shares of common stock was not in compliance with the MVLS Rule for continued listing on the Nasdaq Capital Market, as the market value of our listed securities was less than $35 million for the previous 30 consecutive business days.</w:t>
      </w:r>
    </w:p>
    <w:p>
      <w:pPr>
        <w:spacing w:after="0" w:line="168"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To regain compliance with the MVLS Rule, the market value of our listed securities must be $35 million or more for a minimum of 10 consecutive business days. Between July 20, 2020 and August 2, 2020, the market value of our listed securities was above $35 million. As a result, on August 3, 2020 we received a letter from Nasdaq’s Listing Qualifications Staff advising that we had regained compliance with the MVLS Rule.</w:t>
      </w:r>
    </w:p>
    <w:p>
      <w:pPr>
        <w:spacing w:after="0" w:line="168"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No assurance can be given that we will meet applicable Nasdaq continued listing standards or that future noncompliance will not occur. Failure to meet applicable Nasdaq continued listing standards could result in a delisting of our common stock from The Nasdaq Capital Market, which could materially reduce the liquidity of our common stock and result in a corresponding material reduction in the price of our common stock. Your ability to sell or purchase our common stock when you wish to do so would also be impaired.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33"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7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causing our stock price to decline, we may be unable to obtain additional financing to operate and expand our business and our business and financial condition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require additional financing to execute our business plan and continue to operate as a going concern.</w:t>
      </w:r>
    </w:p>
    <w:p>
      <w:pPr>
        <w:spacing w:after="0" w:line="212"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color w:val="auto"/>
        </w:rPr>
        <w:t>Our audited consolidated financial statements for the year ended March 31, 2020 incorporated by reference into this prospectus supplement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65"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At September 30, 2020, we had cash and cash equivalents of approximately $15.4 million. We do not believe this amount, plus the proceeds to date from subsequent sales of our securities, is sufficient to enable us to fund our planned operations for at least the twelve months following the issuance of the financial statements incorporated by reference into this prospectus supplement. We expect to seek additional capital to produce PH94B study material, conduct the PH94B pivotal Phase 3 clinical trials, produce additional AV-101 study material for future nonclinical and clinical studies, conduct AV-101 Phase 3-enabling toxicology studies, conduct pivotal Phase 3 clinical studies of AV-101 in MDD, conduct AV-101 Phase 2 studies in LID, MDD, NP and SI, produce PH10 study material and conduct a Phase 2b clinical trial of PH10 in MDD, acquire or license and conduct research and development of additional product candidates and to fund our internal operations.</w:t>
      </w:r>
    </w:p>
    <w:p>
      <w:pPr>
        <w:spacing w:after="0" w:line="16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clinical trials, is highly uncertain, we cannot reasonably estimate the actual amounts necessary to successfully complete the development and commercialization of our product candidates, on our own or in collaboration with others. As with prior periods, we will continue to incur costs associated with other development programs for PH94B, PH10 and AV-101. In addition, other unanticipated costs may arise. As a result of these and other factors, we will need to seek additional capital to meet our future operating requirements, including capital necessary to develop,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212" w:lineRule="exact"/>
        <w:rPr>
          <w:sz w:val="20"/>
          <w:szCs w:val="20"/>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and characteristics of the product candidates we pursue;</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our product candidates;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 of manufacturing our product candidates and any products we successfully commercialize;</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establish and maintain strategic partnerships, licensing or other collaborative arrangements and the financial terms of such agreements;</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acceptance of our product candidates;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obtain government funding for our research and development programs;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obtaining, maintaining and enforcing patents to preserve our intellectual property;</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defending against such claims that we infringe third-party patents or violate other intellectual property rights and the outcome of such litigation;</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timing, receipt and amount of potential future licensee fees, milestone payments, and sales of, or royalties on, our future products, if any;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extent to which we may acquire or invest in additional businesses, product candidates and technologies.</w:t>
      </w:r>
    </w:p>
    <w:p>
      <w:pPr>
        <w:spacing w:after="0" w:line="212" w:lineRule="exact"/>
        <w:rPr>
          <w:sz w:val="20"/>
          <w:szCs w:val="20"/>
          <w:color w:val="auto"/>
        </w:rPr>
      </w:pPr>
    </w:p>
    <w:p>
      <w:pPr>
        <w:jc w:val="both"/>
        <w:ind w:firstLine="593"/>
        <w:spacing w:after="0" w:line="261"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5"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1040" w:hanging="299"/>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impact of the COVID-19 pandemic, efforts to contain the pandemic and resulting economic downturn on our operations and financial condition;</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implement the Charter Amendment;</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plans to develop and commercialize our any of our current product candidates;</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211" w:lineRule="exact"/>
        <w:rPr>
          <w:rFonts w:ascii="Arial" w:cs="Arial" w:eastAsia="Arial" w:hAnsi="Arial"/>
          <w:sz w:val="16"/>
          <w:szCs w:val="16"/>
          <w:color w:val="auto"/>
        </w:rPr>
      </w:pPr>
    </w:p>
    <w:p>
      <w:pPr>
        <w:ind w:left="1040" w:hanging="299"/>
        <w:spacing w:after="0" w:line="360" w:lineRule="auto"/>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10" w:lineRule="exact"/>
        <w:rPr>
          <w:rFonts w:ascii="Arial" w:cs="Arial" w:eastAsia="Arial" w:hAnsi="Arial"/>
          <w:sz w:val="14"/>
          <w:szCs w:val="14"/>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success of competing products and product candidates in development by others that are or become available for the indications that we are pursuing;</w:t>
      </w:r>
    </w:p>
    <w:p>
      <w:pPr>
        <w:spacing w:after="0" w:line="234" w:lineRule="exact"/>
        <w:rPr>
          <w:rFonts w:ascii="Arial" w:cs="Arial" w:eastAsia="Arial" w:hAnsi="Arial"/>
          <w:sz w:val="14"/>
          <w:szCs w:val="14"/>
          <w:color w:val="auto"/>
        </w:rPr>
      </w:pPr>
    </w:p>
    <w:p>
      <w:pPr>
        <w:ind w:left="1040" w:hanging="299"/>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loss of key scientific, clinical and nonclinical development, and/or management personnel, internally or from one of our third-party collaborators;</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comply with Nasdaq continued listing standards;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continue as a going concern; and</w:t>
      </w:r>
    </w:p>
    <w:p>
      <w:pPr>
        <w:spacing w:after="0" w:line="211"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Reports on Form 10-Q for the quarters ended June 30, 2020 and September 30, 2020, which risk factors are incorporated herein by reference.</w:t>
      </w:r>
    </w:p>
    <w:p>
      <w:pPr>
        <w:spacing w:after="0" w:line="168"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estimate that our net proceeds from this offering will be approximately $ million after deducting the underwriting discounts and commissions and estimated offering expenses payable by us.</w:t>
      </w:r>
    </w:p>
    <w:p>
      <w:pPr>
        <w:spacing w:after="0" w:line="156" w:lineRule="exact"/>
        <w:rPr>
          <w:sz w:val="20"/>
          <w:szCs w:val="20"/>
          <w:color w:val="auto"/>
        </w:rPr>
      </w:pPr>
    </w:p>
    <w:p>
      <w:pPr>
        <w:jc w:val="both"/>
        <w:ind w:firstLine="593"/>
        <w:spacing w:after="0" w:line="320" w:lineRule="auto"/>
        <w:rPr>
          <w:sz w:val="20"/>
          <w:szCs w:val="20"/>
          <w:color w:val="auto"/>
        </w:rPr>
      </w:pPr>
      <w:r>
        <w:rPr>
          <w:rFonts w:ascii="Arial" w:cs="Arial" w:eastAsia="Arial" w:hAnsi="Arial"/>
          <w:sz w:val="15"/>
          <w:szCs w:val="15"/>
          <w:color w:val="auto"/>
        </w:rPr>
        <w:t>We currently intend to use the net proceeds from the offering for research, development and manufacturing and regulatory expenses associated with continuing development of PH94B, PH10, AV-101, and potential drug candidates to expand our CNS pipeline and for other working capital and general corporate purposes.</w:t>
      </w:r>
    </w:p>
    <w:p>
      <w:pPr>
        <w:spacing w:after="0" w:line="133"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Pending other uses, we intend to invest our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THE SECURITIES WE ARE OFFERING</w:t>
      </w:r>
    </w:p>
    <w:p>
      <w:pPr>
        <w:spacing w:after="0" w:line="216" w:lineRule="exact"/>
        <w:rPr>
          <w:sz w:val="20"/>
          <w:szCs w:val="20"/>
          <w:color w:val="auto"/>
        </w:rPr>
      </w:pPr>
    </w:p>
    <w:p>
      <w:pPr>
        <w:ind w:left="600"/>
        <w:spacing w:after="0"/>
        <w:tabs>
          <w:tab w:leader="none" w:pos="3600" w:val="left"/>
          <w:tab w:leader="none" w:pos="5960" w:val="left"/>
        </w:tabs>
        <w:rPr>
          <w:sz w:val="20"/>
          <w:szCs w:val="20"/>
          <w:color w:val="auto"/>
        </w:rPr>
      </w:pPr>
      <w:r>
        <w:rPr>
          <w:rFonts w:ascii="Arial" w:cs="Arial" w:eastAsia="Arial" w:hAnsi="Arial"/>
          <w:sz w:val="16"/>
          <w:szCs w:val="16"/>
          <w:color w:val="auto"/>
        </w:rPr>
        <w:t>We are offering units. The units consist of</w:t>
      </w:r>
      <w:r>
        <w:rPr>
          <w:sz w:val="20"/>
          <w:szCs w:val="20"/>
          <w:color w:val="auto"/>
        </w:rPr>
        <w:tab/>
      </w:r>
      <w:r>
        <w:rPr>
          <w:rFonts w:ascii="Arial" w:cs="Arial" w:eastAsia="Arial" w:hAnsi="Arial"/>
          <w:sz w:val="16"/>
          <w:szCs w:val="16"/>
          <w:color w:val="auto"/>
        </w:rPr>
        <w:t>share of our common stock and</w:t>
      </w:r>
      <w:r>
        <w:rPr>
          <w:sz w:val="20"/>
          <w:szCs w:val="20"/>
          <w:color w:val="auto"/>
        </w:rPr>
        <w:tab/>
      </w:r>
      <w:r>
        <w:rPr>
          <w:rFonts w:ascii="Arial" w:cs="Arial" w:eastAsia="Arial" w:hAnsi="Arial"/>
          <w:sz w:val="14"/>
          <w:szCs w:val="14"/>
          <w:color w:val="auto"/>
        </w:rPr>
        <w:t>shares of our Series D Preferred Stock. The shares of common stock and Series 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forming a unit are each immediately separable and will be issued separately in this offering.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ind w:firstLine="593"/>
        <w:spacing w:after="0" w:line="285" w:lineRule="auto"/>
        <w:rPr>
          <w:sz w:val="20"/>
          <w:szCs w:val="20"/>
          <w:color w:val="auto"/>
        </w:rPr>
      </w:pPr>
      <w:r>
        <w:rPr>
          <w:rFonts w:ascii="Arial" w:cs="Arial" w:eastAsia="Arial" w:hAnsi="Arial"/>
          <w:sz w:val="16"/>
          <w:szCs w:val="16"/>
          <w:color w:val="auto"/>
        </w:rPr>
        <w:t>The material terms and provisions of our common stock and each other class of our securities which qualifies or limits our common stock are described under the caption “Description of Our Capital Stock” starting on page 9 in the accompanying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D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ind w:firstLine="593"/>
        <w:spacing w:after="0" w:line="360" w:lineRule="auto"/>
        <w:rPr>
          <w:sz w:val="20"/>
          <w:szCs w:val="20"/>
          <w:color w:val="auto"/>
        </w:rPr>
      </w:pPr>
      <w:r>
        <w:rPr>
          <w:rFonts w:ascii="Arial" w:cs="Arial" w:eastAsia="Arial" w:hAnsi="Arial"/>
          <w:sz w:val="14"/>
          <w:szCs w:val="14"/>
          <w:color w:val="auto"/>
        </w:rPr>
        <w:t>In connection with this offering, our board of directors will designate up to 2,000,000 shares of our 10,000,000 million authorized shares of preferred stock as Series D Preferred Stock. The preferences and rights of the Series D Preferred Stock will be as set forth in a Certificate of Designation (the “Series D Certificate of Designation”).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Shares of Series D Preferred Stock rank:</w:t>
      </w:r>
    </w:p>
    <w:p>
      <w:pPr>
        <w:spacing w:after="0" w:line="212" w:lineRule="exact"/>
        <w:rPr>
          <w:sz w:val="20"/>
          <w:szCs w:val="20"/>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senior to all of our common stock until the date of the Charter Amendment;</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senior to any class or series of our capital stock hereafter created specifically ranking by its terms junior to the Series D Preferred Stock;</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parity to all shares of Series A Preferred Stock, Series B Preferred Stock and Series C Preferred Stock;</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parity to any class or series of our capital stock hereafter created specifically ranking by its terms on parity with the Series D Preferred Stock;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junior to any class or series of our capital stock hereafter created specifically ranking by its terms senior to the Series D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to distributions of assets upon our liquidation, dissolution or winding up whether voluntarily or involuntarily and/or the right to receive dividends.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 xml:space="preserve">Each whole share of Series D Preferred Stock will initially be convertible into shares of our common stock at any time at the option of the holder;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Series D Preferred Stock shall not be convertible until the effective date of the Charter Amendment;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the holders of Series D Preferred Stock will be prohibited, subject to certain exceptions, from converting such shares of Series D Preferred Stock into shares of our common stock if, as a result of such conversion, the holder, together with its affiliates, would own more than 9.99% of the total number of shares of our common stock then issued and outstanding, which percentage may be changed at the holder’s election to a lower percentage at any time or to a higher percentage not to exceed 19.99% up 61 days’ notice to us.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w:t>
      </w:r>
    </w:p>
    <w:p>
      <w:pPr>
        <w:spacing w:after="0" w:line="212"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5"/>
          <w:szCs w:val="15"/>
          <w:color w:val="auto"/>
        </w:rPr>
        <w:t>Prior to approval and effectiveness of the Charter Amendment, each holder of shares of Series D Preferred Stock is entitled to receive, in preference to any distributions of any of the assets or surplus funds of the Company to the holders of our common stock and any of our securities that by their terms are junior to the Series D Preferred Stock and pari passu with any distribution to the holders of any securities having (by their terms) parity with the Series D Preferred Stock, an amount equal to $0.001 per share of Series D Preferred Stock, plus an additional amount equal to any dividends declared but unpaid on such shares, before any payments shall be made or any assets distributed to holders of any class of common stock or any of our securities that by their terms are junior to the Series D Preferred Stock. If, upon any such liquidation, dissolution or winding up of the Company, the assets of the Company shall be insufficient to pay the holders of shares of the Series D Preferred Stock the amount required under the preceding sentence, then all remaining assets of the Company shall be distributed ratably to holders of the shares of the Series D Preferred Stock and any securities having (by their terms) parity with the Series D Preferred Stock. After such preferential payment, each holder of shares of Series D Preferred Stock shall be entitled to participate pari passu with the holders of common stock (on an as-converted basis, without regard to the 9.99% beneficial ownership limitation) and any securities having (by their terms) parity with the Series D Preferred Stock, including the Series A Preferred Stock, the Series B Preferred Stock and the Series C Preferred Stock, in the remaining distribution of the net assets of the Company available for distribution..</w:t>
      </w:r>
    </w:p>
    <w:p>
      <w:pPr>
        <w:spacing w:after="0" w:line="168" w:lineRule="exact"/>
        <w:rPr>
          <w:sz w:val="20"/>
          <w:szCs w:val="20"/>
          <w:color w:val="auto"/>
        </w:rPr>
      </w:pPr>
    </w:p>
    <w:p>
      <w:pPr>
        <w:ind w:right="1840" w:firstLine="593"/>
        <w:spacing w:after="0" w:line="463" w:lineRule="auto"/>
        <w:rPr>
          <w:sz w:val="20"/>
          <w:szCs w:val="20"/>
          <w:color w:val="auto"/>
        </w:rPr>
      </w:pPr>
      <w:r>
        <w:rPr>
          <w:rFonts w:ascii="Arial" w:cs="Arial" w:eastAsia="Arial" w:hAnsi="Arial"/>
          <w:sz w:val="16"/>
          <w:szCs w:val="16"/>
          <w:color w:val="auto"/>
        </w:rPr>
        <w:t xml:space="preserve">On and after the approval and effectiveness of the Charter Amendment, the Series D Preferred Stock will have no liquidation preference. </w:t>
      </w:r>
      <w:r>
        <w:rPr>
          <w:rFonts w:ascii="Arial" w:cs="Arial" w:eastAsia="Arial" w:hAnsi="Arial"/>
          <w:sz w:val="16"/>
          <w:szCs w:val="16"/>
          <w:i w:val="1"/>
          <w:iCs w:val="1"/>
          <w:color w:val="auto"/>
        </w:rPr>
        <w:t>Voting Rights</w:t>
      </w:r>
    </w:p>
    <w:p>
      <w:pPr>
        <w:spacing w:after="0" w:line="20"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Prior to the date of the Charter Amendment, the Series D Preferred Stock will vote on an as-converted-to-common-stock basis as a single class with our common stock. On and after the date of the Charter Amendment, the Series D Preferred Stock will generally have no voting rights. However, so long as shares of Series D Preferred Stock remain outstanding, the affirmative vote of holders of a majority of the then-outstanding shares of Series D Preferred Stock will be required before we can (a) amend, alter, modify or repeal (whether by merger, consolidation or otherwise) the Series D Certificate of Designation, our articles of incorporation or our bylaws in any manner that adversely affects the rights, preferences, privileges or the restrictions provided for the benefit of the Series D Preferred Stock, (b) issue further shares of Series D Preferred Stock or increase or decrease (other than by conversion) the number of authorized shares of Series D Preferred Stock, or (c) enter into any agreement to do any of the foregoing that is not expressly made conditional on obtaining the affirmative vote or written consent of the requisite 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Shares of our Series D Preferred Stock are entitled to receive any dividends payable to holders of our common stock on an as-converted-to-common-stock basis.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w:t>
      </w:r>
    </w:p>
    <w:p>
      <w:pPr>
        <w:spacing w:after="0" w:line="212"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will not be obligated to redeem or repurchase any shares of Series D Preferred Stock. Shares of Series D Preferred Stock will not otherwise be entitled to any redemption rights or mandatory sinking fund or analogous fund provisions.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Listing</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do not intend to apply for listing of the Series D Preferred Stock on any securities exchange or other trading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 At September 30, 2020, accrued dividends on our Series B 10% Convertible Preferred Stock totaled approximately $5.7 million.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our cash and cash equivalents and capitalization as of September 30, 2020:</w:t>
      </w:r>
    </w:p>
    <w:p>
      <w:pPr>
        <w:spacing w:after="0" w:line="212" w:lineRule="exact"/>
        <w:rPr>
          <w:sz w:val="20"/>
          <w:szCs w:val="20"/>
          <w:color w:val="auto"/>
        </w:rPr>
      </w:pPr>
    </w:p>
    <w:p>
      <w:pPr>
        <w:ind w:left="1040" w:hanging="29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an actual basis; and</w:t>
      </w:r>
    </w:p>
    <w:p>
      <w:pPr>
        <w:spacing w:after="0" w:line="211" w:lineRule="exact"/>
        <w:rPr>
          <w:rFonts w:ascii="Arial" w:cs="Arial" w:eastAsia="Arial" w:hAnsi="Arial"/>
          <w:sz w:val="16"/>
          <w:szCs w:val="16"/>
          <w:color w:val="auto"/>
        </w:rPr>
      </w:pPr>
    </w:p>
    <w:p>
      <w:pPr>
        <w:ind w:left="1040" w:hanging="299"/>
        <w:spacing w:after="0" w:line="320" w:lineRule="auto"/>
        <w:tabs>
          <w:tab w:leader="none" w:pos="10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on a pro forma basis giving effect to the sale and issuance by us of shares of common stock and shares of Series D Preferred Stock in this offering, at a public offering price of $ per unit, after deducting the underwriting discount and commissions, and estimated offering expenses payable by 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Pr>
          <w:p>
            <w:pPr>
              <w:spacing w:after="0"/>
              <w:rPr>
                <w:sz w:val="20"/>
                <w:szCs w:val="20"/>
                <w:color w:val="auto"/>
              </w:rPr>
            </w:pPr>
            <w:r>
              <w:rPr>
                <w:rFonts w:ascii="Arial" w:cs="Arial" w:eastAsia="Arial" w:hAnsi="Arial"/>
                <w:sz w:val="16"/>
                <w:szCs w:val="16"/>
                <w:b w:val="1"/>
                <w:bCs w:val="1"/>
                <w:color w:val="auto"/>
              </w:rPr>
              <w:t>As of September 30, 2020</w:t>
            </w: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80" w:type="dxa"/>
            <w:vAlign w:val="bottom"/>
            <w:gridSpan w:val="2"/>
          </w:tcPr>
          <w:p>
            <w:pPr>
              <w:spacing w:after="0"/>
              <w:rPr>
                <w:sz w:val="20"/>
                <w:szCs w:val="20"/>
                <w:color w:val="auto"/>
              </w:rPr>
            </w:pPr>
            <w:r>
              <w:rPr>
                <w:rFonts w:ascii="Arial" w:cs="Arial" w:eastAsia="Arial" w:hAnsi="Arial"/>
                <w:sz w:val="16"/>
                <w:szCs w:val="16"/>
                <w:b w:val="1"/>
                <w:bCs w:val="1"/>
                <w:color w:val="auto"/>
              </w:rPr>
              <w:t>(amounts in dollars and in thousands, except share and per share amounts)</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Pro forma</w:t>
            </w:r>
          </w:p>
        </w:tc>
      </w:tr>
      <w:tr>
        <w:trPr>
          <w:trHeight w:val="262"/>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9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15,400</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2"/>
        </w:trPr>
        <w:tc>
          <w:tcPr>
            <w:tcW w:w="4660" w:type="dxa"/>
            <w:vAlign w:val="bottom"/>
          </w:tcPr>
          <w:p>
            <w:pPr>
              <w:spacing w:after="0"/>
              <w:rPr>
                <w:sz w:val="20"/>
                <w:szCs w:val="20"/>
                <w:color w:val="auto"/>
              </w:rPr>
            </w:pPr>
            <w:r>
              <w:rPr>
                <w:rFonts w:ascii="Arial" w:cs="Arial" w:eastAsia="Arial" w:hAnsi="Arial"/>
                <w:sz w:val="16"/>
                <w:szCs w:val="16"/>
                <w:b w:val="1"/>
                <w:bCs w:val="1"/>
                <w:color w:val="auto"/>
              </w:rPr>
              <w:t>Debt</w:t>
            </w: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9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6580" w:type="dxa"/>
            <w:vAlign w:val="bottom"/>
            <w:gridSpan w:val="2"/>
          </w:tcPr>
          <w:p>
            <w:pPr>
              <w:ind w:left="300"/>
              <w:spacing w:after="0"/>
              <w:rPr>
                <w:sz w:val="20"/>
                <w:szCs w:val="20"/>
                <w:color w:val="auto"/>
              </w:rPr>
            </w:pPr>
            <w:r>
              <w:rPr>
                <w:rFonts w:ascii="Arial" w:cs="Arial" w:eastAsia="Arial" w:hAnsi="Arial"/>
                <w:sz w:val="16"/>
                <w:szCs w:val="16"/>
                <w:color w:val="auto"/>
              </w:rPr>
              <w:t>7.3% and 6.3% notes payable to insurance premium financing provider</w:t>
            </w:r>
          </w:p>
        </w:tc>
        <w:tc>
          <w:tcPr>
            <w:tcW w:w="25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r>
      <w:tr>
        <w:trPr>
          <w:trHeight w:val="203"/>
        </w:trPr>
        <w:tc>
          <w:tcPr>
            <w:tcW w:w="4660" w:type="dxa"/>
            <w:vAlign w:val="bottom"/>
            <w:tcBorders>
              <w:bottom w:val="single" w:sz="8" w:color="CCEEFF"/>
            </w:tcBorders>
            <w:shd w:val="clear" w:color="auto" w:fill="CCEEFF"/>
          </w:tcPr>
          <w:p>
            <w:pPr>
              <w:ind w:left="300"/>
              <w:spacing w:after="0" w:line="198" w:lineRule="exact"/>
              <w:rPr>
                <w:sz w:val="20"/>
                <w:szCs w:val="20"/>
                <w:color w:val="auto"/>
              </w:rPr>
            </w:pPr>
            <w:r>
              <w:rPr>
                <w:rFonts w:ascii="Arial" w:cs="Arial" w:eastAsia="Arial" w:hAnsi="Arial"/>
                <w:sz w:val="16"/>
                <w:szCs w:val="16"/>
                <w:color w:val="auto"/>
              </w:rPr>
              <w:t>1% note payable under Paycheck Protection Program</w:t>
            </w:r>
            <w:r>
              <w:rPr>
                <w:rFonts w:ascii="Arial" w:cs="Arial" w:eastAsia="Arial" w:hAnsi="Arial"/>
                <w:sz w:val="22"/>
                <w:szCs w:val="22"/>
                <w:color w:val="auto"/>
                <w:vertAlign w:val="superscript"/>
              </w:rPr>
              <w:t>(1)</w:t>
            </w:r>
          </w:p>
        </w:tc>
        <w:tc>
          <w:tcPr>
            <w:tcW w:w="19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Total Debt</w:t>
            </w:r>
          </w:p>
        </w:tc>
        <w:tc>
          <w:tcPr>
            <w:tcW w:w="1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7"/>
                <w:szCs w:val="17"/>
                <w:color w:val="auto"/>
              </w:rPr>
            </w:pPr>
          </w:p>
        </w:tc>
      </w:tr>
      <w:tr>
        <w:trPr>
          <w:trHeight w:val="198"/>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 (deficit):</w:t>
            </w:r>
          </w:p>
        </w:tc>
        <w:tc>
          <w:tcPr>
            <w:tcW w:w="19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660" w:type="dxa"/>
            <w:vAlign w:val="bottom"/>
          </w:tcPr>
          <w:p>
            <w:pPr>
              <w:spacing w:after="0"/>
              <w:rPr>
                <w:sz w:val="20"/>
                <w:szCs w:val="20"/>
                <w:color w:val="auto"/>
              </w:rPr>
            </w:pPr>
            <w:r>
              <w:rPr>
                <w:rFonts w:ascii="Arial" w:cs="Arial" w:eastAsia="Arial" w:hAnsi="Arial"/>
                <w:sz w:val="16"/>
                <w:szCs w:val="16"/>
                <w:color w:val="auto"/>
              </w:rPr>
              <w:t>Preferred stock, $0.001 par value, 10,000,000 shares authorized:</w:t>
            </w:r>
          </w:p>
        </w:tc>
        <w:tc>
          <w:tcPr>
            <w:tcW w:w="1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Series A Preferred, 500,000 shares authorized and outstanding, actual and pro forma</w:t>
            </w: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gridSpan w:val="3"/>
          </w:tcPr>
          <w:p>
            <w:pPr>
              <w:ind w:left="300"/>
              <w:spacing w:after="0"/>
              <w:rPr>
                <w:sz w:val="20"/>
                <w:szCs w:val="20"/>
                <w:color w:val="auto"/>
              </w:rPr>
            </w:pPr>
            <w:r>
              <w:rPr>
                <w:rFonts w:ascii="Arial" w:cs="Arial" w:eastAsia="Arial" w:hAnsi="Arial"/>
                <w:sz w:val="16"/>
                <w:szCs w:val="16"/>
                <w:color w:val="auto"/>
              </w:rPr>
              <w:t>Series B Preferred, 4,000,000 shares authorized and 1,160,240 shares outstanding, actual and pro forma</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198"/>
        </w:trPr>
        <w:tc>
          <w:tcPr>
            <w:tcW w:w="91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Series C Preferred, 3,000,000 shares authorized and 2,318,012 shares outstanding, actual and pro forma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r>
      <w:tr>
        <w:trPr>
          <w:trHeight w:val="198"/>
        </w:trPr>
        <w:tc>
          <w:tcPr>
            <w:tcW w:w="4660" w:type="dxa"/>
            <w:vAlign w:val="bottom"/>
          </w:tcPr>
          <w:p>
            <w:pPr>
              <w:ind w:left="300"/>
              <w:spacing w:after="0"/>
              <w:rPr>
                <w:sz w:val="20"/>
                <w:szCs w:val="20"/>
                <w:color w:val="auto"/>
              </w:rPr>
            </w:pPr>
            <w:r>
              <w:rPr>
                <w:rFonts w:ascii="Arial" w:cs="Arial" w:eastAsia="Arial" w:hAnsi="Arial"/>
                <w:sz w:val="16"/>
                <w:szCs w:val="16"/>
                <w:color w:val="auto"/>
                <w:w w:val="93"/>
              </w:rPr>
              <w:t>Series D Preferred, no shares authorized and outstanding, actual;</w:t>
            </w:r>
          </w:p>
        </w:tc>
        <w:tc>
          <w:tcPr>
            <w:tcW w:w="4460" w:type="dxa"/>
            <w:vAlign w:val="bottom"/>
            <w:gridSpan w:val="2"/>
          </w:tcPr>
          <w:p>
            <w:pPr>
              <w:ind w:left="200"/>
              <w:spacing w:after="0"/>
              <w:rPr>
                <w:sz w:val="20"/>
                <w:szCs w:val="20"/>
                <w:color w:val="auto"/>
              </w:rPr>
            </w:pPr>
            <w:r>
              <w:rPr>
                <w:rFonts w:ascii="Arial" w:cs="Arial" w:eastAsia="Arial" w:hAnsi="Arial"/>
                <w:sz w:val="16"/>
                <w:szCs w:val="16"/>
                <w:color w:val="auto"/>
              </w:rPr>
              <w:t>shares authorized and shares outstanding, pro forma</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Common stock, $0.001 par value, 175,000,000 shares authorized; 74,133,722 shares issued, actual;</w:t>
            </w:r>
          </w:p>
        </w:tc>
        <w:tc>
          <w:tcPr>
            <w:tcW w:w="2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pro forma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6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216,445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135,665 shares, actual and pro forma</w:t>
            </w:r>
          </w:p>
        </w:tc>
        <w:tc>
          <w:tcPr>
            <w:tcW w:w="19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(3,968)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Accumulated deficit</w:t>
            </w:r>
          </w:p>
        </w:tc>
        <w:tc>
          <w:tcPr>
            <w:tcW w:w="1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(208,332)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9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660" w:type="dxa"/>
            <w:vAlign w:val="bottom"/>
          </w:tcPr>
          <w:p>
            <w:pPr>
              <w:ind w:left="300"/>
              <w:spacing w:after="0"/>
              <w:rPr>
                <w:sz w:val="20"/>
                <w:szCs w:val="20"/>
                <w:color w:val="auto"/>
              </w:rPr>
            </w:pPr>
            <w:r>
              <w:rPr>
                <w:rFonts w:ascii="Arial" w:cs="Arial" w:eastAsia="Arial" w:hAnsi="Arial"/>
                <w:sz w:val="16"/>
                <w:szCs w:val="16"/>
                <w:color w:val="auto"/>
              </w:rPr>
              <w:t>Total capitalization</w:t>
            </w:r>
          </w:p>
        </w:tc>
        <w:tc>
          <w:tcPr>
            <w:tcW w:w="1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firstLine="147"/>
        <w:spacing w:after="0" w:line="285"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we currently believe that our use of the Paycheck Protection Program (“PPP”) loan proceeds will meet the conditions for forgiveness under the PPP, there can be no assurance that we will obtain full or partial forgiveness of the loan.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above discussion and table are based on 73,998,057 shares of common stock outstanding as of September 30, 2020 and excludes the following securities:</w:t>
      </w:r>
    </w:p>
    <w:p>
      <w:pPr>
        <w:spacing w:after="0" w:line="223" w:lineRule="exact"/>
        <w:rPr>
          <w:sz w:val="20"/>
          <w:szCs w:val="20"/>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of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held by two institutional investors;</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held by one institutional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25,761,834 shares of common stock that have been reserved for issuance upon exercise of outstanding warrants, with a weighted average exercise price of $1.53 per share;</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12,068,088 shares of common stock reserved for issuance upon exercise of outstanding stock options under our 2019 Omnibus Equity Incentive Plan and our 2016 Equity Incentive Plan, with a weighted average exercise price of $1.20 per share;</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4,665,162 shares of common stock reserved for future issuance in connection with future grants under our 2019 Omnibus Equity Incentive Plan;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ESPP.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If you purchase shares of our common stock in this offering, you will experience dilution to the extent of the difference between the offering price per share in this offering and our as adjusted net tangible book value per share immediately after this offering. Net tangible book value is total assets minus the sum of liabilities and intangible assets. Net tangible book value per share is net tangible book value divided by the total number of shares of common stock outstanding. As of September 30, 2020, our net tangible book value was approximately $4.22 million, or approximately $0.06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80" w:type="dxa"/>
            <w:vAlign w:val="bottom"/>
            <w:gridSpan w:val="2"/>
          </w:tcPr>
          <w:p>
            <w:pPr>
              <w:ind w:left="600"/>
              <w:spacing w:after="0"/>
              <w:rPr>
                <w:sz w:val="20"/>
                <w:szCs w:val="20"/>
                <w:color w:val="auto"/>
              </w:rPr>
            </w:pPr>
            <w:r>
              <w:rPr>
                <w:rFonts w:ascii="Arial" w:cs="Arial" w:eastAsia="Arial" w:hAnsi="Arial"/>
                <w:sz w:val="16"/>
                <w:szCs w:val="16"/>
                <w:color w:val="auto"/>
                <w:w w:val="99"/>
              </w:rPr>
              <w:t>After further giving effect to the sale by us of units in this offering at a public offering price of $</w:t>
            </w:r>
          </w:p>
        </w:tc>
        <w:tc>
          <w:tcPr>
            <w:tcW w:w="4060" w:type="dxa"/>
            <w:vAlign w:val="bottom"/>
            <w:gridSpan w:val="7"/>
          </w:tcPr>
          <w:p>
            <w:pPr>
              <w:jc w:val="right"/>
              <w:spacing w:after="0"/>
              <w:rPr>
                <w:sz w:val="20"/>
                <w:szCs w:val="20"/>
                <w:color w:val="auto"/>
              </w:rPr>
            </w:pPr>
            <w:r>
              <w:rPr>
                <w:rFonts w:ascii="Arial" w:cs="Arial" w:eastAsia="Arial" w:hAnsi="Arial"/>
                <w:sz w:val="16"/>
                <w:szCs w:val="16"/>
                <w:color w:val="auto"/>
              </w:rPr>
              <w:t>per unit, after deducting the underwriting discount and</w:t>
            </w:r>
          </w:p>
        </w:tc>
      </w:tr>
      <w:tr>
        <w:trPr>
          <w:trHeight w:val="198"/>
        </w:trPr>
        <w:tc>
          <w:tcPr>
            <w:tcW w:w="5640" w:type="dxa"/>
            <w:vAlign w:val="bottom"/>
          </w:tcPr>
          <w:p>
            <w:pPr>
              <w:spacing w:after="0"/>
              <w:rPr>
                <w:sz w:val="20"/>
                <w:szCs w:val="20"/>
                <w:color w:val="auto"/>
              </w:rPr>
            </w:pPr>
            <w:r>
              <w:rPr>
                <w:rFonts w:ascii="Arial" w:cs="Arial" w:eastAsia="Arial" w:hAnsi="Arial"/>
                <w:sz w:val="16"/>
                <w:szCs w:val="16"/>
                <w:color w:val="auto"/>
                <w:w w:val="90"/>
              </w:rPr>
              <w:t>commissions, and estimated offering expenses payable by us and the conversion of the</w:t>
            </w:r>
          </w:p>
        </w:tc>
        <w:tc>
          <w:tcPr>
            <w:tcW w:w="2940" w:type="dxa"/>
            <w:vAlign w:val="bottom"/>
            <w:gridSpan w:val="2"/>
          </w:tcPr>
          <w:p>
            <w:pPr>
              <w:ind w:left="260"/>
              <w:spacing w:after="0"/>
              <w:rPr>
                <w:sz w:val="20"/>
                <w:szCs w:val="20"/>
                <w:color w:val="auto"/>
              </w:rPr>
            </w:pPr>
            <w:r>
              <w:rPr>
                <w:rFonts w:ascii="Arial" w:cs="Arial" w:eastAsia="Arial" w:hAnsi="Arial"/>
                <w:sz w:val="16"/>
                <w:szCs w:val="16"/>
                <w:color w:val="auto"/>
                <w:w w:val="95"/>
              </w:rPr>
              <w:t>shares of Series D Preferred Stock into</w:t>
            </w:r>
          </w:p>
        </w:tc>
        <w:tc>
          <w:tcPr>
            <w:tcW w:w="2660" w:type="dxa"/>
            <w:vAlign w:val="bottom"/>
            <w:gridSpan w:val="6"/>
          </w:tcPr>
          <w:p>
            <w:pPr>
              <w:jc w:val="right"/>
              <w:spacing w:after="0"/>
              <w:rPr>
                <w:sz w:val="20"/>
                <w:szCs w:val="20"/>
                <w:color w:val="auto"/>
              </w:rPr>
            </w:pPr>
            <w:r>
              <w:rPr>
                <w:rFonts w:ascii="Arial" w:cs="Arial" w:eastAsia="Arial" w:hAnsi="Arial"/>
                <w:sz w:val="16"/>
                <w:szCs w:val="16"/>
                <w:color w:val="auto"/>
                <w:w w:val="95"/>
              </w:rPr>
              <w:t>shares of our common, our as adjusted</w:t>
            </w:r>
          </w:p>
        </w:tc>
      </w:tr>
      <w:tr>
        <w:trPr>
          <w:trHeight w:val="198"/>
        </w:trPr>
        <w:tc>
          <w:tcPr>
            <w:tcW w:w="5640" w:type="dxa"/>
            <w:vAlign w:val="bottom"/>
          </w:tcPr>
          <w:p>
            <w:pPr>
              <w:spacing w:after="0"/>
              <w:rPr>
                <w:sz w:val="20"/>
                <w:szCs w:val="20"/>
                <w:color w:val="auto"/>
              </w:rPr>
            </w:pPr>
            <w:r>
              <w:rPr>
                <w:rFonts w:ascii="Arial" w:cs="Arial" w:eastAsia="Arial" w:hAnsi="Arial"/>
                <w:sz w:val="16"/>
                <w:szCs w:val="16"/>
                <w:color w:val="auto"/>
                <w:w w:val="94"/>
              </w:rPr>
              <w:t>net tangible book value as of September 30, 2020 would have been approximately $</w:t>
            </w:r>
          </w:p>
        </w:tc>
        <w:tc>
          <w:tcPr>
            <w:tcW w:w="1540" w:type="dxa"/>
            <w:vAlign w:val="bottom"/>
          </w:tcPr>
          <w:p>
            <w:pPr>
              <w:ind w:left="40"/>
              <w:spacing w:after="0"/>
              <w:rPr>
                <w:sz w:val="20"/>
                <w:szCs w:val="20"/>
                <w:color w:val="auto"/>
              </w:rPr>
            </w:pPr>
            <w:r>
              <w:rPr>
                <w:rFonts w:ascii="Arial" w:cs="Arial" w:eastAsia="Arial" w:hAnsi="Arial"/>
                <w:sz w:val="16"/>
                <w:szCs w:val="16"/>
                <w:color w:val="auto"/>
              </w:rPr>
              <w:t>or approximately $</w:t>
            </w:r>
          </w:p>
        </w:tc>
        <w:tc>
          <w:tcPr>
            <w:tcW w:w="4060" w:type="dxa"/>
            <w:vAlign w:val="bottom"/>
            <w:gridSpan w:val="7"/>
          </w:tcPr>
          <w:p>
            <w:pPr>
              <w:jc w:val="right"/>
              <w:spacing w:after="0"/>
              <w:rPr>
                <w:sz w:val="20"/>
                <w:szCs w:val="20"/>
                <w:color w:val="auto"/>
              </w:rPr>
            </w:pPr>
            <w:r>
              <w:rPr>
                <w:rFonts w:ascii="Arial" w:cs="Arial" w:eastAsia="Arial" w:hAnsi="Arial"/>
                <w:sz w:val="16"/>
                <w:szCs w:val="16"/>
                <w:color w:val="auto"/>
                <w:w w:val="89"/>
              </w:rPr>
              <w:t>per share. This amount represents an immediate increase in net</w:t>
            </w:r>
          </w:p>
        </w:tc>
      </w:tr>
      <w:tr>
        <w:trPr>
          <w:trHeight w:val="198"/>
        </w:trPr>
        <w:tc>
          <w:tcPr>
            <w:tcW w:w="9540" w:type="dxa"/>
            <w:vAlign w:val="bottom"/>
            <w:gridSpan w:val="5"/>
          </w:tcPr>
          <w:p>
            <w:pPr>
              <w:spacing w:after="0"/>
              <w:rPr>
                <w:sz w:val="20"/>
                <w:szCs w:val="20"/>
                <w:color w:val="auto"/>
              </w:rPr>
            </w:pPr>
            <w:r>
              <w:rPr>
                <w:rFonts w:ascii="Arial" w:cs="Arial" w:eastAsia="Arial" w:hAnsi="Arial"/>
                <w:sz w:val="16"/>
                <w:szCs w:val="16"/>
                <w:color w:val="auto"/>
                <w:w w:val="93"/>
              </w:rPr>
              <w:t>tangible book value of approximately $ per share to existing stockholders and an immediate dilution in net tangible book value of approximately $</w:t>
            </w: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w w:val="99"/>
              </w:rPr>
              <w:t>per share to purchasers</w:t>
            </w:r>
          </w:p>
        </w:tc>
      </w:tr>
      <w:tr>
        <w:trPr>
          <w:trHeight w:val="205"/>
        </w:trPr>
        <w:tc>
          <w:tcPr>
            <w:tcW w:w="5640" w:type="dxa"/>
            <w:vAlign w:val="bottom"/>
          </w:tcPr>
          <w:p>
            <w:pPr>
              <w:spacing w:after="0"/>
              <w:rPr>
                <w:sz w:val="20"/>
                <w:szCs w:val="20"/>
                <w:color w:val="auto"/>
              </w:rPr>
            </w:pPr>
            <w:r>
              <w:rPr>
                <w:rFonts w:ascii="Arial" w:cs="Arial" w:eastAsia="Arial" w:hAnsi="Arial"/>
                <w:sz w:val="16"/>
                <w:szCs w:val="16"/>
                <w:color w:val="auto"/>
              </w:rPr>
              <w:t>of our common stock in this offering.</w:t>
            </w: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6"/>
        </w:trPr>
        <w:tc>
          <w:tcPr>
            <w:tcW w:w="7180" w:type="dxa"/>
            <w:vAlign w:val="bottom"/>
            <w:gridSpan w:val="2"/>
          </w:tcPr>
          <w:p>
            <w:pPr>
              <w:ind w:left="600"/>
              <w:spacing w:after="0"/>
              <w:rPr>
                <w:sz w:val="20"/>
                <w:szCs w:val="20"/>
                <w:color w:val="auto"/>
              </w:rPr>
            </w:pPr>
            <w:r>
              <w:rPr>
                <w:rFonts w:ascii="Arial" w:cs="Arial" w:eastAsia="Arial" w:hAnsi="Arial"/>
                <w:sz w:val="16"/>
                <w:szCs w:val="16"/>
                <w:color w:val="auto"/>
                <w:w w:val="97"/>
              </w:rPr>
              <w:t>The following table illustrates the dilution in net tangible book value per share to new investors:</w:t>
            </w: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Public offering price per share:</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r>
      <w:tr>
        <w:trPr>
          <w:trHeight w:val="223"/>
        </w:trPr>
        <w:tc>
          <w:tcPr>
            <w:tcW w:w="5640" w:type="dxa"/>
            <w:vAlign w:val="bottom"/>
          </w:tcPr>
          <w:p>
            <w:pPr>
              <w:ind w:left="440"/>
              <w:spacing w:after="0"/>
              <w:rPr>
                <w:sz w:val="20"/>
                <w:szCs w:val="20"/>
                <w:color w:val="auto"/>
              </w:rPr>
            </w:pPr>
            <w:r>
              <w:rPr>
                <w:rFonts w:ascii="Arial" w:cs="Arial" w:eastAsia="Arial" w:hAnsi="Arial"/>
                <w:sz w:val="16"/>
                <w:szCs w:val="16"/>
                <w:color w:val="auto"/>
              </w:rPr>
              <w:t>Net tangible book value per share as of September 30, 2020</w:t>
            </w: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gridSpan w:val="2"/>
          </w:tcPr>
          <w:p>
            <w:pPr>
              <w:jc w:val="right"/>
              <w:ind w:right="320"/>
              <w:spacing w:after="0" w:line="223" w:lineRule="exact"/>
              <w:rPr>
                <w:sz w:val="20"/>
                <w:szCs w:val="20"/>
                <w:color w:val="auto"/>
              </w:rPr>
            </w:pPr>
            <w:r>
              <w:rPr>
                <w:rFonts w:ascii="Arial" w:cs="Arial" w:eastAsia="Arial" w:hAnsi="Arial"/>
                <w:sz w:val="20"/>
                <w:szCs w:val="20"/>
                <w:color w:val="auto"/>
              </w:rPr>
              <w:t>$</w:t>
            </w:r>
          </w:p>
        </w:tc>
        <w:tc>
          <w:tcPr>
            <w:tcW w:w="480" w:type="dxa"/>
            <w:vAlign w:val="bottom"/>
          </w:tcPr>
          <w:p>
            <w:pPr>
              <w:jc w:val="right"/>
              <w:spacing w:after="0" w:line="223" w:lineRule="exact"/>
              <w:rPr>
                <w:sz w:val="20"/>
                <w:szCs w:val="20"/>
                <w:color w:val="auto"/>
              </w:rPr>
            </w:pPr>
            <w:r>
              <w:rPr>
                <w:rFonts w:ascii="Arial" w:cs="Arial" w:eastAsia="Arial" w:hAnsi="Arial"/>
                <w:sz w:val="20"/>
                <w:szCs w:val="20"/>
                <w:color w:val="auto"/>
              </w:rPr>
              <w:t>0.06</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97"/>
              </w:rPr>
              <w:t>Increase in as adjusted, net tangible book value per share after this offering</w:t>
            </w:r>
          </w:p>
        </w:tc>
        <w:tc>
          <w:tcPr>
            <w:tcW w:w="15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5640" w:type="dxa"/>
            <w:vAlign w:val="bottom"/>
          </w:tcPr>
          <w:p>
            <w:pPr>
              <w:ind w:left="440"/>
              <w:spacing w:after="0"/>
              <w:rPr>
                <w:sz w:val="20"/>
                <w:szCs w:val="20"/>
                <w:color w:val="auto"/>
              </w:rPr>
            </w:pPr>
            <w:r>
              <w:rPr>
                <w:rFonts w:ascii="Arial" w:cs="Arial" w:eastAsia="Arial" w:hAnsi="Arial"/>
                <w:sz w:val="16"/>
                <w:szCs w:val="16"/>
                <w:color w:val="auto"/>
              </w:rPr>
              <w:t>As adjusted net tangible book value per share after this offering</w:t>
            </w:r>
          </w:p>
        </w:tc>
        <w:tc>
          <w:tcPr>
            <w:tcW w:w="1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Dilution in as adjusted net tangible book value per share to new investors in this offering</w:t>
            </w: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above discussion and table are based on 73,998,057 shares of common stock outstanding as of September 30, 2020 and excludes the following securities:</w:t>
      </w:r>
    </w:p>
    <w:p>
      <w:pPr>
        <w:spacing w:after="0" w:line="223" w:lineRule="exact"/>
        <w:rPr>
          <w:sz w:val="20"/>
          <w:szCs w:val="20"/>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of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held by two institutional investors;</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held by one institutional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25,761,834 shares of common stock that have been reserved for issuance upon exercise of outstanding warrants, with a weighted average exercise price of $1.53 per share;</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12,068,088 shares of common stock reserved for issuance upon exercise of outstanding stock options under our 2019 Omnibus Equity Incentive Plan and our 2016 Equity incentive Plan, with a weighted average exercise price of $1.20 per share;</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4,665,162 shares of common stock reserved for future issuance in connection with future grants under our 2019 Omnibus Equity Incentive Plan;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ESPP.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MATERIAL U.S. FEDERAL INCOME TAX CONSEQUENCES</w:t>
      </w:r>
    </w:p>
    <w:p>
      <w:pPr>
        <w:spacing w:after="0" w:line="216" w:lineRule="exact"/>
        <w:rPr>
          <w:sz w:val="20"/>
          <w:szCs w:val="20"/>
          <w:color w:val="auto"/>
        </w:rPr>
      </w:pPr>
    </w:p>
    <w:p>
      <w:pPr>
        <w:jc w:val="both"/>
        <w:ind w:firstLine="593"/>
        <w:spacing w:after="0" w:line="303" w:lineRule="auto"/>
        <w:rPr>
          <w:sz w:val="20"/>
          <w:szCs w:val="20"/>
          <w:color w:val="auto"/>
        </w:rPr>
      </w:pPr>
      <w:r>
        <w:rPr>
          <w:rFonts w:ascii="Arial" w:cs="Arial" w:eastAsia="Arial" w:hAnsi="Arial"/>
          <w:sz w:val="14"/>
          <w:szCs w:val="14"/>
          <w:color w:val="auto"/>
        </w:rPr>
        <w:t>The following discussion is a summary of the material U.S. federal income tax consequences to U.S. holders and non-U.S. holders (each as defined below) of the purchase, ownership, conversion and disposition, as applicable, of the shares of our Series D Preferred Stock and our common stock issued pursuant to this offering (including our common stock received upon conversion of the shares of our Series D Preferred Stock),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as applicable, of the shares of our Series D Preferred Stock and our common stock.</w:t>
      </w:r>
    </w:p>
    <w:p>
      <w:pPr>
        <w:spacing w:after="0" w:line="149"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This discussion is limited to holders that hold our common stock or our Series D Preferred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w:t>
      </w:r>
    </w:p>
    <w:p>
      <w:pPr>
        <w:spacing w:after="0" w:line="170" w:lineRule="exact"/>
        <w:rPr>
          <w:sz w:val="20"/>
          <w:szCs w:val="20"/>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persons holding our stock as part of a hedge, straddle or other risk reduction strategy or as part of a conversion transaction or other integrated investment;</w:t>
      </w:r>
    </w:p>
    <w:p>
      <w:pPr>
        <w:spacing w:after="0" w:line="234" w:lineRule="exact"/>
        <w:rPr>
          <w:rFonts w:ascii="Arial" w:cs="Arial" w:eastAsia="Arial" w:hAnsi="Arial"/>
          <w:sz w:val="14"/>
          <w:szCs w:val="14"/>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deemed to sell our stock under the constructive sale provisions of the Code;</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who hold or receive our stock pursuant to the exercise of any employee stock option or otherwise as compensation;</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stock being taken into account in an applicable financial statement;</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If an entity treated as a partnership for U.S. federal income tax purposes holds our common stock or our Series D Preferred Stock, the tax treatment of a partner in the partnership will depend on the status of the partner, the activities of the partnership and certain determinations made at the partner level. Accordingly, partnerships holding our common stock or our Series D Preferred Stock and the partners in such partnerships should consult their tax advisors regarding the U.S. federal income tax consequences to them.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both"/>
        <w:ind w:firstLine="593"/>
        <w:spacing w:after="0" w:line="266"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CONVERSION (IN THE CASE OF OUR SERIES D PREFERRED STOCK) AND DISPOSITION OF OUR COMMON STOCK OR SERIES D PREFERRED STOCK ARISING UNDER THE U.S. FEDERAL ESTATE OR GIFT TAX LAWS OR UNDER THE LAWS OF ANY STATE, LOCAL OR NON-U.S. TAXING JURISDICTION OR UNDER ANY APPLICABLE INCOME TAX TREATY.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Allocation of Purchase Price between Common Stock and Series D Preferred Stock</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Although not free from doubt, the acquisition of a unit should be treated for U.S. federal income tax purposes as the purchase of an investment unit consisting of</w:t>
      </w:r>
    </w:p>
    <w:p>
      <w:pPr>
        <w:spacing w:after="0" w:line="3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share of our common stock and shares of our Series D Preferred Stock. For U.S. federal income tax purposes, each holder of a unit should allocate the purchase price paid by such holder for such unit between the share of our common stock and shares of our Series D Preferred Stock based on the relative fair market value of each at the</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time of issuance. Under U.S. federal income tax law, each investor must make his or her own determination of such value based on all the facts and circumstances. Therefore, we strongly urge investors to consult their tax advisors regarding the determination of value for these purposes. The price allocated to each share of our common stock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shares of our Series D Preferred Stock should be the shareholder’s tax basis in such share of our common stock or shares of our Series D Preferred Stock, as the case may be.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D Preferred Stock Treated as “Common Stock” for Purposes of Section 305</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The U.S. federal income tax consequences with respect to our Series D Preferred Stock depends, in part, on whether it is “participating” preferred stock (that is, treated as “common stock”) for purposes of Section 305 of the Code. Participating preferred stock is stock that participates in corporate growth to any significant extent (disregarding conversion privileges). Generally, stock which enjoys a priority as to dividends and on liquidation and is entitled to participate, over and above such priority, with another less privileged class of stock in earnings and profits and upon liquidation, would be treated as “participating” preferred stock for purposes of Section 305 of the Code. Our Series D Preferred Stock is entitled to receive dividends when dividends are paid on our common stock and has the right to participate, over and above its preference amount, in any liquidation proceeds along with our common stock on an as-converted basis (see “Description of the Securities We Are Offering—Series D Preferred Stock”). Based on the foregoing, we currently intend to treat the Series D Preferred Stock as participating preferred stock (that is, treated as “common stock”) for purposes of Section 305 of the Code. There is no assurance, however, that the IRS or the courts will not take a contrary position. Investors should consult their tax advisors regarding the characterization of our Series D Preferred Stock as participating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a U.S. Holder and Non-U.S. Holder</w:t>
      </w:r>
    </w:p>
    <w:p>
      <w:pPr>
        <w:spacing w:after="0" w:line="216"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For purposes of this discussion, a “U.S. holder” is any beneficial owner of shares of our Series D Preferred Stock or our common stock (other than an entity treated as a partnership for U.S. federal income tax purposes) that, for U.S. federal income tax purposes, is or is treated as any of the following:</w:t>
      </w:r>
    </w:p>
    <w:p>
      <w:pPr>
        <w:spacing w:after="0" w:line="156" w:lineRule="exact"/>
        <w:rPr>
          <w:sz w:val="20"/>
          <w:szCs w:val="20"/>
          <w:color w:val="auto"/>
        </w:rPr>
      </w:pPr>
    </w:p>
    <w:p>
      <w:pPr>
        <w:ind w:left="1040" w:hanging="29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211" w:lineRule="exact"/>
        <w:rPr>
          <w:rFonts w:ascii="Arial" w:cs="Arial" w:eastAsia="Arial" w:hAnsi="Arial"/>
          <w:sz w:val="16"/>
          <w:szCs w:val="16"/>
          <w:color w:val="auto"/>
        </w:rPr>
      </w:pPr>
    </w:p>
    <w:p>
      <w:pPr>
        <w:ind w:left="1040" w:hanging="299"/>
        <w:spacing w:after="0" w:line="320"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For purposes of this discussion, a “non-U.S. holder” is any beneficial owner of shares of our Series D Preferred Stock or our common stock that is neither a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holder” nor an entity treated as a partnership for U.S. federal income tax purposes.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Consequences Applicable to U.S. Holders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w:t>
      </w:r>
    </w:p>
    <w:p>
      <w:pPr>
        <w:spacing w:after="0" w:line="212"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As described in the section titled “Dividend Policy,” we do not anticipate declaring or paying dividends to holders of our common stock in the foreseeable future. However, if we do make distributions of cash or property on our stock, such distributions will constitute dividends for U.S. federal income tax purposes to the extent paid from our current or accumulated earnings and profits, as determined under U.S. federal income tax principles. Dividends paid to non-corporate U.S. holders generally will qualify for taxation at reduced rates if such U.S. holders meet certain holding period and other applicable requirements. Amounts not treated as dividends for U.S. federal income tax purposes will constitute a return of capital and first be applied against and reduce a U.S. holder’s adjusted tax basis in its stock, but not below zero. Any excess will be treated as capital gain and will be treated as described below under “—Sale or Other Taxable Disposition.” U.S. holders should consult their tax advisors regarding the application of reduced tax rates in their particular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Taxable Disposition</w:t>
      </w:r>
    </w:p>
    <w:p>
      <w:pPr>
        <w:spacing w:after="0" w:line="212"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A U.S. holder will recognize capital gain or loss on a sale or other taxable disposition of our stock equal to the difference between the amount of cash and the fair market value of any property received upon the sale or other taxable disposition and the U.S. holder’s adjusted tax basis in the shares sold or disposed of. Such capital gain or loss will be long-term capital gain or loss if the U.S. holder’s holding period for the shares sold or exchanged is more than one year. Long-term capital gains recognized by certain non-corporate U.S. holders, including individuals, will be taxable at reduced rates. The deductibility of capital losses is subject to limitations.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of Series D Preferred Stock into Common Stock</w:t>
      </w:r>
    </w:p>
    <w:p>
      <w:pPr>
        <w:spacing w:after="0" w:line="212"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 U.S. holder generally will not recognize any income, gain or loss upon the receipt of common stock upon the conversion of our Series D Preferred Stock. A U.S. holder’s adjusted tax basis of our common stock received upon conversion generally will equal the U.S. holder’s adjusted tax basis in its Series D Preferred Stock converted, and such U.S. holder’s holding period for common stock received on conversion will generally include the period during which the U.S. holder held its Series D Preferred Stock prior to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12" w:lineRule="exact"/>
        <w:rPr>
          <w:sz w:val="20"/>
          <w:szCs w:val="20"/>
          <w:color w:val="auto"/>
        </w:rPr>
      </w:pPr>
    </w:p>
    <w:p>
      <w:pPr>
        <w:jc w:val="both"/>
        <w:ind w:firstLine="593"/>
        <w:spacing w:after="0" w:line="360" w:lineRule="auto"/>
        <w:rPr>
          <w:sz w:val="20"/>
          <w:szCs w:val="20"/>
          <w:color w:val="auto"/>
        </w:rPr>
      </w:pPr>
      <w:r>
        <w:rPr>
          <w:rFonts w:ascii="Arial" w:cs="Arial" w:eastAsia="Arial" w:hAnsi="Arial"/>
          <w:sz w:val="14"/>
          <w:szCs w:val="14"/>
          <w:color w:val="auto"/>
        </w:rPr>
        <w:t>Distributions with respect to our stock to a U.S. holder and proceeds from the sale or other taxable disposition of our stock by the U.S. holder generally are subject to information reporting to the IRS, unless the U.S. holder is an exempt recipient. Backup withholding may apply to such payments if a U.S. holder is not otherwise exempt and:</w:t>
      </w:r>
    </w:p>
    <w:p>
      <w:pPr>
        <w:spacing w:after="0" w:line="110" w:lineRule="exact"/>
        <w:rPr>
          <w:sz w:val="20"/>
          <w:szCs w:val="20"/>
          <w:color w:val="auto"/>
        </w:rPr>
      </w:pPr>
    </w:p>
    <w:p>
      <w:pPr>
        <w:ind w:left="1040" w:hanging="29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holder fails to furnish its taxpayer identification number (“TIN”), which for an individual, is ordinarily his or her social security number;</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holder furnishes an incorrect TIN;</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applicable withholding agent is notified by the IRS that such holder has failed to properly report payments of dividends or interest; or</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holder fails to certify, under penalties of perjury, that such holder has furnished a correct TIN and that the IRS has not notified such holder that such holder is subject to backup withholding.</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U.S.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holder’s U.S. federal income tax liability, provided the required information is timely furnished to the IRS.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Consequences Applicable to Non-U.S. Holders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w:t>
      </w:r>
    </w:p>
    <w:p>
      <w:pPr>
        <w:spacing w:after="0" w:line="212"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Any distributions of cash or property on our stock will constitute dividends for U.S. federal income tax purposes to the extent paid from our current and accumulated earnings and profits, as determined under U.S. federal income tax principles. Amounts not treated as dividends for U.S. federal income tax purposes will first constitute a return of capital and be applied against and reduce a non-U.S. Holder’s adjusted tax basis in its stock, but not below zero. Any excess will be treated as capital gain and will be treated as described below under “—Sale or Other Taxable Disposition.”</w:t>
      </w:r>
    </w:p>
    <w:p>
      <w:pPr>
        <w:spacing w:after="0" w:line="170"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Subject to the discussions below on effectively connected income, backup withholding and FATCA (as defined below), dividends paid to a non-U.S. holder on our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5"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41"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Taxable Disposition</w:t>
      </w:r>
    </w:p>
    <w:p>
      <w:pPr>
        <w:spacing w:after="0" w:line="212"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Subject to the discussions below regarding backup withholding and FATCA, a non-U.S. holder will not be subject to U.S. federal income tax on any gain realized upon the sale or other taxable disposition of our stock unless:</w:t>
      </w:r>
    </w:p>
    <w:p>
      <w:pPr>
        <w:spacing w:after="0" w:line="156" w:lineRule="exact"/>
        <w:rPr>
          <w:sz w:val="20"/>
          <w:szCs w:val="20"/>
          <w:color w:val="auto"/>
        </w:rPr>
      </w:pPr>
    </w:p>
    <w:p>
      <w:pPr>
        <w:ind w:left="1040" w:hanging="299"/>
        <w:spacing w:after="0" w:line="285"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stock constitutes a U.S. real property interest (“USRPI”) by reason of our status as a U.S. real property holding corporation (“USRPHC”) for U.S. federal income tax purposes.</w:t>
      </w:r>
    </w:p>
    <w:p>
      <w:pPr>
        <w:spacing w:after="0" w:line="15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8"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ind w:left="1"/>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left="1" w:firstLine="593"/>
        <w:spacing w:after="0" w:line="280"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our common stock is considered to be regularly traded and we are or were to become a USRPHC, gain recognized on a sale or other taxable disposition of our Series D Preferred Stock generally would be subject to U.S. federal income tax only in the case of a non-U.S. holder that owned, as of the date of any acquisition of our Series D Preferred Stock, an amount of our Series D Preferred Stock having a fair market value greater than 5% of our outstanding common stock as measured on such date.</w:t>
      </w:r>
    </w:p>
    <w:p>
      <w:pPr>
        <w:spacing w:after="0" w:line="167" w:lineRule="exact"/>
        <w:rPr>
          <w:sz w:val="20"/>
          <w:szCs w:val="20"/>
          <w:color w:val="auto"/>
        </w:rPr>
      </w:pPr>
    </w:p>
    <w:p>
      <w:pPr>
        <w:ind w:left="601"/>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Conversion of Series D Preferred Stock into Common Stock</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15"/>
          <w:szCs w:val="15"/>
          <w:color w:val="auto"/>
        </w:rPr>
        <w:t>A non-U.S. holder generally will not recognize any gain or loss upon the receipt of our common stock upon the conversion of our Series D Preferred Stock.</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12" w:lineRule="exact"/>
        <w:rPr>
          <w:sz w:val="20"/>
          <w:szCs w:val="20"/>
          <w:color w:val="auto"/>
        </w:rPr>
      </w:pPr>
    </w:p>
    <w:p>
      <w:pPr>
        <w:jc w:val="both"/>
        <w:ind w:left="1" w:firstLine="593"/>
        <w:spacing w:after="0" w:line="261" w:lineRule="auto"/>
        <w:rPr>
          <w:sz w:val="20"/>
          <w:szCs w:val="20"/>
          <w:color w:val="auto"/>
        </w:rPr>
      </w:pPr>
      <w:r>
        <w:rPr>
          <w:rFonts w:ascii="Arial" w:cs="Arial" w:eastAsia="Arial" w:hAnsi="Arial"/>
          <w:sz w:val="16"/>
          <w:szCs w:val="16"/>
          <w:color w:val="auto"/>
        </w:rPr>
        <w:t>Payments of dividends on our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stock paid to the non-U.S. holder, regardless of whether such distributions constitute dividends or whether any tax was actually withheld. In addition, proceeds of the sale or other taxable disposition of our stock within the United States or conducted through certain U.S. 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stock conducted through a non-U.S. office of a non-U.S. broker generally will not be subject to backup withholding or information reporting.</w:t>
      </w:r>
    </w:p>
    <w:p>
      <w:pPr>
        <w:spacing w:after="0" w:line="180" w:lineRule="exact"/>
        <w:rPr>
          <w:sz w:val="20"/>
          <w:szCs w:val="20"/>
          <w:color w:val="auto"/>
        </w:rPr>
      </w:pPr>
    </w:p>
    <w:p>
      <w:pPr>
        <w:jc w:val="both"/>
        <w:ind w:left="1" w:firstLine="593"/>
        <w:spacing w:after="0" w:line="285"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6" w:lineRule="exact"/>
        <w:rPr>
          <w:sz w:val="20"/>
          <w:szCs w:val="20"/>
          <w:color w:val="auto"/>
        </w:rPr>
      </w:pPr>
    </w:p>
    <w:p>
      <w:pPr>
        <w:ind w:left="601"/>
        <w:spacing w:after="0"/>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6"/>
          <w:szCs w:val="16"/>
          <w:color w:val="auto"/>
        </w:rPr>
        <w:t>holder’s U.S. federal income tax liability, provided the required information is timely furnished to the IRS.</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216" w:lineRule="exact"/>
        <w:rPr>
          <w:sz w:val="20"/>
          <w:szCs w:val="20"/>
          <w:color w:val="auto"/>
        </w:rPr>
      </w:pPr>
    </w:p>
    <w:p>
      <w:pPr>
        <w:jc w:val="both"/>
        <w:ind w:left="1" w:firstLine="593"/>
        <w:spacing w:after="0" w:line="297"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stock paid to a “foreign financial institution” or a “non-financial foreign entity” (each as defined in the Code), unless (1) the foreign financial institution undertakes certain diligence and reporting obligations,</w:t>
      </w:r>
    </w:p>
    <w:p>
      <w:pPr>
        <w:spacing w:after="0" w:line="2" w:lineRule="exact"/>
        <w:rPr>
          <w:sz w:val="20"/>
          <w:szCs w:val="20"/>
          <w:color w:val="auto"/>
        </w:rPr>
      </w:pPr>
    </w:p>
    <w:p>
      <w:pPr>
        <w:jc w:val="both"/>
        <w:ind w:left="1" w:hanging="1"/>
        <w:spacing w:after="0" w:line="261" w:lineRule="auto"/>
        <w:tabs>
          <w:tab w:leader="none" w:pos="2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4" w:lineRule="exact"/>
        <w:rPr>
          <w:sz w:val="20"/>
          <w:szCs w:val="20"/>
          <w:color w:val="auto"/>
        </w:rPr>
      </w:pPr>
    </w:p>
    <w:p>
      <w:pPr>
        <w:jc w:val="both"/>
        <w:ind w:left="1" w:firstLine="593"/>
        <w:spacing w:after="0" w:line="267"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spacing w:after="0" w:line="170" w:lineRule="exact"/>
        <w:rPr>
          <w:sz w:val="20"/>
          <w:szCs w:val="20"/>
          <w:color w:val="auto"/>
        </w:rPr>
      </w:pPr>
    </w:p>
    <w:p>
      <w:pPr>
        <w:ind w:left="601"/>
        <w:spacing w:after="0"/>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31" w:right="339" w:bottom="1440" w:gutter="0" w:footer="0" w:header="0"/>
        </w:sectPr>
      </w:pPr>
    </w:p>
    <w:bookmarkStart w:id="25" w:name="page26"/>
    <w:bookmarkEnd w:id="25"/>
    <w:p>
      <w:pPr>
        <w:ind w:left="1"/>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w:t>
      </w:r>
    </w:p>
    <w:p>
      <w:pPr>
        <w:spacing w:after="0" w:line="216" w:lineRule="exact"/>
        <w:rPr>
          <w:sz w:val="20"/>
          <w:szCs w:val="20"/>
          <w:color w:val="auto"/>
        </w:rPr>
      </w:pPr>
    </w:p>
    <w:p>
      <w:pPr>
        <w:jc w:val="both"/>
        <w:ind w:left="1" w:right="100" w:firstLine="593"/>
        <w:spacing w:after="0" w:line="271" w:lineRule="auto"/>
        <w:rPr>
          <w:sz w:val="20"/>
          <w:szCs w:val="20"/>
          <w:color w:val="auto"/>
        </w:rPr>
      </w:pPr>
      <w:r>
        <w:rPr>
          <w:rFonts w:ascii="Arial" w:cs="Arial" w:eastAsia="Arial" w:hAnsi="Arial"/>
          <w:sz w:val="16"/>
          <w:szCs w:val="16"/>
          <w:color w:val="auto"/>
        </w:rPr>
        <w:t>Subject to the terms and conditions set forth in the underwriting agreement among us, Jefferies LLC and William Blair &amp; Company, L.L.C. as the representatives of the underwriters named below and joint book-running manager of this offering, we have agreed to sell to the underwriters, and each of the underwriters has agreed, severally and not jointly, to purchase from us, the respective number of units shown opposite its name below:</w:t>
      </w:r>
    </w:p>
    <w:p>
      <w:pPr>
        <w:sectPr>
          <w:pgSz w:w="11900" w:h="16838" w:orient="portrait"/>
          <w:cols w:equalWidth="0" w:num="1">
            <w:col w:w="11241"/>
          </w:cols>
          <w:pgMar w:left="319" w:top="131" w:right="339" w:bottom="1440" w:gutter="0" w:footer="0" w:header="0"/>
        </w:sectPr>
      </w:pPr>
    </w:p>
    <w:p>
      <w:pPr>
        <w:spacing w:after="0" w:line="362"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Number of</w:t>
      </w:r>
    </w:p>
    <w:p>
      <w:pPr>
        <w:spacing w:after="0" w:line="4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9525</wp:posOffset>
            </wp:positionV>
            <wp:extent cx="57277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9601" w:space="720"/>
            <w:col w:w="920"/>
          </w:cols>
          <w:pgMar w:left="319" w:top="131" w:right="339" w:bottom="1440" w:gutter="0" w:footer="0" w:header="0"/>
          <w:type w:val="continuous"/>
        </w:sectPr>
      </w:pPr>
    </w:p>
    <w:p>
      <w:pPr>
        <w:ind w:left="1"/>
        <w:spacing w:after="0"/>
        <w:rPr>
          <w:sz w:val="20"/>
          <w:szCs w:val="20"/>
          <w:color w:val="auto"/>
        </w:rPr>
      </w:pPr>
      <w:r>
        <w:rPr>
          <w:rFonts w:ascii="Arial" w:cs="Arial" w:eastAsia="Arial" w:hAnsi="Arial"/>
          <w:sz w:val="16"/>
          <w:szCs w:val="16"/>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41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6499860</wp:posOffset>
            </wp:positionH>
            <wp:positionV relativeFrom="paragraph">
              <wp:posOffset>14605</wp:posOffset>
            </wp:positionV>
            <wp:extent cx="57277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56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241" w:lineRule="exact"/>
        <w:rPr>
          <w:sz w:val="20"/>
          <w:szCs w:val="20"/>
          <w:color w:val="auto"/>
        </w:rPr>
      </w:pPr>
    </w:p>
    <w:p>
      <w:pPr>
        <w:jc w:val="both"/>
        <w:ind w:left="1" w:firstLine="593"/>
        <w:spacing w:after="0" w:line="263"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5" w:lineRule="exact"/>
        <w:rPr>
          <w:sz w:val="20"/>
          <w:szCs w:val="20"/>
          <w:color w:val="auto"/>
        </w:rPr>
      </w:pPr>
    </w:p>
    <w:p>
      <w:pPr>
        <w:jc w:val="both"/>
        <w:ind w:left="1" w:firstLine="593"/>
        <w:spacing w:after="0" w:line="264"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There is currently no trading market for the Series D Preferred Stock and no such trading market is expected to develop.</w:t>
      </w:r>
    </w:p>
    <w:p>
      <w:pPr>
        <w:spacing w:after="0" w:line="175" w:lineRule="exact"/>
        <w:rPr>
          <w:sz w:val="20"/>
          <w:szCs w:val="20"/>
          <w:color w:val="auto"/>
        </w:rPr>
      </w:pPr>
    </w:p>
    <w:p>
      <w:pPr>
        <w:jc w:val="both"/>
        <w:ind w:left="1" w:firstLine="593"/>
        <w:spacing w:after="0" w:line="285" w:lineRule="auto"/>
        <w:rPr>
          <w:sz w:val="20"/>
          <w:szCs w:val="20"/>
          <w:color w:val="auto"/>
        </w:rPr>
      </w:pPr>
      <w:r>
        <w:rPr>
          <w:rFonts w:ascii="Arial" w:cs="Arial" w:eastAsia="Arial" w:hAnsi="Arial"/>
          <w:sz w:val="16"/>
          <w:szCs w:val="16"/>
          <w:color w:val="auto"/>
        </w:rPr>
        <w:t>The underwriters are offering the units subject to their acceptance of the units from us and subject to prior sale. The underwriters reserve the right to withdraw, cancel or modify offers to the public and to reject orders in whole or in part.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Commission and Expenses</w:t>
      </w:r>
    </w:p>
    <w:p>
      <w:pPr>
        <w:spacing w:after="0" w:line="216" w:lineRule="exact"/>
        <w:rPr>
          <w:sz w:val="20"/>
          <w:szCs w:val="20"/>
          <w:color w:val="auto"/>
        </w:rPr>
      </w:pPr>
    </w:p>
    <w:p>
      <w:pPr>
        <w:ind w:left="601"/>
        <w:spacing w:after="0"/>
        <w:rPr>
          <w:sz w:val="20"/>
          <w:szCs w:val="20"/>
          <w:color w:val="auto"/>
        </w:rPr>
      </w:pPr>
      <w:r>
        <w:rPr>
          <w:rFonts w:ascii="Arial" w:cs="Arial" w:eastAsia="Arial" w:hAnsi="Arial"/>
          <w:sz w:val="14"/>
          <w:szCs w:val="14"/>
          <w:color w:val="auto"/>
        </w:rPr>
        <w:t>The underwriters have advised us that they propose to offer the units to the public at the public offering price set forth on the cover page of this prospectus and to</w:t>
      </w:r>
    </w:p>
    <w:p>
      <w:pPr>
        <w:spacing w:after="0" w:line="44" w:lineRule="exact"/>
        <w:rPr>
          <w:sz w:val="20"/>
          <w:szCs w:val="20"/>
          <w:color w:val="auto"/>
        </w:rPr>
      </w:pPr>
    </w:p>
    <w:p>
      <w:pPr>
        <w:ind w:left="1"/>
        <w:spacing w:after="0"/>
        <w:tabs>
          <w:tab w:leader="none" w:pos="7121" w:val="left"/>
        </w:tabs>
        <w:rPr>
          <w:sz w:val="20"/>
          <w:szCs w:val="20"/>
          <w:color w:val="auto"/>
        </w:rPr>
      </w:pPr>
      <w:r>
        <w:rPr>
          <w:rFonts w:ascii="Arial" w:cs="Arial" w:eastAsia="Arial" w:hAnsi="Arial"/>
          <w:sz w:val="16"/>
          <w:szCs w:val="16"/>
          <w:color w:val="auto"/>
        </w:rPr>
        <w:t>certain dealers, which may include the underwriters, at that price less a concession not in excess of $</w:t>
      </w:r>
      <w:r>
        <w:rPr>
          <w:sz w:val="20"/>
          <w:szCs w:val="20"/>
          <w:color w:val="auto"/>
        </w:rPr>
        <w:tab/>
      </w:r>
      <w:r>
        <w:rPr>
          <w:rFonts w:ascii="Arial" w:cs="Arial" w:eastAsia="Arial" w:hAnsi="Arial"/>
          <w:sz w:val="14"/>
          <w:szCs w:val="14"/>
          <w:color w:val="auto"/>
        </w:rPr>
        <w:t>per unit. The underwriters may allow, and certain dealers may</w:t>
      </w:r>
    </w:p>
    <w:p>
      <w:pPr>
        <w:spacing w:after="0" w:line="14" w:lineRule="exact"/>
        <w:rPr>
          <w:sz w:val="20"/>
          <w:szCs w:val="20"/>
          <w:color w:val="auto"/>
        </w:rPr>
      </w:pPr>
    </w:p>
    <w:p>
      <w:pPr>
        <w:jc w:val="both"/>
        <w:ind w:left="1"/>
        <w:spacing w:after="0" w:line="349" w:lineRule="auto"/>
        <w:rPr>
          <w:sz w:val="20"/>
          <w:szCs w:val="20"/>
          <w:color w:val="auto"/>
        </w:rPr>
      </w:pPr>
      <w:r>
        <w:rPr>
          <w:rFonts w:ascii="Arial" w:cs="Arial" w:eastAsia="Arial" w:hAnsi="Arial"/>
          <w:sz w:val="14"/>
          <w:szCs w:val="14"/>
          <w:color w:val="auto"/>
        </w:rPr>
        <w:t>reallow, a discount from the concession not in excess of $ per unit to certain brokers and dealers.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18" w:lineRule="exact"/>
        <w:rPr>
          <w:sz w:val="20"/>
          <w:szCs w:val="20"/>
          <w:color w:val="auto"/>
        </w:rPr>
      </w:pPr>
    </w:p>
    <w:p>
      <w:pPr>
        <w:jc w:val="both"/>
        <w:ind w:left="1" w:firstLine="593"/>
        <w:spacing w:after="0" w:line="285" w:lineRule="auto"/>
        <w:rPr>
          <w:sz w:val="20"/>
          <w:szCs w:val="20"/>
          <w:color w:val="auto"/>
        </w:rPr>
      </w:pPr>
      <w:r>
        <w:rPr>
          <w:rFonts w:ascii="Arial" w:cs="Arial" w:eastAsia="Arial" w:hAnsi="Arial"/>
          <w:sz w:val="16"/>
          <w:szCs w:val="16"/>
          <w:color w:val="auto"/>
        </w:rPr>
        <w:t>The following table shows the public offering price, the underwriting discounts and commissions that we are to pay the underwriters and the proceeds, before expenses, to us in connection with this offering.</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9120" w:type="dxa"/>
            <w:vAlign w:val="bottom"/>
          </w:tcPr>
          <w:p>
            <w:pPr>
              <w:spacing w:after="0"/>
              <w:rPr>
                <w:sz w:val="18"/>
                <w:szCs w:val="18"/>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Per Unit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spacing w:after="0"/>
              <w:rPr>
                <w:sz w:val="20"/>
                <w:szCs w:val="20"/>
                <w:color w:val="auto"/>
              </w:rPr>
            </w:pPr>
            <w:r>
              <w:rPr>
                <w:rFonts w:ascii="Arial" w:cs="Arial" w:eastAsia="Arial" w:hAnsi="Arial"/>
                <w:sz w:val="16"/>
                <w:szCs w:val="16"/>
                <w:color w:val="auto"/>
              </w:rPr>
              <w:t>Underwriting discount and commissions paid by us</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ind w:left="601"/>
        <w:spacing w:after="0"/>
        <w:rPr>
          <w:sz w:val="20"/>
          <w:szCs w:val="20"/>
          <w:color w:val="auto"/>
        </w:rPr>
      </w:pPr>
      <w:r>
        <w:rPr>
          <w:rFonts w:ascii="Arial" w:cs="Arial" w:eastAsia="Arial" w:hAnsi="Arial"/>
          <w:sz w:val="14"/>
          <w:szCs w:val="14"/>
          <w:color w:val="auto"/>
        </w:rPr>
        <w:t>We estimate expenses payable by us in connection with this offering, other than the underwriting discounts and commissions referred to above, will be approximately</w:t>
      </w:r>
    </w:p>
    <w:p>
      <w:pPr>
        <w:spacing w:after="0" w:line="44" w:lineRule="exact"/>
        <w:rPr>
          <w:sz w:val="20"/>
          <w:szCs w:val="20"/>
          <w:color w:val="auto"/>
        </w:rPr>
      </w:pPr>
    </w:p>
    <w:p>
      <w:pPr>
        <w:ind w:left="401" w:hanging="401"/>
        <w:spacing w:after="0"/>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31" w:right="339" w:bottom="1440" w:gutter="0" w:footer="0" w:header="0"/>
          <w:type w:val="continuous"/>
        </w:sectPr>
      </w:pPr>
    </w:p>
    <w:bookmarkStart w:id="26" w:name="page27"/>
    <w:bookmarkEnd w:id="2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6"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Our Series D Preferred is not and will not be listed on a national securities exchange.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Sales of Similar Securities</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Pursuant to the underwriting agreement, we have agreed that for a period of 90 days following the pricing of the offering, and subject to certain customary exceptions, not to (i) sell, offer to sell, contract to sell or lend, effect any short sale or establish or increase a put equivalent position or liquidate or decrease any call equivalent position, pledge, hypothecate or grant any security interest in, or in any other way transfer or dispose of, in each case whether directly or indirectly, any shares of common stock or related securities; (ii) enter into any swap, hedge or similar arrangement; (iii) make any demand for, or exercise any right with respect to, the registration under the Securities Act of the offer and sale of any shares of common stock or related securities, or cause to be filed a registration statement (other than as contemplated by the underwriting agreement with respect to the units or except for registration statements on Form S-8 with respect to any and all shares of common stock or related securities to be issued pursuant to any employee benefit plans), prospectus or prospectus supplement with respect to any such registration; (iv) effect a reverse stock split, recapitalization, share consolidation, reclassification or similar transaction; or (v) publicly announce any intention to do any of the foregoing, in each case without the prior written consent of Jefferies LLC and William Blair &amp; Company, L.L.C.</w:t>
      </w:r>
    </w:p>
    <w:p>
      <w:pPr>
        <w:spacing w:after="0" w:line="167"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Pursuant to certain “lock-up” agreements, our directors, executive officers and their affiliates have agreed that, for a period ending on the later of (i) 90 days from the date of this prospectus supplement or (ii) the earlier of (x) the effective date of the Charter Amendment and (y) 120 days from the date of this prospectus supplement, they will not, subject to certain customary exceptions, sell or offer to sell any of our securities currently or hereafter owned, enter into any swap, make any demand for, or exercise any right with respect to, the registration under the Securities Act of the offer and sale of any of our securities, or cause to be filed a registration statement, prospectus or prospectus supplement (or an amendment or supplement thereto) with respect to any such registration, or publicly announce any intention to do any of the foregoing without the prior written consent of Jefferies LLC.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Stabilization</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underwriters have advised us that they, pursuant to Regulation M under the Securities Exchange Act of 1934, as amended,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70"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“Naked” short sales are sales in excess of the shares of our common stock the underwriters are required to purchase.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A stabilizing bid is a bid for the purchase of units on behalf of the underwriters for the purpose of fixing or maintaining the price of the common stock.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7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68"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underwriters may also engage in passive market making transactions in our common stock on The Nasdaq Capital Market in accordance with Rule 103 of Regulation M during a period before the commencement of offers or sales of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Distribution</w:t>
      </w:r>
    </w:p>
    <w:p>
      <w:pPr>
        <w:spacing w:after="0" w:line="216"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Activities and Relationships</w:t>
      </w:r>
    </w:p>
    <w:p>
      <w:pPr>
        <w:spacing w:after="0" w:line="216"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5"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Disclaimers About Non-U.S. Jurisdictions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212"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units must be made in accordance with an exemption from, or in a transaction not subject to, the prospectus requirements of applicable securities laws.</w:t>
      </w:r>
    </w:p>
    <w:p>
      <w:pPr>
        <w:spacing w:after="0" w:line="170"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 xml:space="preserve">Pursuant to section 3A.3 of National Instrument 33-105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offering.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 relation to each Member State of the European Economic Area (each, a “Member State”), no offer of units may be made to the public in that Member State other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than:</w:t>
      </w:r>
    </w:p>
    <w:p>
      <w:pPr>
        <w:spacing w:after="0" w:line="204" w:lineRule="exact"/>
        <w:rPr>
          <w:sz w:val="20"/>
          <w:szCs w:val="20"/>
          <w:color w:val="auto"/>
        </w:rPr>
      </w:pPr>
    </w:p>
    <w:p>
      <w:pPr>
        <w:ind w:left="1040" w:hanging="29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Regulation;</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underwriters; or</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provided that no such offer of units shall require us or the underwriters to publish a prospectus pursuant to Article 3 of the Prospectus Regulation or supplement a prospectus pursuant to Article 23 of the Prospectus Regulation and each person who initially acquires any units or to whom any offer is made will be deemed to have represented, acknowledged and agreed to and with the underwriters and us that it is a “qualified investor” as defined in the Prospectus Regulation.</w:t>
      </w:r>
    </w:p>
    <w:p>
      <w:pPr>
        <w:spacing w:after="0" w:line="151"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In the case of any units being offered to a financial intermediary as that term is used in Article 5 of the Prospectus Regulation, each such financial intermediary will be deemed to have represented, acknowledged and agreed that the units acquired by it in the offer have not been acquired on a non-discretionary basis on behalf of, nor have they been acquired with a view to their offer or resale to, persons in circumstances which may give rise to an offer of any units to the public other than their offer or resale in a Member State to qualified investors as so defined or in circumstances in which the prior consent of the underwriters has been obtained to each such proposed offer or resale.</w:t>
      </w:r>
    </w:p>
    <w:p>
      <w:pPr>
        <w:spacing w:after="0" w:line="141"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For the purposes of this provision, the expression an “offer of units to the public” in relation to any units in any Member State means the communication in any form and by means of sufficient information on the terms of the offer and the units to be offered so as to enable an investor to decide to purchase units, the expression “Prospectus Regulation” means Regulation (EU) 2017/1129 (as amended).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France</w:t>
      </w:r>
    </w:p>
    <w:p>
      <w:pPr>
        <w:spacing w:after="0" w:line="212"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70" w:lineRule="exact"/>
        <w:rPr>
          <w:sz w:val="20"/>
          <w:szCs w:val="20"/>
          <w:color w:val="auto"/>
        </w:rPr>
      </w:pPr>
    </w:p>
    <w:p>
      <w:pPr>
        <w:ind w:left="1040" w:hanging="29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used in connection with any offer for subscription or sale of the units to the public in France.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Such offers, sales and distributions will be made in France only:</w:t>
      </w:r>
    </w:p>
    <w:p>
      <w:pPr>
        <w:spacing w:after="0" w:line="212" w:lineRule="exact"/>
        <w:rPr>
          <w:sz w:val="20"/>
          <w:szCs w:val="20"/>
          <w:color w:val="auto"/>
        </w:rPr>
      </w:pPr>
    </w:p>
    <w:p>
      <w:pPr>
        <w:jc w:val="both"/>
        <w:ind w:left="1040" w:hanging="299"/>
        <w:spacing w:after="0" w:line="271"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67" w:lineRule="exact"/>
        <w:rPr>
          <w:rFonts w:ascii="Arial" w:cs="Arial" w:eastAsia="Arial" w:hAnsi="Arial"/>
          <w:sz w:val="16"/>
          <w:szCs w:val="16"/>
          <w:color w:val="auto"/>
        </w:rPr>
      </w:pPr>
    </w:p>
    <w:p>
      <w:pPr>
        <w:ind w:left="1040" w:hanging="29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units may be resold directly or indirectly, only in compliance with articles L.411-1, L.411-2, L.412-1 and L.621-8 through L.621-8-3 of the French Code monétaire et financier.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212"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Israel</w:t>
      </w:r>
    </w:p>
    <w:p>
      <w:pPr>
        <w:spacing w:after="0" w:line="212"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units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212"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(FIEL), and the underwriters will not offer or sell any units,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212"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 the units are subscribed or purchased under Section 275 of the SFA by a relevant person which is</w:t>
      </w:r>
    </w:p>
    <w:p>
      <w:pPr>
        <w:spacing w:after="0" w:line="212" w:lineRule="exact"/>
        <w:rPr>
          <w:sz w:val="20"/>
          <w:szCs w:val="20"/>
          <w:color w:val="auto"/>
        </w:rPr>
      </w:pPr>
    </w:p>
    <w:p>
      <w:pPr>
        <w:ind w:left="1040" w:hanging="299"/>
        <w:spacing w:after="0" w:line="285"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6" w:lineRule="exact"/>
        <w:rPr>
          <w:sz w:val="20"/>
          <w:szCs w:val="20"/>
          <w:color w:val="auto"/>
        </w:rPr>
      </w:pPr>
    </w:p>
    <w:p>
      <w:pPr>
        <w:jc w:val="both"/>
        <w:ind w:left="1040" w:hanging="299"/>
        <w:spacing w:after="0" w:line="316" w:lineRule="auto"/>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41" w:lineRule="exact"/>
        <w:rPr>
          <w:rFonts w:ascii="Arial" w:cs="Arial" w:eastAsia="Arial" w:hAnsi="Arial"/>
          <w:sz w:val="14"/>
          <w:szCs w:val="14"/>
          <w:color w:val="auto"/>
        </w:rPr>
      </w:pPr>
    </w:p>
    <w:p>
      <w:pPr>
        <w:ind w:left="1040" w:hanging="29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 or</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212"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Solely for the purposes of our obligations pursuant to Section 309B of the SFA, we have determined, and hereby notify all relevant persons (as defined in the CMP Regulations 2018), that the units are “prescribed capital markets products” (as defined in the CMP Regulations 2018) and Excluded Investment Products (as defined in MAS Notice SFA 04-N12: Notice on the Sale of Investment Products and MAS Notice FAA-N16: Notice on the Recommendations on Investment Products).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212"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Certain legal matters in connection with this offering will be passed upon for us by Latham &amp; Watkins LLP, Chicago, Illinois. Jefferies LLC is being represented in connection with this offering by Cooley LLP, New York, New York. The validity of the securities offered hereby will be passed upon for us by Woodburn and Wedge, Reno, Nevada.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 xml:space="preserve">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 xml:space="preserve">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t>
      </w:r>
      <w:r>
        <w:rPr>
          <w:rFonts w:ascii="Arial" w:cs="Arial" w:eastAsia="Arial" w:hAnsi="Arial"/>
          <w:sz w:val="16"/>
          <w:szCs w:val="16"/>
          <w:i w:val="1"/>
          <w:iCs w:val="1"/>
          <w:color w:val="auto"/>
        </w:rPr>
        <w:t>www.vistagen.com</w:t>
      </w:r>
      <w:r>
        <w:rPr>
          <w:rFonts w:ascii="Arial" w:cs="Arial" w:eastAsia="Arial" w:hAnsi="Arial"/>
          <w:sz w:val="16"/>
          <w:szCs w:val="16"/>
          <w:color w:val="auto"/>
        </w:rPr>
        <w:t>, as soon as reasonably practicable after such material is electronically filed with, or furnished to, the SEC. Our website and the information contained on that site, or connected to that site, are not incorporated into and are not a part of this prospectus supplement.</w:t>
      </w:r>
    </w:p>
    <w:p>
      <w:pPr>
        <w:spacing w:after="0" w:line="166"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2" w:lineRule="exact"/>
        <w:rPr>
          <w:sz w:val="20"/>
          <w:szCs w:val="20"/>
          <w:color w:val="auto"/>
        </w:rPr>
      </w:pPr>
    </w:p>
    <w:p>
      <w:pPr>
        <w:ind w:left="1040" w:hanging="29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2020, filed with the SEC on June 29, 2020;</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Quarterly Reports on Form 10-Q for the quarter ended June 30, 2020, filed with the SEC on August 13, 2020, and for the quarter ended September 30, 2020, filed with the SEC on November 12, 2020;</w:t>
      </w:r>
    </w:p>
    <w:p>
      <w:pPr>
        <w:spacing w:after="0" w:line="156"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April 3, 2020, April 27, 2020, April 28, 2020, May 18, 2020, June 1, 2020, June 26, 2020, August 6, 2020, September 18, 2020, October 13, 2020 (solely with respect to the information disclosed under Item 3.01 of such Current Report on Form 8-K) and December 1, 2020;</w:t>
      </w:r>
    </w:p>
    <w:p>
      <w:pPr>
        <w:spacing w:after="0" w:line="167"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Definitive Proxy Statement on Schedule 14A, filed with the SEC on July 27, 2020 (solely with respect to information required by Part III of our Annual Report on Form 10-K for the year ended March 31, 2020, which information shall update and supersede information included in Part III of our Annual Report on Form 10-K for the year ended March 31, 2020); and</w:t>
      </w:r>
    </w:p>
    <w:p>
      <w:pPr>
        <w:spacing w:after="0" w:line="167"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with the SEC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This prospectus supplement and the accompanying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and the accompanying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17145</wp:posOffset>
            </wp:positionV>
            <wp:extent cx="1248410" cy="871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8410" cy="87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From time to time, we may offer and sell, in one or more offerings, up to approximately $147.1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(as defined herein) are also being offered pursuant to this prospectus.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On September 27, 2019, the closing price of our common stock on the Nasdaq Capital Market was $1.14 per share.</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September 30, 2019, the aggregate market value of our outstanding common stock held by non-affiliates was approximately $54,677,141, which was calculated in accordance with General Instruction I.B.6 of Form S-3, based on 42,385,381 shares of outstanding common stock held by non-affiliates, at a price per share of $1.29, the closing sale price of our common stock reported on the Nasdaq Capital Market on September 20, 2019.</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$75.0 million. During the twelve (12) calendar months prior to and including the date of this prospectus, we have offered and sold $11.5 million of securities pursuant to General Instruction I.B.6 of Form S-3. As a result, we are currently eligible to offer and sell up to an aggregate of approximately $6.7 million of our securities pursuant to General Instruction I.B.6. of Form S-3.</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6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October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9"/>
        </w:trPr>
        <w:tc>
          <w:tcPr>
            <w:tcW w:w="870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40" w:type="dxa"/>
            <w:vAlign w:val="bottom"/>
          </w:tcPr>
          <w:p>
            <w:pPr>
              <w:spacing w:after="0"/>
              <w:rPr>
                <w:sz w:val="18"/>
                <w:szCs w:val="18"/>
                <w:color w:val="auto"/>
              </w:rPr>
            </w:pPr>
          </w:p>
        </w:tc>
      </w:tr>
      <w:tr>
        <w:trPr>
          <w:trHeight w:val="396"/>
        </w:trPr>
        <w:tc>
          <w:tcPr>
            <w:tcW w:w="870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40" w:type="dxa"/>
            <w:vAlign w:val="bottom"/>
          </w:tcPr>
          <w:p>
            <w:pPr>
              <w:spacing w:after="0"/>
              <w:rPr>
                <w:sz w:val="24"/>
                <w:szCs w:val="24"/>
                <w:color w:val="auto"/>
              </w:rPr>
            </w:pPr>
          </w:p>
        </w:tc>
      </w:tr>
      <w:tr>
        <w:trPr>
          <w:trHeight w:val="396"/>
        </w:trPr>
        <w:tc>
          <w:tcPr>
            <w:tcW w:w="8700" w:type="dxa"/>
            <w:vAlign w:val="bottom"/>
          </w:tcPr>
          <w:p>
            <w:pPr>
              <w:spacing w:after="0"/>
              <w:rPr>
                <w:sz w:val="24"/>
                <w:szCs w:val="24"/>
                <w:color w:val="auto"/>
              </w:rPr>
            </w:pPr>
          </w:p>
        </w:tc>
        <w:tc>
          <w:tcPr>
            <w:tcW w:w="2540" w:type="dxa"/>
            <w:vAlign w:val="bottom"/>
          </w:tcPr>
          <w:p>
            <w:pPr>
              <w:ind w:left="1780"/>
              <w:spacing w:after="0"/>
              <w:rPr>
                <w:sz w:val="20"/>
                <w:szCs w:val="20"/>
                <w:color w:val="auto"/>
              </w:rPr>
            </w:pPr>
            <w:r>
              <w:rPr>
                <w:rFonts w:ascii="Arial" w:cs="Arial" w:eastAsia="Arial" w:hAnsi="Arial"/>
                <w:sz w:val="16"/>
                <w:szCs w:val="16"/>
                <w:color w:val="auto"/>
              </w:rPr>
              <w:t>PAGE</w:t>
            </w:r>
          </w:p>
        </w:tc>
      </w:tr>
      <w:tr>
        <w:trPr>
          <w:trHeight w:val="199"/>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Company Overview</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6</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Capital Stock</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Warrants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15</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Units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Certain Provisions of Nevada Law and our Articles of Incorporation and Bylaws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Plan of Distribution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20</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Legal Matters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Where You Can Find More Information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Certain Information by Reference</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22</w:t>
            </w:r>
          </w:p>
        </w:tc>
      </w:tr>
      <w:tr>
        <w:trPr>
          <w:trHeight w:val="549"/>
        </w:trPr>
        <w:tc>
          <w:tcPr>
            <w:tcW w:w="8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35" w:name="page36"/>
    <w:bookmarkEnd w:id="35"/>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4"/>
          <w:szCs w:val="14"/>
          <w:color w:val="auto"/>
        </w:rPr>
        <w:t xml:space="preserve">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SECURITIES UNLESS IT IS ACCOMPANIED BY A PROSPECTUS SUPPLEMENT.</w:t>
      </w:r>
    </w:p>
    <w:p>
      <w:pPr>
        <w:spacing w:after="0" w:line="227" w:lineRule="exact"/>
        <w:rPr>
          <w:sz w:val="20"/>
          <w:szCs w:val="20"/>
          <w:color w:val="auto"/>
        </w:rPr>
      </w:pPr>
    </w:p>
    <w:p>
      <w:pPr>
        <w:jc w:val="both"/>
        <w:ind w:right="100"/>
        <w:spacing w:after="0" w:line="308"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5"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473"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COMPANY OVERVIEW</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including the section titled “Risk Factors” on page 6, before deciding whether to purchase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the leading cause of disability globally, affecting approximately 16 million adults in the United States and nearly 300 million people worldwide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AV-101 is currently in Phase 2 development in the U.S. as an add-on treatment (together with current FDA-approved antidepressants (SSRIs and SNRIs)) for adult patients with MDD who have an inadequate response to their current antideperssant. The FDA has granted Fast Track designation for development of AV-101 as an add-on, or adjunctive, treatment for MDD. We believe AV-101 has potential as a novel treatment for multile additional CNS indivcations, including as a non-opioid treatment for chronic neuropathic pain, for which the FDA has granted a second AV-101 Fast Track designation, as well as a novel oral therapy for levodopa-induced dyskinesia associated with Parkinson’s disease therapy and suicidal ideation.</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second product candidate, 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In an exploratory 30-patient Phase 2a clinical study, PH10 was well-tolerated and, at microgram doses, demonstrated rapid-onset antidepressant effects, as measured by the Hamilton Depression Rating Scale (</w:t>
      </w:r>
      <w:r>
        <w:rPr>
          <w:rFonts w:ascii="Arial" w:cs="Arial" w:eastAsia="Arial" w:hAnsi="Arial"/>
          <w:sz w:val="15"/>
          <w:szCs w:val="15"/>
          <w:i w:val="1"/>
          <w:iCs w:val="1"/>
          <w:color w:val="auto"/>
        </w:rPr>
        <w:t>HAM-D</w:t>
      </w:r>
      <w:r>
        <w:rPr>
          <w:rFonts w:ascii="Arial" w:cs="Arial" w:eastAsia="Arial" w:hAnsi="Arial"/>
          <w:sz w:val="15"/>
          <w:szCs w:val="15"/>
          <w:color w:val="auto"/>
        </w:rPr>
        <w:t>), without psychological side effects or safety concerns. Based on positive results from this exploratory Phase 2a study, we are planning Phase 2b clinical development of PH10 in 2020, initially as a new stand-alone treatment for MDD. With its exceptional safety profile during clinical development to date, PH10 also has potential to change the current paradigm for treatment of treatment-resistant depression (</w:t>
      </w:r>
      <w:r>
        <w:rPr>
          <w:rFonts w:ascii="Arial" w:cs="Arial" w:eastAsia="Arial" w:hAnsi="Arial"/>
          <w:sz w:val="15"/>
          <w:szCs w:val="15"/>
          <w:i w:val="1"/>
          <w:iCs w:val="1"/>
          <w:color w:val="auto"/>
        </w:rPr>
        <w:t>TRD</w:t>
      </w:r>
      <w:r>
        <w:rPr>
          <w:rFonts w:ascii="Arial" w:cs="Arial" w:eastAsia="Arial" w:hAnsi="Arial"/>
          <w:sz w:val="15"/>
          <w:szCs w:val="15"/>
          <w:color w:val="auto"/>
        </w:rPr>
        <w:t>)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third product candidate, PH94B, is also a novel, rapid-acting CNS neuroactive nasal spray administered in microgram doses. We are developing PH94B initially for treatment of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which affects over 19 million Americans and is the third most common psychiatric condition after depression and substance abuse according to the NIH.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However, for treatment of both MDD and SAD, current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have slow onset of effect (often several weeks to months) and significant side effects that may make them inadequate treatment alternatives for many individuals affected by MDD and SAD.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but without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post-tramautic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addition to our current CNS product candidates, we have pipeline-enabling programs through our wholly-owned subsidiary,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discover, rescue, develop and commercialize proprietary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CNS and other diseases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xml:space="preserve">) involving hPSC-derived blood, cartilage, heart and liver cells. Our internal drug rescue programs are designed to utilize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w:t>
      </w:r>
      <w:r>
        <w:rPr>
          <w:rFonts w:ascii="Arial" w:cs="Arial" w:eastAsia="Arial" w:hAnsi="Arial"/>
          <w:sz w:val="15"/>
          <w:szCs w:val="15"/>
          <w:i w:val="1"/>
          <w:iCs w:val="1"/>
          <w:color w:val="auto"/>
        </w:rPr>
        <w:t>3D</w:t>
      </w:r>
      <w:r>
        <w:rPr>
          <w:rFonts w:ascii="Arial" w:cs="Arial" w:eastAsia="Arial" w:hAnsi="Arial"/>
          <w:sz w:val="15"/>
          <w:szCs w:val="15"/>
          <w:color w:val="auto"/>
        </w:rPr>
        <w:t>, our customized cardiac bioassay system, to discover and develop small molecule NCEs for our CNS pipeline or for out-licensing. To advance potential RM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cardiac stem cell technology, we have sublicensed to BlueRock Therapeutics LP, a next generation cell therapy and RM company recently acquired by Bayer AG (</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a manner similar to the BlueRock Agreement, we may pursue additional collaborations or licensing transactions involving blood, cartilage, and/or liver cells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hPSCs for cell-based therapy, cell repair therapy, RM and/or tissue engineering.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6 of this prospectus for a discussion of the factors you should carefully consider before deciding to purchase securities that may be offered by this prospectus.</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 risks and uncertainties not presently known to us or that we currently deem immaterial may also impair our business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our Series A1 Warrants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might fluctuate significantly, which could reduce the value of our Series A1 Warrants.</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common stock is listed for trading on the Nasdaq Capital Market under the symbol “VTGN.” Our stock price has been and could continue to be subject to wide fluctuations in response to a variety of factors, including the following:</w:t>
      </w:r>
    </w:p>
    <w:p>
      <w:pPr>
        <w:spacing w:after="0" w:line="181" w:lineRule="exact"/>
        <w:rPr>
          <w:sz w:val="20"/>
          <w:szCs w:val="20"/>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plans for, progress of or results from nonclinical and clinical development activities related to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failure of the FDA or other regulatory authority to approve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 or failure of other CNS therapies;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regarding our intellectual property portfolio;</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of our product candidates, if approved, to achieve commercial success;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market conditions and overall fluctuations in U.S. equity markets;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our financial guidance or securities analysts’ estimates of our financial performance;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raise additional capital and the terms on which we can raise it;</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47" w:lineRule="exact"/>
        <w:rPr>
          <w:rFonts w:ascii="Arial" w:cs="Arial" w:eastAsia="Arial" w:hAnsi="Arial"/>
          <w:sz w:val="15"/>
          <w:szCs w:val="15"/>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establishment of short positions by holders or non-holders of our stock or warrants;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discussion of us or our stock price by the press and by online investor communities;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risks and uncertainties described in these risk factors, and the risk factors incorporated by reference into this prospectus.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Series A1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our Series A1 Warrants and the liquidity of our Series A1 Warrants may be limited.</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is no established public trading market for our Series A1 Warrants, and we do not expect a market to develop. In addition, we do not intend to apply for the listing of our Series A1 Warrants on any national securities exchange or other trading market. Without an active market, we expect the liquidity of our Series A1 Warrants will be limited, which may negatively impact the value of our Series A1 Warrants.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Holders of our Series A1 Warrants will generally not have rights as a common stockholder until such holders exercise their Series A1 Warrants and acquire our common stock.</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set forth in our Series A1 Warrants, holders of our Series A1 Warrants will generally not have rights with respect to the Series A1 Warrant Shares underlying the Series A1 Warrants. Upon exercise of the Series A1 Warrants, the holders thereof will be entitled to exercise the rights of a common stockholder only as to matters for which the record date occurs after the exercise date.</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Due to the speculative nature of our Series A1 Warrants, there is no guarantee that it will ever be profitable for holders of our Series A1 Warrants to exercise their Series A1 Warrants.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Holders of Series A1 Warrants may exercise their right to acquire the Series A Warrant Shares by paying an exercise price of $1.82 per share prior to their expiration on or about March 7, 2023, after which date any unexercised Series A1 Warrants will expire and have no further value. There can be no assurance that the market price of our common stock will ever equal or exceed the exercise price of the Series A1 Warrants, and, consequently, whether it will ever be profitable for holders to exercise their Series A1 Warrants.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holders or beneficial holders of our common stock may not be permitted to exercise Series A1 Warrants that they hold.</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terms of the Series A1 Warrants prohibit holders from exercising their Series A1 Warrants if doing so would result in such holders (together with such holders’ affiliates) beneficially owning more than 4.99% (which threshold may be decreased or increased, but not above 9.99%, at the election of the holders upon prior written notice to us) of the number of shares of common stock outstanding immediately after giving effect to the exercise, as such percentage ownership is determined in accordance with the terms of the Series A1 Warrants. As a result, holders of the Series A1 Warrants may not be able to exercise our Series A1 Warrants for Series A1 Warrant Shares at a time when it would be financially beneficial for them to do so.</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have broad discretion to determine how any funds received in connection with any offering will be used, and may use them in ways that may not enhance our operating results or the price of our common stock.</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management will have broad discretion over the use of proceeds received from any offering pursuant to this registration statement, including upon the exercise of the Series A1 Warrants, and we could spend the proceeds in ways in which our investors do not agree or that do not yield a favorable return. If we do not invest or apply the proceeds of any offering in ways that improve our operating results, we may fail to achieve expected financial results, which could cause the market price of our common stock and the value of our Series A1 Warrants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cash dividends.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never declared or paid cash dividends on our common stock or other securities.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4"/>
          <w:szCs w:val="14"/>
          <w:i w:val="1"/>
          <w:iCs w:val="1"/>
          <w:color w:val="auto"/>
        </w:rPr>
        <w:t>Risk Factors</w:t>
      </w:r>
      <w:r>
        <w:rPr>
          <w:rFonts w:ascii="Arial" w:cs="Arial" w:eastAsia="Arial" w:hAnsi="Arial"/>
          <w:sz w:val="14"/>
          <w:szCs w:val="14"/>
          <w:color w:val="auto"/>
        </w:rPr>
        <w:t>” on page 6 of this prospectus and in our Annual Report on Form 10-K for the fiscal year ended March 31, 2019, our Quarterly Report on Form 10-Q for the period ended June 30, 2019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This prospectus and the documents incorporated by reference herein contain forward-looking statements that involve substantial risks and uncertainties. All statements, other than statements of historical facts, contained in this prospectus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 and clinical and nonclinical development objectives;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among other things, AV-101, initially as an add-on treatment for MDD, and subsequently as a treatment for additional diseases and disorders involving the CNS, PH94B, initially, as a treatment for SAD and PH10, initially, as a stand-alone treatment for MDD;</w:t>
      </w:r>
    </w:p>
    <w:p>
      <w:pPr>
        <w:spacing w:after="0" w:line="167"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U.S. and foreign countries;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protection for our core assets, including our product candidates;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enter and serve those markets;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loss of key scientific, clinical or nonclinical development, regulatory, and/or management personnel, internally or from one or more of our third-party collaborators;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other risks and uncertainties, including those listed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of this prospectus and the documents incorporated by reference herein.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sections in this prospectus and the documents incorporated by reference herein,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You should read this prospectus,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Unless otherwise provided in the applicable prospectus supplement, we intend to use the net proceeds from the sale of the securities under this prospectus primarily for research and development expenses associated with continuing development of AV-101, PH10, PH94B, potential drug rescue candidates, and for other working capital and capital expenditures. We may use a portion of the net proceeds to fund production of, and nonclinical and clinical studies related to Phase 2 and Phase 3 development of, AV-101, PH10 and PH94B and our other drug candidates.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authorized capital stock consists of 175.0 million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 million shares of preferred stock, $0.001 par value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The following is a description of our common stock and certain provisions of our Restated Articles of Incorporation (“</w:t>
      </w:r>
      <w:r>
        <w:rPr>
          <w:rFonts w:ascii="Arial" w:cs="Arial" w:eastAsia="Arial" w:hAnsi="Arial"/>
          <w:sz w:val="16"/>
          <w:szCs w:val="16"/>
          <w:i w:val="1"/>
          <w:iCs w:val="1"/>
          <w:color w:val="auto"/>
        </w:rPr>
        <w:t>Articles”</w:t>
      </w:r>
      <w:r>
        <w:rPr>
          <w:rFonts w:ascii="Arial" w:cs="Arial" w:eastAsia="Arial" w:hAnsi="Arial"/>
          <w:sz w:val="16"/>
          <w:szCs w:val="16"/>
          <w:color w:val="auto"/>
        </w:rPr>
        <w:t>),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issued and outstanding, or reserved for issuance:</w:t>
      </w:r>
    </w:p>
    <w:p>
      <w:pPr>
        <w:spacing w:after="0" w:line="212" w:lineRule="exact"/>
        <w:rPr>
          <w:sz w:val="20"/>
          <w:szCs w:val="20"/>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42,622,965 shares of common stock held by approximately 6,000 stockholders of record;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1,160,240 shares of common stock reserved for issuance upon conversion of 1,160,240 shares of our Series B Preferred held by two institutional investors;</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7,844,838 shares of common stock reserved for issuance upon exercise of outstanding stock options under our Amended and Restated 2016 Stock Incentive Plan, with a weighted average exercise price of $1.76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170,000 shares of common stock reserved for issuance upon exercise of outstanding stock options under our 2019 Omnibus Equity Incentive Plan, with a weighted average exercise price of $1.00 per share,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2017 Public Offering and Series A1 Warrant Shares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16"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September 30, 2019,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September 30, 2019,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 the date of either a Voluntary Conversion or Automatic Conversion solely in that number of shares of Common Stock equal to the Accrued Dividend.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At September 30, 2019,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6" w:lineRule="exact"/>
        <w:rPr>
          <w:sz w:val="20"/>
          <w:szCs w:val="20"/>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6" w:lineRule="exact"/>
        <w:rPr>
          <w:sz w:val="20"/>
          <w:szCs w:val="20"/>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7"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2" w:lineRule="exact"/>
        <w:rPr>
          <w:sz w:val="20"/>
          <w:szCs w:val="20"/>
          <w:color w:val="auto"/>
        </w:rPr>
      </w:pPr>
    </w:p>
    <w:p>
      <w:pPr>
        <w:ind w:left="600" w:hanging="304"/>
        <w:spacing w:after="0"/>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8" w:lineRule="exact"/>
        <w:rPr>
          <w:sz w:val="20"/>
          <w:szCs w:val="20"/>
          <w:color w:val="auto"/>
        </w:rPr>
      </w:pPr>
    </w:p>
    <w:p>
      <w:pPr>
        <w:ind w:left="600" w:hanging="304"/>
        <w:spacing w:after="0" w:line="285"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2" w:lineRule="exact"/>
        <w:rPr>
          <w:sz w:val="20"/>
          <w:szCs w:val="20"/>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16"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Form more information, see “</w:t>
      </w:r>
      <w:r>
        <w:rPr>
          <w:rFonts w:ascii="Arial" w:cs="Arial" w:eastAsia="Arial" w:hAnsi="Arial"/>
          <w:sz w:val="14"/>
          <w:szCs w:val="14"/>
          <w:i w:val="1"/>
          <w:iCs w:val="1"/>
          <w:color w:val="auto"/>
        </w:rPr>
        <w:t>Decription of Warrants – Registration of Series A1 Warrants and Series A1 Warrant Shares</w:t>
      </w:r>
      <w:r>
        <w:rPr>
          <w:rFonts w:ascii="Arial" w:cs="Arial" w:eastAsia="Arial" w:hAnsi="Arial"/>
          <w:sz w:val="14"/>
          <w:szCs w:val="14"/>
          <w:color w:val="auto"/>
        </w:rPr>
        <w:t>” below.</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 Series A1</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 Series A1 Warrants.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i w:val="1"/>
          <w:iCs w:val="1"/>
          <w:color w:val="auto"/>
        </w:rPr>
        <w:t xml:space="preserve">Fundamental Transactions: </w:t>
      </w:r>
      <w:r>
        <w:rPr>
          <w:rFonts w:ascii="Arial" w:cs="Arial" w:eastAsia="Arial" w:hAnsi="Arial"/>
          <w:sz w:val="14"/>
          <w:szCs w:val="14"/>
          <w:color w:val="auto"/>
        </w:rPr>
        <w:t>In the event of certain fundamental transactions, as described in the Series A1 Warrants and generally including any merger or consolidation with</w:t>
      </w:r>
      <w:r>
        <w:rPr>
          <w:rFonts w:ascii="Arial" w:cs="Arial" w:eastAsia="Arial" w:hAnsi="Arial"/>
          <w:sz w:val="14"/>
          <w:szCs w:val="14"/>
          <w:i w:val="1"/>
          <w:iCs w:val="1"/>
          <w:color w:val="auto"/>
        </w:rPr>
        <w:t xml:space="preserve"> </w:t>
      </w:r>
      <w:r>
        <w:rPr>
          <w:rFonts w:ascii="Arial" w:cs="Arial" w:eastAsia="Arial" w:hAnsi="Arial"/>
          <w:sz w:val="14"/>
          <w:szCs w:val="14"/>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the Board of Directors,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The Series A1 Warrants and the Series A1 Warrant Shares were previously registered pursuant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and a prospectus supplement filed with the SEC on August 31, 2017 pursuant to Rule 424(b)(5) under the Securities Act. Pursuant to Rule 415(a)(6) and Rule 429 under the Securities Act, the offering of the Series A1 Warrant Shares will be registered pursuant to this registration statement.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2" w:lineRule="exact"/>
        <w:rPr>
          <w:sz w:val="20"/>
          <w:szCs w:val="20"/>
          <w:color w:val="auto"/>
        </w:rPr>
      </w:pPr>
    </w:p>
    <w:p>
      <w:pPr>
        <w:ind w:left="600" w:hanging="304"/>
        <w:spacing w:after="0" w:line="285"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ARTICLES OF INCORPORATION AND BYLAWS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0" w:lineRule="exact"/>
        <w:rPr>
          <w:sz w:val="20"/>
          <w:szCs w:val="20"/>
          <w:color w:val="auto"/>
        </w:rPr>
      </w:pPr>
    </w:p>
    <w:p>
      <w:pPr>
        <w:ind w:left="600" w:hanging="304"/>
        <w:spacing w:after="0" w:line="285"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to the board of directors for action; 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transaction was fair to the Company at the time it is authorized or approved.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Share Acquisition Provisions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Combinations with Interested Stockholders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217" w:lineRule="exact"/>
        <w:rPr>
          <w:sz w:val="20"/>
          <w:szCs w:val="20"/>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81" w:lineRule="exact"/>
        <w:rPr>
          <w:sz w:val="20"/>
          <w:szCs w:val="20"/>
          <w:color w:val="auto"/>
        </w:rPr>
      </w:pPr>
    </w:p>
    <w:p>
      <w:pPr>
        <w:ind w:left="600" w:hanging="304"/>
        <w:spacing w:after="0" w:line="285" w:lineRule="auto"/>
        <w:tabs>
          <w:tab w:leader="none" w:pos="6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81" w:lineRule="exact"/>
        <w:rPr>
          <w:rFonts w:ascii="Arial" w:cs="Arial" w:eastAsia="Arial" w:hAnsi="Arial"/>
          <w:sz w:val="16"/>
          <w:szCs w:val="16"/>
          <w:color w:val="auto"/>
        </w:rPr>
      </w:pPr>
    </w:p>
    <w:p>
      <w:pPr>
        <w:ind w:left="680" w:hanging="384"/>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36" w:lineRule="exact"/>
        <w:rPr>
          <w:sz w:val="20"/>
          <w:szCs w:val="20"/>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 and</w:t>
      </w:r>
    </w:p>
    <w:p>
      <w:pPr>
        <w:spacing w:after="0" w:line="236" w:lineRule="exact"/>
        <w:rPr>
          <w:rFonts w:ascii="Arial" w:cs="Arial" w:eastAsia="Arial" w:hAnsi="Arial"/>
          <w:sz w:val="16"/>
          <w:szCs w:val="16"/>
          <w:color w:val="auto"/>
        </w:rPr>
      </w:pPr>
    </w:p>
    <w:p>
      <w:pPr>
        <w:ind w:left="600" w:hanging="304"/>
        <w:spacing w:after="0" w:line="285" w:lineRule="auto"/>
        <w:tabs>
          <w:tab w:leader="none" w:pos="69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ind w:left="4420"/>
        <w:spacing w:after="0"/>
        <w:rPr>
          <w:sz w:val="20"/>
          <w:szCs w:val="20"/>
          <w:color w:val="auto"/>
        </w:rPr>
      </w:pPr>
      <w:r>
        <w:rPr>
          <w:rFonts w:ascii="Arial" w:cs="Arial" w:eastAsia="Arial" w:hAnsi="Arial"/>
          <w:sz w:val="16"/>
          <w:szCs w:val="16"/>
          <w:b w:val="1"/>
          <w:bCs w:val="1"/>
          <w:color w:val="auto"/>
        </w:rPr>
        <w:t>Units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Each Unit Consisting of</w:t>
      </w:r>
    </w:p>
    <w:p>
      <w:pPr>
        <w:spacing w:after="0" w:line="14"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Share of Common Stock</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and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Shares of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142240</wp:posOffset>
            </wp:positionV>
            <wp:extent cx="1248410" cy="8712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48410" cy="87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Prospectus Supplement</w:t>
      </w:r>
    </w:p>
    <w:p>
      <w:pPr>
        <w:spacing w:after="0" w:line="208"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Joint Book-Running Managers</w:t>
      </w:r>
    </w:p>
    <w:p>
      <w:pPr>
        <w:spacing w:after="0" w:line="200" w:lineRule="exact"/>
        <w:rPr>
          <w:sz w:val="20"/>
          <w:szCs w:val="20"/>
          <w:color w:val="auto"/>
        </w:rPr>
      </w:pPr>
    </w:p>
    <w:p>
      <w:pPr>
        <w:spacing w:after="0" w:line="390" w:lineRule="exact"/>
        <w:rPr>
          <w:sz w:val="20"/>
          <w:szCs w:val="20"/>
          <w:color w:val="auto"/>
        </w:rPr>
      </w:pPr>
    </w:p>
    <w:p>
      <w:pPr>
        <w:ind w:left="1220"/>
        <w:spacing w:after="0"/>
        <w:tabs>
          <w:tab w:leader="none" w:pos="6540" w:val="left"/>
        </w:tabs>
        <w:rPr>
          <w:sz w:val="20"/>
          <w:szCs w:val="20"/>
          <w:color w:val="auto"/>
        </w:rPr>
      </w:pP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6"/>
          <w:szCs w:val="16"/>
          <w:color w:val="auto"/>
        </w:rPr>
        <w:t>The date of this prospectus supplement is December</w:t>
      </w:r>
      <w:r>
        <w:rPr>
          <w:sz w:val="20"/>
          <w:szCs w:val="20"/>
          <w:color w:val="auto"/>
        </w:rPr>
        <w:tab/>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893445</wp:posOffset>
            </wp:positionV>
            <wp:extent cx="714375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9019"/>
      </w:cols>
      <w:pgMar w:left="1440" w:top="8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650"/>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2"/>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2020-12-17T16:22:01Z</dcterms:created>
  <dcterms:modified xsi:type="dcterms:W3CDTF">2020-12-17T16:22:01Z</dcterms:modified>
</cp:coreProperties>
</file>