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As filed with the Securities and Exchange Commission on March 2, 2023</w:t>
      </w:r>
    </w:p>
    <w:p>
      <w:pPr>
        <w:spacing w:after="0" w:line="4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33" w:right="339" w:bottom="22" w:gutter="0" w:footer="0" w:header="0"/>
        </w:sect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2834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(Primary Standard Industrial</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Classification Code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3">
            <w:col w:w="3740" w:space="720"/>
            <w:col w:w="3280" w:space="720"/>
            <w:col w:w="2780"/>
          </w:cols>
          <w:pgMar w:left="320" w:top="233" w:right="339" w:bottom="22" w:gutter="0" w:footer="0" w:header="0"/>
          <w:type w:val="continuous"/>
        </w:sectPr>
      </w:pPr>
    </w:p>
    <w:p>
      <w:pPr>
        <w:spacing w:after="0" w:line="30"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(Address, including zip code, and telephone number,</w:t>
      </w:r>
    </w:p>
    <w:p>
      <w:pPr>
        <w:spacing w:after="0" w:line="21" w:lineRule="exact"/>
        <w:rPr>
          <w:sz w:val="24"/>
          <w:szCs w:val="24"/>
          <w:color w:val="auto"/>
        </w:rPr>
      </w:pPr>
    </w:p>
    <w:p>
      <w:pPr>
        <w:ind w:left="3380"/>
        <w:spacing w:after="0"/>
        <w:rPr>
          <w:sz w:val="20"/>
          <w:szCs w:val="20"/>
          <w:color w:val="auto"/>
        </w:rPr>
      </w:pPr>
      <w:r>
        <w:rPr>
          <w:rFonts w:ascii="Arial" w:cs="Arial" w:eastAsia="Arial" w:hAnsi="Arial"/>
          <w:sz w:val="16"/>
          <w:szCs w:val="16"/>
          <w:color w:val="auto"/>
        </w:rPr>
        <w:t>including area code, of registrant’s principal executive offices)</w:t>
      </w:r>
    </w:p>
    <w:p>
      <w:pPr>
        <w:spacing w:after="0" w:line="23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Shawn K. Singh</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(Name, address, including zip code, and telephone number,</w:t>
      </w:r>
    </w:p>
    <w:p>
      <w:pPr>
        <w:spacing w:after="0" w:line="32"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Copies to:</w:t>
      </w:r>
    </w:p>
    <w:p>
      <w:pPr>
        <w:sectPr>
          <w:pgSz w:w="11900" w:h="16838" w:orient="portrait"/>
          <w:cols w:equalWidth="0" w:num="1">
            <w:col w:w="11240"/>
          </w:cols>
          <w:pgMar w:left="320" w:top="233" w:right="339" w:bottom="22" w:gutter="0" w:footer="0" w:header="0"/>
          <w:type w:val="continuous"/>
        </w:sectPr>
      </w:pP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Daniel W. Rumsey, Esq.</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Jack P. Kennedy, Esq.</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Disclosure Law Group, a Professional Corporation</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655 West Broadway, Suite 870</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San Diego, CA 92101</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(619) 272-7050</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Jessica R. Haskell, Esq.</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Associate General Counsel and Corporate Secretary</w:t>
      </w:r>
    </w:p>
    <w:p>
      <w:pPr>
        <w:spacing w:after="0" w:line="3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343 Allerton Avenue</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(650) 577-3600</w:t>
      </w:r>
    </w:p>
    <w:p>
      <w:pPr>
        <w:spacing w:after="0" w:line="200" w:lineRule="exact"/>
        <w:rPr>
          <w:sz w:val="24"/>
          <w:szCs w:val="24"/>
          <w:color w:val="auto"/>
        </w:rPr>
      </w:pPr>
    </w:p>
    <w:p>
      <w:pPr>
        <w:sectPr>
          <w:pgSz w:w="11900" w:h="16838" w:orient="portrait"/>
          <w:cols w:equalWidth="0" w:num="2">
            <w:col w:w="5700" w:space="720"/>
            <w:col w:w="4820"/>
          </w:cols>
          <w:pgMar w:left="320" w:top="233" w:right="339" w:bottom="22" w:gutter="0" w:footer="0" w:header="0"/>
          <w:type w:val="continuous"/>
        </w:sectPr>
      </w:pPr>
    </w:p>
    <w:p>
      <w:pPr>
        <w:spacing w:after="0" w:line="2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As soon as practicable after this registration statement becomes effective.</w:t>
      </w:r>
    </w:p>
    <w:p>
      <w:pPr>
        <w:spacing w:after="0" w:line="20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640"/>
              <w:spacing w:after="0"/>
              <w:rPr>
                <w:sz w:val="20"/>
                <w:szCs w:val="20"/>
                <w:color w:val="auto"/>
              </w:rPr>
            </w:pPr>
            <w:r>
              <w:rPr>
                <w:rFonts w:ascii="Arial" w:cs="Arial" w:eastAsia="Arial" w:hAnsi="Arial"/>
                <w:sz w:val="18"/>
                <w:szCs w:val="18"/>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80" w:type="dxa"/>
            <w:vAlign w:val="bottom"/>
          </w:tcPr>
          <w:p>
            <w:pPr>
              <w:ind w:left="1640"/>
              <w:spacing w:after="0"/>
              <w:rPr>
                <w:sz w:val="20"/>
                <w:szCs w:val="20"/>
                <w:color w:val="auto"/>
              </w:rPr>
            </w:pPr>
            <w:r>
              <w:rPr>
                <w:rFonts w:ascii="Arial" w:cs="Arial" w:eastAsia="Arial" w:hAnsi="Arial"/>
                <w:sz w:val="18"/>
                <w:szCs w:val="18"/>
                <w:color w:val="auto"/>
              </w:rPr>
              <w:t>Emerging growth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33" w:right="339" w:bottom="22" w:gutter="0" w:footer="0" w:header="0"/>
          <w:type w:val="continuous"/>
        </w:sectPr>
      </w:pPr>
    </w:p>
    <w:bookmarkStart w:id="1" w:name="page2"/>
    <w:bookmarkEnd w:id="1"/>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287020</wp:posOffset>
            </wp:positionV>
            <wp:extent cx="7136130" cy="518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8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left="80" w:right="80"/>
        <w:spacing w:after="0" w:line="289" w:lineRule="auto"/>
        <w:rPr>
          <w:sz w:val="20"/>
          <w:szCs w:val="20"/>
          <w:color w:val="auto"/>
        </w:rPr>
      </w:pPr>
      <w:r>
        <w:rPr>
          <w:rFonts w:ascii="Arial" w:cs="Arial" w:eastAsia="Arial" w:hAnsi="Arial"/>
          <w:sz w:val="17"/>
          <w:szCs w:val="17"/>
          <w:b w:val="1"/>
          <w:bCs w:val="1"/>
          <w:color w:val="FF0000"/>
        </w:rPr>
        <w:t>The information in this prospectus is not complete and may be changed. The selling stockholders may not sell these securities until the registration statement filed with the Securities and Exchange Commission is effective. This preliminary prospectus is not an offer to sell these securities, and it is not soliciting an offer to buy these securities in any state where such offer or sale is not permitted.</w:t>
      </w:r>
    </w:p>
    <w:p>
      <w:pPr>
        <w:spacing w:after="0" w:line="239" w:lineRule="exact"/>
        <w:rPr>
          <w:sz w:val="20"/>
          <w:szCs w:val="20"/>
          <w:color w:val="auto"/>
        </w:rPr>
      </w:pPr>
    </w:p>
    <w:p>
      <w:pPr>
        <w:spacing w:after="0"/>
        <w:tabs>
          <w:tab w:leader="none" w:pos="4320" w:val="left"/>
          <w:tab w:leader="none" w:pos="928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8"/>
          <w:szCs w:val="18"/>
          <w:b w:val="1"/>
          <w:bCs w:val="1"/>
          <w:color w:val="FF0000"/>
        </w:rPr>
        <w:t>SUBJECT TO COMPLETION</w:t>
      </w:r>
      <w:r>
        <w:rPr>
          <w:sz w:val="20"/>
          <w:szCs w:val="20"/>
          <w:color w:val="auto"/>
        </w:rPr>
        <w:tab/>
      </w:r>
      <w:r>
        <w:rPr>
          <w:rFonts w:ascii="Arial" w:cs="Arial" w:eastAsia="Arial" w:hAnsi="Arial"/>
          <w:sz w:val="17"/>
          <w:szCs w:val="17"/>
          <w:b w:val="1"/>
          <w:bCs w:val="1"/>
          <w:color w:val="FF0000"/>
        </w:rPr>
        <w:t>DATED MARCH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428625</wp:posOffset>
            </wp:positionV>
            <wp:extent cx="1482725"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12,410,100 Shares of Common Stock</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This prospectus relates to the resale from time to time of up to 12,410,100 shares of our common stock, par value $0.001 per share (the </w:t>
      </w:r>
      <w:r>
        <w:rPr>
          <w:rFonts w:ascii="Arial" w:cs="Arial" w:eastAsia="Arial" w:hAnsi="Arial"/>
          <w:sz w:val="16"/>
          <w:szCs w:val="16"/>
          <w:i w:val="1"/>
          <w:iCs w:val="1"/>
          <w:color w:val="auto"/>
        </w:rPr>
        <w:t>Shares</w:t>
      </w:r>
      <w:r>
        <w:rPr>
          <w:rFonts w:ascii="Arial" w:cs="Arial" w:eastAsia="Arial" w:hAnsi="Arial"/>
          <w:sz w:val="16"/>
          <w:szCs w:val="16"/>
          <w:color w:val="auto"/>
        </w:rPr>
        <w:t xml:space="preserve">), by the selling stockholders identified herein (collectively, with any of such stockholders’ transferees, pledgees, assignees, distributees, donees or successors-in-interest, the </w:t>
      </w:r>
      <w:r>
        <w:rPr>
          <w:rFonts w:ascii="Arial" w:cs="Arial" w:eastAsia="Arial" w:hAnsi="Arial"/>
          <w:sz w:val="16"/>
          <w:szCs w:val="16"/>
          <w:i w:val="1"/>
          <w:iCs w:val="1"/>
          <w:color w:val="auto"/>
        </w:rPr>
        <w:t>Selling Stockholders</w:t>
      </w:r>
      <w:r>
        <w:rPr>
          <w:rFonts w:ascii="Arial" w:cs="Arial" w:eastAsia="Arial" w:hAnsi="Arial"/>
          <w:sz w:val="16"/>
          <w:szCs w:val="16"/>
          <w:color w:val="auto"/>
        </w:rPr>
        <w:t xml:space="preserve">). We are registering the Shares on behalf of the Selling Stockholders to satisfy certain registration rights that we granted to the Selling Stockholders in connection with the completion of our acquisition of Pherin Pharmaceuticals, Inc. We will not receive any of the proceeds from the sale of the Shares offered hereby. See the section titled </w:t>
      </w:r>
      <w:r>
        <w:rPr>
          <w:rFonts w:ascii="Arial" w:cs="Arial" w:eastAsia="Arial" w:hAnsi="Arial"/>
          <w:sz w:val="16"/>
          <w:szCs w:val="16"/>
          <w:i w:val="1"/>
          <w:iCs w:val="1"/>
          <w:color w:val="auto"/>
        </w:rPr>
        <w:t>The Pherin Acquisition</w:t>
      </w:r>
      <w:r>
        <w:rPr>
          <w:rFonts w:ascii="Arial" w:cs="Arial" w:eastAsia="Arial" w:hAnsi="Arial"/>
          <w:sz w:val="16"/>
          <w:szCs w:val="16"/>
          <w:color w:val="auto"/>
        </w:rPr>
        <w:t xml:space="preserve"> on page </w:t>
      </w:r>
      <w:r>
        <w:rPr>
          <w:rFonts w:ascii="Arial" w:cs="Arial" w:eastAsia="Arial" w:hAnsi="Arial"/>
          <w:sz w:val="16"/>
          <w:szCs w:val="16"/>
          <w:u w:val="single" w:color="auto"/>
          <w:color w:val="0000EE"/>
        </w:rPr>
        <w:t>13</w:t>
      </w:r>
      <w:r>
        <w:rPr>
          <w:rFonts w:ascii="Arial" w:cs="Arial" w:eastAsia="Arial" w:hAnsi="Arial"/>
          <w:sz w:val="16"/>
          <w:szCs w:val="16"/>
          <w:color w:val="auto"/>
        </w:rPr>
        <w:t xml:space="preserve"> for more information.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registering the Shares to provide the Selling Stockholders with freely tradable securities and to satisfy the registration rights such stockholders received in connection with the issuance of the Shares held by the Selling Stockholders. This prospectus does not necessarily mean that the Selling Stockholders will offer or sell those shares.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selling and other expenses incurred by the Selling Stockholders will be paid by such stockholders, except for certain legal fees and expenses, which will be paid by us. The Selling Stockholders may sell, transfer or otherwise dispose of any or all of the Shares offered by this prospectus from time to time on The Nasdaq Capital Market or any other stock exchange, market, or trading facility on which the shares are traded, or in private transactions. The Shares may be offered and sold or otherwise disposed of by the Selling Stockholders at fixed prices, market prices prevailing at the time of sale, prices related to prevailing market prices, or privately negotiated prices. Refer to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for more information regarding how the Selling Stockholders may offer, sell, or dispose of their Shares.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“VTGN.” On March 1, 2023, the closing price of our common stock on the Nasdaq Capital Market was $0.18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Investing in our common stock involves a high degree of risk. You should review carefully the risks and uncertainties described under </w:t>
      </w:r>
      <w:r>
        <w:rPr>
          <w:rFonts w:ascii="Arial" w:cs="Arial" w:eastAsia="Arial" w:hAnsi="Arial"/>
          <w:sz w:val="17"/>
          <w:szCs w:val="17"/>
          <w:color w:val="auto"/>
        </w:rPr>
        <w:t>“</w:t>
      </w:r>
      <w:r>
        <w:rPr>
          <w:rFonts w:ascii="Arial" w:cs="Arial" w:eastAsia="Arial" w:hAnsi="Arial"/>
          <w:sz w:val="17"/>
          <w:szCs w:val="17"/>
          <w:b w:val="1"/>
          <w:bCs w:val="1"/>
          <w:i w:val="1"/>
          <w:iCs w:val="1"/>
          <w:color w:val="auto"/>
        </w:rPr>
        <w:t>Risk Factors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beginning on page </w:t>
      </w:r>
      <w:r>
        <w:rPr>
          <w:rFonts w:ascii="Arial" w:cs="Arial" w:eastAsia="Arial" w:hAnsi="Arial"/>
          <w:sz w:val="17"/>
          <w:szCs w:val="17"/>
          <w:b w:val="1"/>
          <w:bCs w:val="1"/>
          <w:i w:val="1"/>
          <w:iCs w:val="1"/>
          <w:u w:val="single" w:color="auto"/>
          <w:color w:val="0000EE"/>
        </w:rPr>
        <w:t>9</w:t>
      </w:r>
      <w:r>
        <w:rPr>
          <w:rFonts w:ascii="Arial" w:cs="Arial" w:eastAsia="Arial" w:hAnsi="Arial"/>
          <w:sz w:val="17"/>
          <w:szCs w:val="17"/>
          <w:b w:val="1"/>
          <w:bCs w:val="1"/>
          <w:i w:val="1"/>
          <w:iCs w:val="1"/>
          <w:color w:val="auto"/>
        </w:rPr>
        <w:t xml:space="preserve"> of this prospectus, and under similar headings in any amendments or supplements to this prospectus.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4020"/>
              <w:spacing w:after="0"/>
              <w:rPr>
                <w:sz w:val="20"/>
                <w:szCs w:val="20"/>
                <w:color w:val="auto"/>
              </w:rPr>
            </w:pPr>
            <w:r>
              <w:rPr>
                <w:rFonts w:ascii="Arial" w:cs="Arial" w:eastAsia="Arial" w:hAnsi="Arial"/>
                <w:sz w:val="18"/>
                <w:szCs w:val="18"/>
                <w:color w:val="auto"/>
              </w:rPr>
              <w:t>The date of this prospectus is</w:t>
            </w:r>
          </w:p>
        </w:tc>
        <w:tc>
          <w:tcPr>
            <w:tcW w:w="4820" w:type="dxa"/>
            <w:vAlign w:val="bottom"/>
          </w:tcPr>
          <w:p>
            <w:pPr>
              <w:jc w:val="right"/>
              <w:ind w:right="3910"/>
              <w:spacing w:after="0"/>
              <w:rPr>
                <w:sz w:val="20"/>
                <w:szCs w:val="20"/>
                <w:color w:val="auto"/>
              </w:rPr>
            </w:pPr>
            <w:r>
              <w:rPr>
                <w:rFonts w:ascii="Arial" w:cs="Arial" w:eastAsia="Arial" w:hAnsi="Arial"/>
                <w:sz w:val="18"/>
                <w:szCs w:val="18"/>
                <w:color w:val="auto"/>
              </w:rPr>
              <w:t>, 2023.</w:t>
            </w:r>
          </w:p>
        </w:tc>
      </w:tr>
      <w:tr>
        <w:trPr>
          <w:trHeight w:val="790"/>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gridSpan w:val="3"/>
          </w:tcPr>
          <w:p>
            <w:pPr>
              <w:ind w:left="840"/>
              <w:spacing w:after="0"/>
              <w:rPr>
                <w:sz w:val="20"/>
                <w:szCs w:val="20"/>
                <w:color w:val="auto"/>
              </w:rPr>
            </w:pPr>
            <w:r>
              <w:rPr>
                <w:rFonts w:ascii="Arial" w:cs="Arial" w:eastAsia="Arial" w:hAnsi="Arial"/>
                <w:sz w:val="18"/>
                <w:szCs w:val="18"/>
                <w:b w:val="1"/>
                <w:bCs w:val="1"/>
                <w:color w:val="auto"/>
              </w:rPr>
              <w:t>TABLE OF CONTENTS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220" w:type="dxa"/>
            <w:vAlign w:val="bottom"/>
            <w:gridSpan w:val="6"/>
          </w:tcPr>
          <w:p>
            <w:pPr>
              <w:spacing w:after="0"/>
              <w:rPr>
                <w:sz w:val="20"/>
                <w:szCs w:val="20"/>
                <w:color w:val="auto"/>
              </w:rPr>
            </w:pPr>
            <w:r>
              <w:rPr>
                <w:rFonts w:ascii="Arial" w:cs="Arial" w:eastAsia="Arial" w:hAnsi="Arial"/>
                <w:sz w:val="18"/>
                <w:szCs w:val="18"/>
                <w:color w:val="0000EE"/>
                <w:w w:val="91"/>
              </w:rPr>
              <w:t>ABOUT THIS PROSPECTUS</w:t>
            </w:r>
          </w:p>
        </w:tc>
        <w:tc>
          <w:tcPr>
            <w:tcW w:w="6140" w:type="dxa"/>
            <w:vAlign w:val="bottom"/>
            <w:gridSpan w:val="5"/>
          </w:tcPr>
          <w:p>
            <w:pPr>
              <w:spacing w:after="0"/>
              <w:rPr>
                <w:sz w:val="24"/>
                <w:szCs w:val="24"/>
                <w:color w:val="auto"/>
              </w:rPr>
            </w:pPr>
          </w:p>
        </w:tc>
        <w:tc>
          <w:tcPr>
            <w:tcW w:w="1940" w:type="dxa"/>
            <w:vAlign w:val="bottom"/>
            <w:gridSpan w:val="3"/>
          </w:tcPr>
          <w:p>
            <w:pPr>
              <w:ind w:left="1760"/>
              <w:spacing w:after="0"/>
              <w:rPr>
                <w:sz w:val="20"/>
                <w:szCs w:val="20"/>
                <w:color w:val="auto"/>
              </w:rPr>
            </w:pPr>
            <w:r>
              <w:rPr>
                <w:rFonts w:ascii="Arial" w:cs="Arial" w:eastAsia="Arial" w:hAnsi="Arial"/>
                <w:sz w:val="18"/>
                <w:szCs w:val="18"/>
                <w:color w:val="0000EE"/>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gridSpan w:val="11"/>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gridSpan w:val="11"/>
          </w:tcPr>
          <w:p>
            <w:pPr>
              <w:spacing w:after="0" w:line="196" w:lineRule="exact"/>
              <w:rPr>
                <w:sz w:val="20"/>
                <w:szCs w:val="20"/>
                <w:color w:val="auto"/>
              </w:rPr>
            </w:pPr>
            <w:r>
              <w:rPr>
                <w:rFonts w:ascii="Arial" w:cs="Arial" w:eastAsia="Arial" w:hAnsi="Arial"/>
                <w:sz w:val="18"/>
                <w:szCs w:val="18"/>
                <w:color w:val="0000EE"/>
              </w:rPr>
              <w:t>INCORPORATION OF CERTAIN INFORMATION BY REFERENCE</w:t>
            </w: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rPr>
              <w:t>3</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gridSpan w:val="10"/>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2560" w:type="dxa"/>
            <w:vAlign w:val="bottom"/>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rPr>
              <w:t>5</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gridSpan w:val="10"/>
          </w:tcPr>
          <w:p>
            <w:pPr>
              <w:spacing w:after="0" w:line="196" w:lineRule="exact"/>
              <w:rPr>
                <w:sz w:val="20"/>
                <w:szCs w:val="20"/>
                <w:color w:val="auto"/>
              </w:rPr>
            </w:pPr>
            <w:r>
              <w:rPr>
                <w:rFonts w:ascii="Arial" w:cs="Arial" w:eastAsia="Arial" w:hAnsi="Arial"/>
                <w:sz w:val="18"/>
                <w:szCs w:val="18"/>
                <w:color w:val="0000EE"/>
              </w:rPr>
              <w:t>THE COMPANY</w:t>
            </w:r>
          </w:p>
        </w:tc>
        <w:tc>
          <w:tcPr>
            <w:tcW w:w="2560" w:type="dxa"/>
            <w:vAlign w:val="bottom"/>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rPr>
              <w:t>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Arial" w:cs="Arial" w:eastAsia="Arial" w:hAnsi="Arial"/>
                <w:sz w:val="18"/>
                <w:szCs w:val="18"/>
                <w:color w:val="0000EE"/>
                <w:w w:val="91"/>
              </w:rPr>
              <w:t>RISK FACTORS</w:t>
            </w:r>
          </w:p>
        </w:tc>
        <w:tc>
          <w:tcPr>
            <w:tcW w:w="7100" w:type="dxa"/>
            <w:vAlign w:val="bottom"/>
            <w:gridSpan w:val="9"/>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rPr>
              <w:t>9</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gridSpan w:val="11"/>
          </w:tcPr>
          <w:p>
            <w:pPr>
              <w:spacing w:after="0" w:line="196" w:lineRule="exact"/>
              <w:rPr>
                <w:sz w:val="20"/>
                <w:szCs w:val="20"/>
                <w:color w:val="auto"/>
              </w:rPr>
            </w:pPr>
            <w:r>
              <w:rPr>
                <w:rFonts w:ascii="Arial" w:cs="Arial" w:eastAsia="Arial" w:hAnsi="Arial"/>
                <w:sz w:val="18"/>
                <w:szCs w:val="18"/>
                <w:color w:val="0000EE"/>
              </w:rPr>
              <w:t>USE OF PROCEEDS</w:t>
            </w: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w w:val="79"/>
              </w:rPr>
              <w:t>10</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80" w:type="dxa"/>
            <w:vAlign w:val="bottom"/>
            <w:gridSpan w:val="7"/>
          </w:tcPr>
          <w:p>
            <w:pPr>
              <w:spacing w:after="0" w:line="196" w:lineRule="exact"/>
              <w:rPr>
                <w:sz w:val="20"/>
                <w:szCs w:val="20"/>
                <w:color w:val="auto"/>
              </w:rPr>
            </w:pPr>
            <w:r>
              <w:rPr>
                <w:rFonts w:ascii="Arial" w:cs="Arial" w:eastAsia="Arial" w:hAnsi="Arial"/>
                <w:sz w:val="18"/>
                <w:szCs w:val="18"/>
                <w:color w:val="0000EE"/>
                <w:w w:val="95"/>
              </w:rPr>
              <w:t>DESCRIPTION OF CAPITAL STOCK</w:t>
            </w:r>
          </w:p>
        </w:tc>
        <w:tc>
          <w:tcPr>
            <w:tcW w:w="5480" w:type="dxa"/>
            <w:vAlign w:val="bottom"/>
            <w:gridSpan w:val="4"/>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w w:val="79"/>
              </w:rPr>
              <w:t>11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20" w:type="dxa"/>
            <w:vAlign w:val="bottom"/>
            <w:gridSpan w:val="6"/>
          </w:tcPr>
          <w:p>
            <w:pPr>
              <w:spacing w:after="0" w:line="196" w:lineRule="exact"/>
              <w:rPr>
                <w:sz w:val="20"/>
                <w:szCs w:val="20"/>
                <w:color w:val="auto"/>
              </w:rPr>
            </w:pPr>
            <w:r>
              <w:rPr>
                <w:rFonts w:ascii="Arial" w:cs="Arial" w:eastAsia="Arial" w:hAnsi="Arial"/>
                <w:sz w:val="18"/>
                <w:szCs w:val="18"/>
                <w:color w:val="0000EE"/>
                <w:w w:val="94"/>
              </w:rPr>
              <w:t>THE PHERIN ACQUISITION</w:t>
            </w:r>
          </w:p>
        </w:tc>
        <w:tc>
          <w:tcPr>
            <w:tcW w:w="660" w:type="dxa"/>
            <w:vAlign w:val="bottom"/>
          </w:tcPr>
          <w:p>
            <w:pPr>
              <w:spacing w:after="0"/>
              <w:rPr>
                <w:sz w:val="17"/>
                <w:szCs w:val="17"/>
                <w:color w:val="auto"/>
              </w:rPr>
            </w:pPr>
          </w:p>
        </w:tc>
        <w:tc>
          <w:tcPr>
            <w:tcW w:w="5480" w:type="dxa"/>
            <w:vAlign w:val="bottom"/>
            <w:gridSpan w:val="4"/>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w w:val="79"/>
              </w:rPr>
              <w:t>13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140" w:type="dxa"/>
            <w:vAlign w:val="bottom"/>
            <w:tcBorders>
              <w:left w:val="single" w:sz="8" w:color="0000EE"/>
            </w:tcBorders>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20" w:type="dxa"/>
            <w:vAlign w:val="bottom"/>
            <w:gridSpan w:val="6"/>
          </w:tcPr>
          <w:p>
            <w:pPr>
              <w:spacing w:after="0" w:line="196" w:lineRule="exact"/>
              <w:rPr>
                <w:sz w:val="20"/>
                <w:szCs w:val="20"/>
                <w:color w:val="auto"/>
              </w:rPr>
            </w:pPr>
            <w:r>
              <w:rPr>
                <w:rFonts w:ascii="Arial" w:cs="Arial" w:eastAsia="Arial" w:hAnsi="Arial"/>
                <w:sz w:val="18"/>
                <w:szCs w:val="18"/>
                <w:color w:val="0000EE"/>
                <w:w w:val="94"/>
              </w:rPr>
              <w:t>SELLING STOCKHOLDERS</w:t>
            </w:r>
          </w:p>
        </w:tc>
        <w:tc>
          <w:tcPr>
            <w:tcW w:w="6140" w:type="dxa"/>
            <w:vAlign w:val="bottom"/>
            <w:gridSpan w:val="5"/>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w w:val="79"/>
              </w:rPr>
              <w:t>14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060" w:type="dxa"/>
            <w:vAlign w:val="bottom"/>
            <w:gridSpan w:val="5"/>
          </w:tcPr>
          <w:p>
            <w:pPr>
              <w:spacing w:after="0" w:line="196" w:lineRule="exact"/>
              <w:rPr>
                <w:sz w:val="20"/>
                <w:szCs w:val="20"/>
                <w:color w:val="auto"/>
              </w:rPr>
            </w:pPr>
            <w:r>
              <w:rPr>
                <w:rFonts w:ascii="Arial" w:cs="Arial" w:eastAsia="Arial" w:hAnsi="Arial"/>
                <w:sz w:val="18"/>
                <w:szCs w:val="18"/>
                <w:color w:val="0000EE"/>
                <w:w w:val="97"/>
              </w:rPr>
              <w:t>PLAN OF DISTRIBUTION</w:t>
            </w:r>
          </w:p>
        </w:tc>
        <w:tc>
          <w:tcPr>
            <w:tcW w:w="160" w:type="dxa"/>
            <w:vAlign w:val="bottom"/>
          </w:tcPr>
          <w:p>
            <w:pPr>
              <w:spacing w:after="0"/>
              <w:rPr>
                <w:sz w:val="17"/>
                <w:szCs w:val="17"/>
                <w:color w:val="auto"/>
              </w:rPr>
            </w:pPr>
          </w:p>
        </w:tc>
        <w:tc>
          <w:tcPr>
            <w:tcW w:w="6140" w:type="dxa"/>
            <w:vAlign w:val="bottom"/>
            <w:gridSpan w:val="5"/>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w w:val="79"/>
              </w:rPr>
              <w:t>15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060" w:type="dxa"/>
            <w:vAlign w:val="bottom"/>
            <w:gridSpan w:val="5"/>
          </w:tcPr>
          <w:p>
            <w:pPr>
              <w:spacing w:after="0" w:line="196" w:lineRule="exact"/>
              <w:rPr>
                <w:sz w:val="20"/>
                <w:szCs w:val="20"/>
                <w:color w:val="auto"/>
              </w:rPr>
            </w:pPr>
            <w:r>
              <w:rPr>
                <w:rFonts w:ascii="Arial" w:cs="Arial" w:eastAsia="Arial" w:hAnsi="Arial"/>
                <w:sz w:val="18"/>
                <w:szCs w:val="18"/>
                <w:color w:val="0000EE"/>
              </w:rPr>
              <w:t>LEGAL MATTERS</w:t>
            </w:r>
          </w:p>
        </w:tc>
        <w:tc>
          <w:tcPr>
            <w:tcW w:w="6300" w:type="dxa"/>
            <w:vAlign w:val="bottom"/>
            <w:gridSpan w:val="6"/>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w w:val="79"/>
              </w:rPr>
              <w:t>17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0000EE"/>
                <w:w w:val="90"/>
              </w:rPr>
              <w:t>EXPERTS</w:t>
            </w:r>
          </w:p>
        </w:tc>
        <w:tc>
          <w:tcPr>
            <w:tcW w:w="680" w:type="dxa"/>
            <w:vAlign w:val="bottom"/>
            <w:gridSpan w:val="2"/>
          </w:tcPr>
          <w:p>
            <w:pPr>
              <w:spacing w:after="0"/>
              <w:rPr>
                <w:sz w:val="17"/>
                <w:szCs w:val="17"/>
                <w:color w:val="auto"/>
              </w:rPr>
            </w:pPr>
          </w:p>
        </w:tc>
        <w:tc>
          <w:tcPr>
            <w:tcW w:w="6900" w:type="dxa"/>
            <w:vAlign w:val="bottom"/>
            <w:gridSpan w:val="8"/>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Arial" w:cs="Arial" w:eastAsia="Arial" w:hAnsi="Arial"/>
                <w:sz w:val="18"/>
                <w:szCs w:val="18"/>
                <w:color w:val="0000EE"/>
                <w:w w:val="79"/>
              </w:rPr>
              <w:t>17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580" w:right="12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prospectus is part of a registration statement that we filed with the U.S. Securities and Exchange Commission (the </w:t>
      </w:r>
      <w:r>
        <w:rPr>
          <w:rFonts w:ascii="Arial" w:cs="Arial" w:eastAsia="Arial" w:hAnsi="Arial"/>
          <w:sz w:val="17"/>
          <w:szCs w:val="17"/>
          <w:i w:val="1"/>
          <w:iCs w:val="1"/>
          <w:color w:val="auto"/>
        </w:rPr>
        <w:t>SEC</w:t>
      </w:r>
      <w:r>
        <w:rPr>
          <w:rFonts w:ascii="Arial" w:cs="Arial" w:eastAsia="Arial" w:hAnsi="Arial"/>
          <w:sz w:val="17"/>
          <w:szCs w:val="17"/>
          <w:color w:val="auto"/>
        </w:rPr>
        <w:t>) using a “shelf” registration process. By using a shelf registration statement, the Selling Stockholders named herein may, from time to time, sell shares of common stock as described in this prospectus. To the extent necessary, we may provide a supplement to this prospectus that contains specific information about the offering and the Selling Stockholders, as well as the amounts, prices and terms of the securities hereby.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and “</w:t>
      </w:r>
      <w:r>
        <w:rPr>
          <w:rFonts w:ascii="Arial" w:cs="Arial" w:eastAsia="Arial" w:hAnsi="Arial"/>
          <w:sz w:val="17"/>
          <w:szCs w:val="17"/>
          <w:i w:val="1"/>
          <w:iCs w:val="1"/>
          <w:color w:val="auto"/>
        </w:rPr>
        <w:t>Incorporation of Certain Information by Reference</w:t>
      </w:r>
      <w:r>
        <w:rPr>
          <w:rFonts w:ascii="Arial" w:cs="Arial" w:eastAsia="Arial" w:hAnsi="Arial"/>
          <w:sz w:val="17"/>
          <w:szCs w:val="17"/>
          <w:color w:val="auto"/>
        </w:rPr>
        <w: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Neither we, nor the Selling Stockholders,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When we refer to “Vistagen,” “we,” “our,” “us” and the “Company” in this prospectus, we mean Vistagen Therapeutics, Inc., a Nevada corporation, and its consolidated subsidiaries, unless otherwise specified. When we refer to “you,” we mean the potential holders of the applicable series of securities.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common stock is registered with the SEC under Section 12 of the Exchange Act and, accordingly, we are subject to the information and periodic reporting requirements of the Exchange Act and file periodic reports, proxy statements and other information with the SEC. These periodic reports, proxy statements and other information are available at the website of the SEC at www.sec.gov.</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a website at http://www.vistagen.com. You may access our Annual Reports on Form 10-K, Quarterly Reports on Form 10-Q, Current Reports on Form 8-K and amendments to those reports, proxy statements and other information filed or furnished pursuant to Section 13(a) or 15(d) of the Exchange Act with the SEC free of charge at our website as soon as reasonably practicable after such material is electronically filed with, or furnished to, the SEC. We have not incorporated by reference into this prospectus the information on our website, and you should not consider it to be a part of this prospectus.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the website of the SEC referenced above.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March 31, 2022, filed on </w:t>
      </w:r>
      <w:hyperlink r:id="rId18">
        <w:r>
          <w:rPr>
            <w:rFonts w:ascii="Arial" w:cs="Arial" w:eastAsia="Arial" w:hAnsi="Arial"/>
            <w:sz w:val="18"/>
            <w:szCs w:val="18"/>
            <w:u w:val="single" w:color="auto"/>
            <w:color w:val="0000EE"/>
          </w:rPr>
          <w:t>June 23,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period ended June 30, 2022, filed on </w:t>
      </w:r>
      <w:hyperlink r:id="rId19">
        <w:r>
          <w:rPr>
            <w:rFonts w:ascii="Arial" w:cs="Arial" w:eastAsia="Arial" w:hAnsi="Arial"/>
            <w:sz w:val="18"/>
            <w:szCs w:val="18"/>
            <w:u w:val="single" w:color="auto"/>
            <w:color w:val="0000EE"/>
          </w:rPr>
          <w:t>August 11,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period ended September 30, 2022, filed on </w:t>
      </w:r>
      <w:hyperlink r:id="rId20">
        <w:r>
          <w:rPr>
            <w:rFonts w:ascii="Arial" w:cs="Arial" w:eastAsia="Arial" w:hAnsi="Arial"/>
            <w:sz w:val="18"/>
            <w:szCs w:val="18"/>
            <w:u w:val="single" w:color="auto"/>
            <w:color w:val="0000EE"/>
          </w:rPr>
          <w:t>November 10,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period ended December 31, 2022, filed on </w:t>
      </w:r>
      <w:hyperlink r:id="rId21">
        <w:r>
          <w:rPr>
            <w:rFonts w:ascii="Arial" w:cs="Arial" w:eastAsia="Arial" w:hAnsi="Arial"/>
            <w:sz w:val="18"/>
            <w:szCs w:val="18"/>
            <w:u w:val="single" w:color="auto"/>
            <w:color w:val="0000EE"/>
          </w:rPr>
          <w:t>February 7, 2023</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2">
        <w:r>
          <w:rPr>
            <w:rFonts w:ascii="Arial" w:cs="Arial" w:eastAsia="Arial" w:hAnsi="Arial"/>
            <w:sz w:val="18"/>
            <w:szCs w:val="18"/>
            <w:u w:val="single" w:color="auto"/>
            <w:color w:val="0000EE"/>
          </w:rPr>
          <w:t>April 13,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3">
        <w:r>
          <w:rPr>
            <w:rFonts w:ascii="Arial" w:cs="Arial" w:eastAsia="Arial" w:hAnsi="Arial"/>
            <w:sz w:val="18"/>
            <w:szCs w:val="18"/>
            <w:u w:val="single" w:color="auto"/>
            <w:color w:val="0000EE"/>
          </w:rPr>
          <w:t>April 22,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4">
        <w:r>
          <w:rPr>
            <w:rFonts w:ascii="Arial" w:cs="Arial" w:eastAsia="Arial" w:hAnsi="Arial"/>
            <w:sz w:val="18"/>
            <w:szCs w:val="18"/>
            <w:u w:val="single" w:color="auto"/>
            <w:color w:val="0000EE"/>
          </w:rPr>
          <w:t>May 3,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5">
        <w:r>
          <w:rPr>
            <w:rFonts w:ascii="Arial" w:cs="Arial" w:eastAsia="Arial" w:hAnsi="Arial"/>
            <w:sz w:val="18"/>
            <w:szCs w:val="18"/>
            <w:u w:val="single" w:color="auto"/>
            <w:color w:val="0000EE"/>
          </w:rPr>
          <w:t>May 6,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6">
        <w:r>
          <w:rPr>
            <w:rFonts w:ascii="Arial" w:cs="Arial" w:eastAsia="Arial" w:hAnsi="Arial"/>
            <w:sz w:val="18"/>
            <w:szCs w:val="18"/>
            <w:u w:val="single" w:color="auto"/>
            <w:color w:val="0000EE"/>
          </w:rPr>
          <w:t>June 22,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7">
        <w:r>
          <w:rPr>
            <w:rFonts w:ascii="Arial" w:cs="Arial" w:eastAsia="Arial" w:hAnsi="Arial"/>
            <w:sz w:val="18"/>
            <w:szCs w:val="18"/>
            <w:u w:val="single" w:color="auto"/>
            <w:color w:val="0000EE"/>
          </w:rPr>
          <w:t>July 22,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8">
        <w:r>
          <w:rPr>
            <w:rFonts w:ascii="Arial" w:cs="Arial" w:eastAsia="Arial" w:hAnsi="Arial"/>
            <w:sz w:val="18"/>
            <w:szCs w:val="18"/>
            <w:u w:val="single" w:color="auto"/>
            <w:color w:val="0000EE"/>
          </w:rPr>
          <w:t>August 31,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29">
        <w:r>
          <w:rPr>
            <w:rFonts w:ascii="Arial" w:cs="Arial" w:eastAsia="Arial" w:hAnsi="Arial"/>
            <w:sz w:val="18"/>
            <w:szCs w:val="18"/>
            <w:u w:val="single" w:color="auto"/>
            <w:color w:val="0000EE"/>
          </w:rPr>
          <w:t>September 7,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0">
        <w:r>
          <w:rPr>
            <w:rFonts w:ascii="Arial" w:cs="Arial" w:eastAsia="Arial" w:hAnsi="Arial"/>
            <w:sz w:val="18"/>
            <w:szCs w:val="18"/>
            <w:u w:val="single" w:color="auto"/>
            <w:color w:val="0000EE"/>
          </w:rPr>
          <w:t>September 8,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with respect to Item 8.01);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1">
        <w:r>
          <w:rPr>
            <w:rFonts w:ascii="Arial" w:cs="Arial" w:eastAsia="Arial" w:hAnsi="Arial"/>
            <w:sz w:val="18"/>
            <w:szCs w:val="18"/>
            <w:u w:val="single" w:color="auto"/>
            <w:color w:val="0000EE"/>
          </w:rPr>
          <w:t>October 6,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2">
        <w:r>
          <w:rPr>
            <w:rFonts w:ascii="Arial" w:cs="Arial" w:eastAsia="Arial" w:hAnsi="Arial"/>
            <w:sz w:val="18"/>
            <w:szCs w:val="18"/>
            <w:u w:val="single" w:color="auto"/>
            <w:color w:val="0000EE"/>
          </w:rPr>
          <w:t>October 19,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with respect to Item 5.07);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2">
        <w:r>
          <w:rPr>
            <w:rFonts w:ascii="Arial" w:cs="Arial" w:eastAsia="Arial" w:hAnsi="Arial"/>
            <w:sz w:val="18"/>
            <w:szCs w:val="18"/>
            <w:u w:val="single" w:color="auto"/>
            <w:color w:val="0000EE"/>
          </w:rPr>
          <w:t>October 28,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3">
        <w:r>
          <w:rPr>
            <w:rFonts w:ascii="Arial" w:cs="Arial" w:eastAsia="Arial" w:hAnsi="Arial"/>
            <w:sz w:val="18"/>
            <w:szCs w:val="18"/>
            <w:u w:val="single" w:color="auto"/>
            <w:color w:val="0000EE"/>
          </w:rPr>
          <w:t>November 22,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4">
        <w:r>
          <w:rPr>
            <w:rFonts w:ascii="Arial" w:cs="Arial" w:eastAsia="Arial" w:hAnsi="Arial"/>
            <w:sz w:val="18"/>
            <w:szCs w:val="18"/>
            <w:u w:val="single" w:color="auto"/>
            <w:color w:val="0000EE"/>
          </w:rPr>
          <w:t>December 1,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5">
        <w:r>
          <w:rPr>
            <w:rFonts w:ascii="Arial" w:cs="Arial" w:eastAsia="Arial" w:hAnsi="Arial"/>
            <w:sz w:val="18"/>
            <w:szCs w:val="18"/>
            <w:u w:val="single" w:color="auto"/>
            <w:color w:val="0000EE"/>
          </w:rPr>
          <w:t>December 6,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6">
        <w:r>
          <w:rPr>
            <w:rFonts w:ascii="Arial" w:cs="Arial" w:eastAsia="Arial" w:hAnsi="Arial"/>
            <w:sz w:val="18"/>
            <w:szCs w:val="18"/>
            <w:u w:val="single" w:color="auto"/>
            <w:color w:val="0000EE"/>
          </w:rPr>
          <w:t>December 21,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(solely with respect to Item 1.01);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7">
        <w:r>
          <w:rPr>
            <w:rFonts w:ascii="Arial" w:cs="Arial" w:eastAsia="Arial" w:hAnsi="Arial"/>
            <w:sz w:val="18"/>
            <w:szCs w:val="18"/>
            <w:u w:val="single" w:color="auto"/>
            <w:color w:val="0000EE"/>
          </w:rPr>
          <w:t>January 12, 2023</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8">
        <w:r>
          <w:rPr>
            <w:rFonts w:ascii="Arial" w:cs="Arial" w:eastAsia="Arial" w:hAnsi="Arial"/>
            <w:sz w:val="18"/>
            <w:szCs w:val="18"/>
            <w:u w:val="single" w:color="auto"/>
            <w:color w:val="0000EE"/>
          </w:rPr>
          <w:t>January 25, 2023</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on </w:t>
      </w:r>
      <w:hyperlink r:id="rId39">
        <w:r>
          <w:rPr>
            <w:rFonts w:ascii="Arial" w:cs="Arial" w:eastAsia="Arial" w:hAnsi="Arial"/>
            <w:sz w:val="18"/>
            <w:szCs w:val="18"/>
            <w:u w:val="single" w:color="auto"/>
            <w:color w:val="0000EE"/>
          </w:rPr>
          <w:t>February 2, 2023</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w:t>
      </w:r>
      <w:hyperlink r:id="rId40">
        <w:r>
          <w:rPr>
            <w:rFonts w:ascii="Arial" w:cs="Arial" w:eastAsia="Arial" w:hAnsi="Arial"/>
            <w:sz w:val="18"/>
            <w:szCs w:val="18"/>
            <w:u w:val="single" w:color="auto"/>
            <w:color w:val="0000EE"/>
          </w:rPr>
          <w:t>March 2, 2023</w:t>
        </w:r>
      </w:hyperlink>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the Registration Statement on Form 8-A filed pursuant to Section 12(b) of the Securities Exchange Act of 1934,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on May 3, 2016, including any amendment or report filed with the Commission for the purpose of updating this description.</w:t>
      </w:r>
    </w:p>
    <w:p>
      <w:pPr>
        <w:spacing w:after="0" w:line="18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any prospectus supplement and the documents incorporated by reference 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8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to develop and commercialize our product candidates, including, among other things, PH94B as a potential as-needed treatment of anxiety in adults with social anxiety disorder (</w:t>
      </w:r>
      <w:r>
        <w:rPr>
          <w:rFonts w:ascii="Arial" w:cs="Arial" w:eastAsia="Arial" w:hAnsi="Arial"/>
          <w:sz w:val="18"/>
          <w:szCs w:val="18"/>
          <w:i w:val="1"/>
          <w:iCs w:val="1"/>
          <w:color w:val="auto"/>
        </w:rPr>
        <w:t>SAD</w:t>
      </w:r>
      <w:r>
        <w:rPr>
          <w:rFonts w:ascii="Arial" w:cs="Arial" w:eastAsia="Arial" w:hAnsi="Arial"/>
          <w:sz w:val="18"/>
          <w:szCs w:val="18"/>
          <w:color w:val="auto"/>
        </w:rPr>
        <w:t>), PH10 as a potential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other depression-related disorders, AV-101 in combination with probenecid as a potential treatment of MDD and depression-related disorders or neurological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and three early clinical-stage pherine product candidates acquired in connection with the Pherin Acquisition (defined below): PH15 for cognition improvement, PH80 for migraine and hot flashes, and PH284 for appetite-related disorders;</w:t>
      </w:r>
    </w:p>
    <w:p>
      <w:pPr>
        <w:spacing w:after="0" w:line="19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70" w:lineRule="exact"/>
        <w:rPr>
          <w:rFonts w:ascii="Arial" w:cs="Arial" w:eastAsia="Arial" w:hAnsi="Arial"/>
          <w:sz w:val="18"/>
          <w:szCs w:val="18"/>
          <w:color w:val="auto"/>
        </w:rPr>
      </w:pPr>
    </w:p>
    <w:p>
      <w:pPr>
        <w:ind w:left="660" w:right="8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key scientific, clinical and nonclinical development, and/or management personnel, internally or from one of our third-party collaborators;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comply with Nasdaq continued listing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other risks and uncertainties, including those described under Item 1A,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fiscal year ended March 31, 2022, and those described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our Quarterly Reports on Form 10-Q for the quarters ended June 30, 2022, September 30, 2022 and December 31, 2022, which risk factors are incorporated herein by reference.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sections in this prospectus, any accompanying prospectus supplement and the documents incorporated by reference herein, that we believe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should read this prospectus, any prospectus supplement and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advancing the development of therapeutics for CNS certain disorders with the potential to be faster-acting, and with fewer side effects and safety concerns than treatments currently available for those conditions. Our most advanced clinical-stage candidates, PH94B and PH10, may provide relief from multiple forms of anxiety and depression. They belong to a new class of drugs known as pherines. These investigational neuroactive steroids are formulated as nasal sprays at very low concentrations and are designed to achieve rapid-onset anti-anxiety (PH94B) or antidepressant (PH10) effects. We believe these drug candidates directly activate chemosensory neurons located in the nasal passages, which neurons then impact olfactory amygdala “fear off” (anti-anxiety) and “fear on” (antidepressant) neural circuits in the brain, without requiring systemic uptake or direct activity on CNS neurons in the brain. Our goal is to become a biopharmaceutical company that develops and commercializes innovative therapies for anxiety, depression, and other CNS indications where current treatment options are inadequate to meet the needs of millions of patients in the United States (</w:t>
      </w:r>
      <w:r>
        <w:rPr>
          <w:rFonts w:ascii="Arial" w:cs="Arial" w:eastAsia="Arial" w:hAnsi="Arial"/>
          <w:sz w:val="16"/>
          <w:szCs w:val="16"/>
          <w:i w:val="1"/>
          <w:iCs w:val="1"/>
          <w:color w:val="auto"/>
        </w:rPr>
        <w:t>U.S.</w:t>
      </w:r>
      <w:r>
        <w:rPr>
          <w:rFonts w:ascii="Arial" w:cs="Arial" w:eastAsia="Arial" w:hAnsi="Arial"/>
          <w:sz w:val="16"/>
          <w:szCs w:val="16"/>
          <w:color w:val="auto"/>
        </w:rPr>
        <w:t>) and worldwide.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PH94B Nasal Spray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PH94B is a synthetic investigational neuroactive steroid from the androstane family of pherines. When administered intranasally in microgram doses, PH94B activates receptors in the membrane of peripheral nasal chemosensory neurons connected to subsets of neurons in the olfactory bulbs that in turn connect to neurons in the limbic amygdala involved in the pathophysiology of SAD and potentially other anxiety and mood disorders. PH94B does not exert effects on receptor targets with known abuse potential (e.g., dopamine, nicotinic, and opiate receptors) and has neither agonistic nor antagonistic effects on GABA</w:t>
      </w:r>
      <w:r>
        <w:rPr>
          <w:rFonts w:ascii="Arial" w:cs="Arial" w:eastAsia="Arial" w:hAnsi="Arial"/>
          <w:sz w:val="26"/>
          <w:szCs w:val="26"/>
          <w:color w:val="auto"/>
          <w:vertAlign w:val="subscript"/>
        </w:rPr>
        <w:t>A</w:t>
      </w:r>
      <w:r>
        <w:rPr>
          <w:rFonts w:ascii="Arial" w:cs="Arial" w:eastAsia="Arial" w:hAnsi="Arial"/>
          <w:sz w:val="16"/>
          <w:szCs w:val="16"/>
          <w:color w:val="auto"/>
        </w:rPr>
        <w:t xml:space="preserve"> α1/β2/γ2 ion channels. PH94B is pharmacologically active without requiring apparent systemic uptake and distribution to achieve its rapid-onset and short duration of anxiolytic effects. The FDA has designated PH94B as a Fast Track product candidate, and we are currently developing PH94B for the treatment of anxiety symptoms in adult subjects with SAD and for anxiety symptoms in adult subjects with adjustment disorder (</w:t>
      </w:r>
      <w:r>
        <w:rPr>
          <w:rFonts w:ascii="Arial" w:cs="Arial" w:eastAsia="Arial" w:hAnsi="Arial"/>
          <w:sz w:val="16"/>
          <w:szCs w:val="16"/>
          <w:i w:val="1"/>
          <w:iCs w:val="1"/>
          <w:color w:val="auto"/>
        </w:rPr>
        <w:t>AjDA</w:t>
      </w:r>
      <w:r>
        <w:rPr>
          <w:rFonts w:ascii="Arial" w:cs="Arial" w:eastAsia="Arial" w:hAnsi="Arial"/>
          <w:sz w:val="16"/>
          <w:szCs w:val="16"/>
          <w:color w:val="auto"/>
        </w:rPr>
        <w: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proposed MOA of PH94B is fundamentally differentiated from all currently approved anti-anxiety medications, including the three antidepressants approved by the FDA for the treatment of SAD, as well as all benzodiazepines and beta blockers, which, although not FDA-approved for treatment of SAD, are prescribed for treatment of SAD on an off-label basis. Pre-clinical and Phase 2 clinical data to date suggest that PH94B has the potential to achieve rapid-onset anti-anxiety effects without systemic uptake or transport into the brain, significantly reducing the risk of side effects and other safety concerns such as potential abuse, misuse and addiction associated with certain other pharmaceuticals that act directly on the CNS and are sometimes prescribed for anxiety disorders.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PH10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PH10 is an investigational pherine nasal spray for the treatment of MDD with a potential rapid-onset MOA that is fundamentally differentiated from the MOA of all currently approved treatments for MDD and other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and rapid-onset ketamine-based therapy (</w:t>
      </w:r>
      <w:r>
        <w:rPr>
          <w:rFonts w:ascii="Arial" w:cs="Arial" w:eastAsia="Arial" w:hAnsi="Arial"/>
          <w:sz w:val="17"/>
          <w:szCs w:val="17"/>
          <w:i w:val="1"/>
          <w:iCs w:val="1"/>
          <w:color w:val="auto"/>
        </w:rPr>
        <w:t>KBT</w:t>
      </w:r>
      <w:r>
        <w:rPr>
          <w:rFonts w:ascii="Arial" w:cs="Arial" w:eastAsia="Arial" w:hAnsi="Arial"/>
          <w:sz w:val="17"/>
          <w:szCs w:val="17"/>
          <w:color w:val="auto"/>
        </w:rPr>
        <w:t>), including both intravenous ketamine and intranasal ketamine (esketamine), we believe PH10 does not require systemic uptake to produce rapid-onset of antidepressant effects and does not cause the side effects and safety concerns potentially associated with KBT.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2022, we announced that the FDA granted Fast Track designation for PH10 as a potential treatment for MDD.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AV-101</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AV-101 (4-chlorokynurenine) is an oral prodrug of 7-chloro-kynurenic acid (7-Cl-KYNA), which is a potent and selective antagonist of the glycine co-agonist site of the NMDA receptor (NMDAR) that inhibits the function of the NMDAR. Unlike ketamine and other NMDAR antagonists, 7-Cl-KYNA is not an ion channel blocker. At doses administered in the Company’s studies completed to date, AV-101 has been observed to be well tolerated and has not exhibited dissociative or hallucinogenic psychological side effects or safety concerns, unlike several other modulators of the NMDAR. Based on observations and findings from preclinical studies, we believe that AV-101, in combination with FDA-approved oral probenecid, has the potential to become a new oral treatment alternative for certain CNS indications involving the NMDAR. We are presently conducting an exploratory Phase 1B drug-drug interaction clinical study of AV-101 in combination with probenecid and expect to complete dosing of the final cohort in the study in the first half of 2023.</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granted Fast Track designation for development of AV-101 as a potential adjunctive treatment for MDD and as a non-opioid treatment for neuropathic pain.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Acquired Pherines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Following the completion of the Pherin Acquisition (defined below), we now have full ownership of intellectual property rights to PH94B and PH10. In addition, we also have three new early clinical-stage pherine product candidates: PH15, a potential treatment for cognition improvement; PH80, a potential treatment for migraine and hot flashes; and PH284, a potential treatment for appetite-related disorders, each of which is further summarized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PH15</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PH15 is an early-stage investigational neuroactive steroid pherine with potential for the acute treatment of cognitive impairment. Early functional MRI studies in human volunteers at Stanford University revealed that intranasal administration of PH15 induced rapid activation of brain areas related to cognition (Sobel et al, Brain, 1999). In a double blind, placebo-controlled study in human subjects, intranasal PH15 showed rapid and significant improvement in cognitive and psychomotor performance and improvement of reaction time that was better than the effect of a placebo and 2 mg of oral caffeine.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PH80</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PH80 is an early-stage investigational synthetic neuroactive steroid with potential to engage nasal chemosensory receptor cells which in turn modulate neural circuits in the basal forebrain associated with the control of body temperature, as well as premonitory and aura symptoms of migraines.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small exploratory double blind, placebo-controlled exploratory Phase 2A study in women diagnosed with menopausal hot flashes, PH80 showed clinically significant improvement in the number and severity of hot flashes and other symptoms of menopause in the subjects treated with PH80. With respect to migraine headaches, in a small exploratory Phase 2A clinical study, PH80 showed a profile compatible with the relief of the premonitory and aura symptoms of migraines.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PH284</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PH284 is an early-stage investigational neuroactive steroid pherine with potential for the acute treatment of appetite-related disorders. Synthetic pherine PH284 was tested in a small exploratory Phase 2A double blind, placebo controlled clinical study lasting 12 days, in patients diagnosed with cachexia due to terminal cancer lasted 12 days. Upon completion of a 7-day treatment period with intranasal PH284 or placebo, all patients started treatment for their underlying condition. At the end of the 7-day treatment period, PH284-treated patients showed a significant increase in the subjective feeling of hunger (appetite), increased body weight and an improved quality of life, as compared with the placebo-treated group.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7"/>
          <w:szCs w:val="17"/>
          <w:i w:val="1"/>
          <w:iCs w:val="1"/>
          <w:color w:val="auto"/>
        </w:rPr>
        <w:t>Risk Factors</w:t>
      </w:r>
      <w:r>
        <w:rPr>
          <w:rFonts w:ascii="Arial" w:cs="Arial" w:eastAsia="Arial" w:hAnsi="Arial"/>
          <w:sz w:val="17"/>
          <w:szCs w:val="17"/>
          <w:color w:val="auto"/>
        </w:rPr>
        <w:t>” in our Annual Report on Form 10-K for the fiscal year ended March 31, 2022, our Quarterly Reports on Form 10-Q for the periods ended June 30, 2022, September 30, 2022 and December 31, 2022,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7"/>
          <w:szCs w:val="17"/>
          <w:i w:val="1"/>
          <w:iCs w:val="1"/>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to be offered and sold using this prospectus will be offered and sold by the Selling Stockholders named in this prospectus. Accordingly, we will not receive any proceeds from any sale of shares of our common stock in this offering. We will pay all of the fees and expenses incurred by us in connection with this registration. We will not be responsible for fees and expenses incurred by the Selling Stockholders or any underwriting discounts or agent’s commissions.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2022, filed with the SEC on June 23, 2022, which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325.0 million shares of common stock, $0.001 par value per share, and 10.0 million shares of preferred stock, $0.001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March 2, 2023,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219,326,526 shares of common stock held by approximately 267 stockholders of record;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2,397,594 shares of common stock that have been reserved for issuance upon exercise of outstanding warrants, with a weighted average exercise price of $1.42 per share;</w:t>
      </w:r>
    </w:p>
    <w:p>
      <w:pPr>
        <w:spacing w:after="0" w:line="170"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22,398,539 registered shares of common stock reserved for issuance upon exercise of outstanding stock options under our Amended and Restated 2016 Stock Incentive Plan our 2019 Omnibus Equity Incentive Plan, with a weighted average exercise price of $1.26 per share;</w:t>
      </w:r>
    </w:p>
    <w:p>
      <w:pPr>
        <w:spacing w:after="0" w:line="146" w:lineRule="exact"/>
        <w:rPr>
          <w:rFonts w:ascii="Arial" w:cs="Arial" w:eastAsia="Arial" w:hAnsi="Arial"/>
          <w:sz w:val="17"/>
          <w:szCs w:val="17"/>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4,055,617 registered shares of common stock reserved for future issuance in connection with future grants under our 2019 Omnibus Equity Incentive Plan;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729,664 shares of common stock reserved for future issuance in connection with future sales under our 2019 Employee Stock Purchase Plan.</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outstanding shares of our common stock are entitled to receive dividends out of funds legally available, if our Board, in its discretion, determines to issue a dividend, and only at the times and in the amounts that our Board may determine. Our Board is not obligated to declare a dividend. We have not paid any dividends in the past and we do not intend to pay dividends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“VTGN”.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currently have any shares of preferred stock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PHERIN ACQUISITION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December 20, 2022, we entered into an Agreement and Plan of Merger (the </w:t>
      </w:r>
      <w:r>
        <w:rPr>
          <w:rFonts w:ascii="Arial" w:cs="Arial" w:eastAsia="Arial" w:hAnsi="Arial"/>
          <w:sz w:val="17"/>
          <w:szCs w:val="17"/>
          <w:i w:val="1"/>
          <w:iCs w:val="1"/>
          <w:color w:val="auto"/>
        </w:rPr>
        <w:t>Merger Agreement</w:t>
      </w:r>
      <w:r>
        <w:rPr>
          <w:rFonts w:ascii="Arial" w:cs="Arial" w:eastAsia="Arial" w:hAnsi="Arial"/>
          <w:sz w:val="17"/>
          <w:szCs w:val="17"/>
          <w:color w:val="auto"/>
        </w:rPr>
        <w:t>) along with VTGN Merger Sub, Inc., our wholly-owned subsidiary (</w:t>
      </w:r>
      <w:r>
        <w:rPr>
          <w:rFonts w:ascii="Arial" w:cs="Arial" w:eastAsia="Arial" w:hAnsi="Arial"/>
          <w:sz w:val="17"/>
          <w:szCs w:val="17"/>
          <w:i w:val="1"/>
          <w:iCs w:val="1"/>
          <w:color w:val="auto"/>
        </w:rPr>
        <w:t>Merger Sub</w:t>
      </w:r>
      <w:r>
        <w:rPr>
          <w:rFonts w:ascii="Arial" w:cs="Arial" w:eastAsia="Arial" w:hAnsi="Arial"/>
          <w:sz w:val="17"/>
          <w:szCs w:val="17"/>
          <w:color w:val="auto"/>
        </w:rPr>
        <w:t>), Pherin Pharmaceuticals, Inc. (</w:t>
      </w:r>
      <w:r>
        <w:rPr>
          <w:rFonts w:ascii="Arial" w:cs="Arial" w:eastAsia="Arial" w:hAnsi="Arial"/>
          <w:sz w:val="17"/>
          <w:szCs w:val="17"/>
          <w:i w:val="1"/>
          <w:iCs w:val="1"/>
          <w:color w:val="auto"/>
        </w:rPr>
        <w:t>Pherin</w:t>
      </w:r>
      <w:r>
        <w:rPr>
          <w:rFonts w:ascii="Arial" w:cs="Arial" w:eastAsia="Arial" w:hAnsi="Arial"/>
          <w:sz w:val="17"/>
          <w:szCs w:val="17"/>
          <w:color w:val="auto"/>
        </w:rPr>
        <w:t xml:space="preserve">), and Kevin McCarthy in his capacity of Stockholder Representative (the </w:t>
      </w:r>
      <w:r>
        <w:rPr>
          <w:rFonts w:ascii="Arial" w:cs="Arial" w:eastAsia="Arial" w:hAnsi="Arial"/>
          <w:sz w:val="17"/>
          <w:szCs w:val="17"/>
          <w:i w:val="1"/>
          <w:iCs w:val="1"/>
          <w:color w:val="auto"/>
        </w:rPr>
        <w:t>Stockholder</w:t>
      </w:r>
      <w:r>
        <w:rPr>
          <w:rFonts w:ascii="Arial" w:cs="Arial" w:eastAsia="Arial" w:hAnsi="Arial"/>
          <w:sz w:val="17"/>
          <w:szCs w:val="17"/>
          <w:color w:val="auto"/>
        </w:rPr>
        <w:t xml:space="preserve"> </w:t>
      </w:r>
      <w:r>
        <w:rPr>
          <w:rFonts w:ascii="Arial" w:cs="Arial" w:eastAsia="Arial" w:hAnsi="Arial"/>
          <w:sz w:val="17"/>
          <w:szCs w:val="17"/>
          <w:i w:val="1"/>
          <w:iCs w:val="1"/>
          <w:color w:val="auto"/>
        </w:rPr>
        <w:t>Representative</w:t>
      </w:r>
      <w:r>
        <w:rPr>
          <w:rFonts w:ascii="Arial" w:cs="Arial" w:eastAsia="Arial" w:hAnsi="Arial"/>
          <w:sz w:val="17"/>
          <w:szCs w:val="17"/>
          <w:color w:val="auto"/>
        </w:rPr>
        <w:t>), in order to acquire Pherin (the</w:t>
      </w:r>
      <w:r>
        <w:rPr>
          <w:rFonts w:ascii="Arial" w:cs="Arial" w:eastAsia="Arial" w:hAnsi="Arial"/>
          <w:sz w:val="17"/>
          <w:szCs w:val="17"/>
          <w:i w:val="1"/>
          <w:iCs w:val="1"/>
          <w:color w:val="auto"/>
        </w:rPr>
        <w:t xml:space="preserve"> Pherin Acquisition</w:t>
      </w:r>
      <w:r>
        <w:rPr>
          <w:rFonts w:ascii="Arial" w:cs="Arial" w:eastAsia="Arial" w:hAnsi="Arial"/>
          <w:sz w:val="17"/>
          <w:szCs w:val="17"/>
          <w:color w:val="auto"/>
        </w:rPr>
        <w:t>). The Merger Agreement provided for the Company’s acquisition of Pherin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merger of Merger Sub with and into Pherin, with Pherin as the surviving corporation. On February 2, 2023 (the </w:t>
      </w:r>
      <w:r>
        <w:rPr>
          <w:rFonts w:ascii="Arial" w:cs="Arial" w:eastAsia="Arial" w:hAnsi="Arial"/>
          <w:sz w:val="17"/>
          <w:szCs w:val="17"/>
          <w:i w:val="1"/>
          <w:iCs w:val="1"/>
          <w:color w:val="auto"/>
        </w:rPr>
        <w:t>Closing Date</w:t>
      </w:r>
      <w:r>
        <w:rPr>
          <w:rFonts w:ascii="Arial" w:cs="Arial" w:eastAsia="Arial" w:hAnsi="Arial"/>
          <w:sz w:val="17"/>
          <w:szCs w:val="17"/>
          <w:color w:val="auto"/>
        </w:rPr>
        <w:t>), we completed the Pherin Acquisition and Pherin is now a wholly-owned subsidiary of the Company. Immediately prior to the consummation of the Pherin Acquisition, each of Pherin’s directors and officers resigned, and no employees or other affiliates of Pherin on the Closing Date are serving or will serve in their previous roles or in any other capacity with Pherin or with the Company.</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completion of the Pherin Acquisition, we now have full ownership of intellectual property rights to PH94B and PH10. In addition, we also have three new early clinical-stage pherine product candidates: PH15, a potential treatment for cognition improvement; PH80, a potential treatment for migraine and hot flashes; and PH284, a potential treatment for appetite-related disorders.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consideration for the Pherin Acquisition, we (i) issued the Shares, consisting of an aggregate of 12,410,100 unregistered shares of our common stock, to the exchange agent for the Pherin Acquisition, which shares were issued to the Selling Stockholders, consisting of approximately 96.07% of Pherin stockholders eligible to receive common stock in exchange for their outstanding shares of Pherin common stock (the </w:t>
      </w:r>
      <w:r>
        <w:rPr>
          <w:rFonts w:ascii="Arial" w:cs="Arial" w:eastAsia="Arial" w:hAnsi="Arial"/>
          <w:sz w:val="18"/>
          <w:szCs w:val="18"/>
          <w:i w:val="1"/>
          <w:iCs w:val="1"/>
          <w:color w:val="auto"/>
        </w:rPr>
        <w:t>Stock Consideration</w:t>
      </w:r>
      <w:r>
        <w:rPr>
          <w:rFonts w:ascii="Arial" w:cs="Arial" w:eastAsia="Arial" w:hAnsi="Arial"/>
          <w:sz w:val="18"/>
          <w:szCs w:val="18"/>
          <w:color w:val="auto"/>
        </w:rPr>
        <w:t xml:space="preserve">), and (ii) paid to the exchange agent for the Pherin Acquisition, an aggregate of approximately $126,100 to be paid to the approximately 3.93% remaining Pherin stockholders who were not eligible to receive Stock Consideration in exchange for their outstanding shares of Pherin common stock (the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w:t>
      </w:r>
      <w:r>
        <w:rPr>
          <w:rFonts w:ascii="Arial" w:cs="Arial" w:eastAsia="Arial" w:hAnsi="Arial"/>
          <w:sz w:val="18"/>
          <w:szCs w:val="18"/>
          <w:color w:val="auto"/>
        </w:rPr>
        <w: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the Closing Date, we entered into a registration rights agreement (the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with the Stockholder Representative pursuant to which, among other matters, the Selling Stockholders were granted certain mandatory, demand and “piggy-back” registration rights with respect to the Shares received as consideration for the Pherin Acquisition. In addition, non-independent directors of Pherin and holders of 10% or more of the issued and outstanding shares of Pherin common stock prior to the Effective Time delivered to the Company executed lock-up agreements which prohibit the sale or other disposition of their respective Shares for a period of 180 days.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Pursuant to this prospectus, we are registering, on behalf of the Selling Stockholders, the shares of common stock issued as Stock Consideration.</w:t>
      </w:r>
    </w:p>
    <w:p>
      <w:pPr>
        <w:spacing w:after="0" w:line="237" w:lineRule="exact"/>
        <w:rPr>
          <w:sz w:val="20"/>
          <w:szCs w:val="20"/>
          <w:color w:val="auto"/>
        </w:rPr>
      </w:pPr>
    </w:p>
    <w:p>
      <w:pPr>
        <w:ind w:right="2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Additional information about the Pherin Acquisition and the Merger Agreement are contained in the Company’s Current Reports on Form 8-K filed with the SEC on </w:t>
      </w:r>
      <w:hyperlink r:id="rId36">
        <w:r>
          <w:rPr>
            <w:rFonts w:ascii="Arial" w:cs="Arial" w:eastAsia="Arial" w:hAnsi="Arial"/>
            <w:sz w:val="18"/>
            <w:szCs w:val="18"/>
            <w:u w:val="single" w:color="auto"/>
            <w:color w:val="0000EE"/>
          </w:rPr>
          <w:t>December 21,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on </w:t>
      </w:r>
      <w:hyperlink r:id="rId39">
        <w:r>
          <w:rPr>
            <w:rFonts w:ascii="Arial" w:cs="Arial" w:eastAsia="Arial" w:hAnsi="Arial"/>
            <w:sz w:val="18"/>
            <w:szCs w:val="18"/>
            <w:u w:val="single" w:color="auto"/>
            <w:color w:val="0000EE"/>
          </w:rPr>
          <w:t>February 2, 2023</w:t>
        </w:r>
      </w:hyperlink>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This prospectus relates to the resale of the Shares by the Selling Stockholders identified in the table below. We are registering the Shares in order to permit the Selling Stockholders to offer the shares for resale from time to time. The Selling Stockholders may sell some, all or none of the shares registered by the registration statement of which this prospectus forms a part. We do not know how long the Selling Stockholders will hold the Shares before selling them, and we currently have no agreements, arrangements or understandings with the Selling Stockholders regarding the sale of any of the Shares. For more information about the transactions pursuant to which the selling stockholders acquired the Shares, please see the section titled </w:t>
      </w:r>
      <w:r>
        <w:rPr>
          <w:rFonts w:ascii="Arial" w:cs="Arial" w:eastAsia="Arial" w:hAnsi="Arial"/>
          <w:sz w:val="16"/>
          <w:szCs w:val="16"/>
          <w:i w:val="1"/>
          <w:iCs w:val="1"/>
          <w:color w:val="auto"/>
        </w:rPr>
        <w:t>The Pherin Acquisition</w:t>
      </w:r>
      <w:r>
        <w:rPr>
          <w:rFonts w:ascii="Arial" w:cs="Arial" w:eastAsia="Arial" w:hAnsi="Arial"/>
          <w:sz w:val="16"/>
          <w:szCs w:val="16"/>
          <w:color w:val="auto"/>
        </w:rPr>
        <w:t>.</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information regarding the Selling Stockholders and the Shares that they may offer and sell from time to time under this prospectus. The table is prepared based on information supplied to us by the Selling Stockholders, and reflects their holdings as of March 2, 2023. Unless otherwise indicated below, none of the Selling Stockholders nor any of their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2760" w:type="dxa"/>
            <w:vAlign w:val="bottom"/>
            <w:gridSpan w:val="4"/>
            <w:vMerge w:val="restart"/>
          </w:tcPr>
          <w:p>
            <w:pPr>
              <w:ind w:left="320"/>
              <w:spacing w:after="0"/>
              <w:rPr>
                <w:sz w:val="20"/>
                <w:szCs w:val="20"/>
                <w:color w:val="auto"/>
              </w:rPr>
            </w:pPr>
            <w:r>
              <w:rPr>
                <w:rFonts w:ascii="Arial" w:cs="Arial" w:eastAsia="Arial" w:hAnsi="Arial"/>
                <w:sz w:val="18"/>
                <w:szCs w:val="18"/>
                <w:b w:val="1"/>
                <w:bCs w:val="1"/>
                <w:color w:val="auto"/>
              </w:rPr>
              <w:t>Shares Beneficially Owned</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1"/>
              </w:rPr>
              <w:t>Number of</w:t>
            </w:r>
          </w:p>
        </w:tc>
        <w:tc>
          <w:tcPr>
            <w:tcW w:w="27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Owned Prior to</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2760" w:type="dxa"/>
            <w:vAlign w:val="bottom"/>
            <w:gridSpan w:val="4"/>
          </w:tcPr>
          <w:p>
            <w:pPr>
              <w:ind w:left="680"/>
              <w:spacing w:after="0" w:line="234" w:lineRule="exact"/>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3"/>
                <w:szCs w:val="23"/>
                <w:b w:val="1"/>
                <w:bCs w:val="1"/>
                <w:color w:val="auto"/>
                <w:vertAlign w:val="superscript"/>
              </w:rPr>
              <w:t>(3)(4)</w:t>
            </w:r>
          </w:p>
        </w:tc>
        <w:tc>
          <w:tcPr>
            <w:tcW w:w="0" w:type="dxa"/>
            <w:vAlign w:val="bottom"/>
          </w:tcPr>
          <w:p>
            <w:pPr>
              <w:spacing w:after="0"/>
              <w:rPr>
                <w:sz w:val="1"/>
                <w:szCs w:val="1"/>
                <w:color w:val="auto"/>
              </w:rPr>
            </w:pPr>
          </w:p>
        </w:tc>
      </w:tr>
      <w:tr>
        <w:trPr>
          <w:trHeight w:val="209"/>
        </w:trPr>
        <w:tc>
          <w:tcPr>
            <w:tcW w:w="5700" w:type="dxa"/>
            <w:vAlign w:val="bottom"/>
          </w:tcPr>
          <w:p>
            <w:pPr>
              <w:spacing w:after="0" w:line="210" w:lineRule="exact"/>
              <w:rPr>
                <w:sz w:val="20"/>
                <w:szCs w:val="20"/>
                <w:color w:val="auto"/>
              </w:rPr>
            </w:pPr>
            <w:r>
              <w:rPr>
                <w:rFonts w:ascii="Arial" w:cs="Arial" w:eastAsia="Arial" w:hAnsi="Arial"/>
                <w:sz w:val="18"/>
                <w:szCs w:val="18"/>
                <w:b w:val="1"/>
                <w:bCs w:val="1"/>
                <w:color w:val="auto"/>
              </w:rPr>
              <w:t xml:space="preserve">Name of Selling Stockholder </w:t>
            </w:r>
            <w:r>
              <w:rPr>
                <w:rFonts w:ascii="Arial" w:cs="Arial" w:eastAsia="Arial" w:hAnsi="Arial"/>
                <w:sz w:val="23"/>
                <w:szCs w:val="23"/>
                <w:b w:val="1"/>
                <w:bCs w:val="1"/>
                <w:color w:val="auto"/>
                <w:vertAlign w:val="superscript"/>
              </w:rPr>
              <w:t>(1)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line="210" w:lineRule="exact"/>
              <w:rPr>
                <w:sz w:val="20"/>
                <w:szCs w:val="20"/>
                <w:color w:val="auto"/>
              </w:rPr>
            </w:pPr>
            <w:r>
              <w:rPr>
                <w:rFonts w:ascii="Arial" w:cs="Arial" w:eastAsia="Arial" w:hAnsi="Arial"/>
                <w:sz w:val="18"/>
                <w:szCs w:val="18"/>
                <w:b w:val="1"/>
                <w:bCs w:val="1"/>
                <w:color w:val="auto"/>
                <w:w w:val="89"/>
              </w:rPr>
              <w:t xml:space="preserve">Offering </w:t>
            </w:r>
            <w:r>
              <w:rPr>
                <w:rFonts w:ascii="Arial" w:cs="Arial" w:eastAsia="Arial" w:hAnsi="Arial"/>
                <w:sz w:val="23"/>
                <w:szCs w:val="23"/>
                <w:b w:val="1"/>
                <w:bCs w:val="1"/>
                <w:color w:val="auto"/>
                <w:w w:val="89"/>
                <w:vertAlign w:val="superscript"/>
              </w:rPr>
              <w:t>(2)</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Hereby</w:t>
            </w:r>
          </w:p>
        </w:tc>
        <w:tc>
          <w:tcPr>
            <w:tcW w:w="14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Number</w:t>
            </w: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Percent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Alan A. Abrams</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Alex Dorfsman Acosta</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5,649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5,649</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Jacqueline Dorfsman Acosta</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Ruth Altman</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846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Frank C. Amato</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Anne Miller</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138,208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138,208</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Sergio Becker</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4,305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Richard Berliner</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157,287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157,287</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Richard L. Bluford</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Jon E. Blum</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3,365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3,365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Augusto Bondani</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25,381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George A. Bonomo</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Michael A. Boschetto</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28,655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28,655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Paul Boschetto</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14,327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14,327</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Bradley Katz</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16,921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Gabriel Brener</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16,201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16,201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Ken Brewer</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3,135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rPr>
              <w:t>Caramia LLC</w:t>
            </w:r>
            <w:r>
              <w:rPr>
                <w:rFonts w:ascii="Arial" w:cs="Arial" w:eastAsia="Arial" w:hAnsi="Arial"/>
                <w:sz w:val="23"/>
                <w:szCs w:val="23"/>
                <w:color w:val="auto"/>
                <w:vertAlign w:val="superscript"/>
              </w:rPr>
              <w:t>(5)</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75,952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75,952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Carla Washington</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33,842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Honora Carson</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15,679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15,679</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Stanley N. Cohen</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57,982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57,982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Constance C. Cox Price</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21,210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21,210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Debra Cox</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7,065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Stonington Cox</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3,535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3,535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Herbert L. Damner</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Jeanne Davis</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338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Fiona de Kerchove</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Alex Delly</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15,364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15,364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Vicente Diaz-Sanchez</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David Dolberg</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6,126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6,126</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Ari Dorfsman</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6,197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6,197</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Marco Luis Dorfsman</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5,649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5,649</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Tanya Esperanza Dorfsman</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Steven A. Dressner</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1,353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Karl Egge</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Julie Elion</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EOP Partners</w:t>
            </w:r>
            <w:r>
              <w:rPr>
                <w:rFonts w:ascii="Arial" w:cs="Arial" w:eastAsia="Arial" w:hAnsi="Arial"/>
                <w:sz w:val="23"/>
                <w:szCs w:val="23"/>
                <w:color w:val="auto"/>
                <w:vertAlign w:val="superscript"/>
              </w:rPr>
              <w:t>(6)</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101,527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101,527</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Arial" w:cs="Arial" w:eastAsia="Arial" w:hAnsi="Arial"/>
                <w:sz w:val="18"/>
                <w:szCs w:val="18"/>
                <w:color w:val="auto"/>
              </w:rPr>
              <w:t>ET Brutus LLC</w:t>
            </w:r>
            <w:r>
              <w:rPr>
                <w:rFonts w:ascii="Arial" w:cs="Arial" w:eastAsia="Arial" w:hAnsi="Arial"/>
                <w:sz w:val="23"/>
                <w:szCs w:val="23"/>
                <w:color w:val="auto"/>
                <w:vertAlign w:val="superscript"/>
              </w:rPr>
              <w:t>(7)</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3,384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3,384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 Harvey and Amalia M. Popell</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10,452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10,452</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Alessandro Falzoni</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13,461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13,461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Founders Investments Ltd.</w:t>
            </w:r>
            <w:r>
              <w:rPr>
                <w:rFonts w:ascii="Arial" w:cs="Arial" w:eastAsia="Arial" w:hAnsi="Arial"/>
                <w:sz w:val="23"/>
                <w:szCs w:val="23"/>
                <w:color w:val="auto"/>
                <w:vertAlign w:val="superscript"/>
              </w:rPr>
              <w:t>(8)</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22,410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22,410</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Jacobo Fraind</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4,703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4,703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Pablo Garcia-Velasco</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Bernard I. Grosser</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27,074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27,074</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Richard J. Guggenhime</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12,699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Claude Guilbaud</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70,393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70,393</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Louise Guilbaud</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Martin Guilbaud</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7,839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7,839</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Mathilde Guilbaud</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David S. Hamburger</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1,204,962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1,204,962</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David Hayes</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219,804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219,804</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Robert Hoffman</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7,581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7,581</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Erik J. Horvitz</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Robert Huret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8,225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8,225</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William J. Hurwick</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Clarisa Isaac M.</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18,376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18,376</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Annice Jacoby</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Sonia Jinich</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19,401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19,401</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Johnson &amp; Johnson Development Corp</w:t>
            </w:r>
            <w:r>
              <w:rPr>
                <w:rFonts w:ascii="Arial" w:cs="Arial" w:eastAsia="Arial" w:hAnsi="Arial"/>
                <w:sz w:val="23"/>
                <w:szCs w:val="23"/>
                <w:color w:val="auto"/>
                <w:vertAlign w:val="superscript"/>
              </w:rPr>
              <w:t>(9)</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190,494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190,494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Aaron Jones</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676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676</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Barry Kane</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12,181</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12,181</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Rhoda Kaplan</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15,364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15,364</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Susan Kaufman</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21,789</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21,789</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Arial" w:cs="Arial" w:eastAsia="Arial" w:hAnsi="Arial"/>
                <w:sz w:val="18"/>
                <w:szCs w:val="18"/>
                <w:color w:val="auto"/>
              </w:rPr>
              <w:t>Kibridge Limited co Concorde Bank Ltd.</w:t>
            </w:r>
            <w:r>
              <w:rPr>
                <w:rFonts w:ascii="Arial" w:cs="Arial" w:eastAsia="Arial" w:hAnsi="Arial"/>
                <w:sz w:val="23"/>
                <w:szCs w:val="23"/>
                <w:color w:val="auto"/>
                <w:vertAlign w:val="superscript"/>
              </w:rPr>
              <w:t>(10)</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196,046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196,046</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James Kirk</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12,252</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12,252</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Charles R. + Susan C. Kokesh</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196,046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196,046</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Diana Kuba</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5,649</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5,649</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Manuel Kuba</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4,230</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4,230</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Robert Lavker</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3,384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3,384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Nathalie Lemesle</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3,384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3,384</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Helen C. Leong</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43,995</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43,995</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Michael Liebowitz</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309,675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33,842</w:t>
            </w:r>
          </w:p>
        </w:tc>
        <w:tc>
          <w:tcPr>
            <w:tcW w:w="1760" w:type="dxa"/>
            <w:vAlign w:val="bottom"/>
          </w:tcPr>
          <w:p>
            <w:pPr>
              <w:jc w:val="right"/>
              <w:ind w:right="510"/>
              <w:spacing w:after="0" w:line="216" w:lineRule="exact"/>
              <w:rPr>
                <w:sz w:val="20"/>
                <w:szCs w:val="20"/>
                <w:color w:val="auto"/>
              </w:rPr>
            </w:pPr>
            <w:r>
              <w:rPr>
                <w:rFonts w:ascii="Arial" w:cs="Arial" w:eastAsia="Arial" w:hAnsi="Arial"/>
                <w:sz w:val="18"/>
                <w:szCs w:val="18"/>
                <w:color w:val="auto"/>
              </w:rPr>
              <w:t>275,833</w:t>
            </w:r>
            <w:r>
              <w:rPr>
                <w:rFonts w:ascii="Arial" w:cs="Arial" w:eastAsia="Arial" w:hAnsi="Arial"/>
                <w:sz w:val="23"/>
                <w:szCs w:val="23"/>
                <w:color w:val="auto"/>
                <w:vertAlign w:val="superscript"/>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Carlos Linder</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7,614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7,614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Feige Linder</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6,768</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6,768</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Ruben Linder</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6,768</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6,768</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Gustavo Lonngi</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2,863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2,863</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Juan Lonngi</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4,555</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4,555</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Pablo Lonngi</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2,863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2,863</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Sergio Lonngi</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4,893</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4,893</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Bradley C. Lyman</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849</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849</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Victoria Marina</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Arial" w:cs="Arial" w:eastAsia="Arial" w:hAnsi="Arial"/>
                <w:sz w:val="18"/>
                <w:szCs w:val="18"/>
                <w:color w:val="auto"/>
              </w:rPr>
              <w:t>MARMEN LLC</w:t>
            </w:r>
            <w:r>
              <w:rPr>
                <w:rFonts w:ascii="Arial" w:cs="Arial" w:eastAsia="Arial" w:hAnsi="Arial"/>
                <w:sz w:val="23"/>
                <w:szCs w:val="23"/>
                <w:color w:val="auto"/>
                <w:vertAlign w:val="superscript"/>
              </w:rPr>
              <w:t>(12)</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24,505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24,505</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Robert S. Marx</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116,123</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116,123</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Arial" w:cs="Arial" w:eastAsia="Arial" w:hAnsi="Arial"/>
                <w:sz w:val="18"/>
                <w:szCs w:val="18"/>
                <w:color w:val="auto"/>
              </w:rPr>
              <w:t>MBK Investments</w:t>
            </w:r>
            <w:r>
              <w:rPr>
                <w:rFonts w:ascii="Arial" w:cs="Arial" w:eastAsia="Arial" w:hAnsi="Arial"/>
                <w:sz w:val="23"/>
                <w:szCs w:val="23"/>
                <w:color w:val="auto"/>
                <w:vertAlign w:val="superscript"/>
              </w:rPr>
              <w:t>(13)</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2,548</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2,548</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Charles J. McCarthy Jr.</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2,707</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2,707</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Declan McCarthy</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64,451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64,451</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James McCarthy</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12,194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12,194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Josie McCarthy</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64,451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64,451</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Kevin McCarthy</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799,577</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799,577</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Lida McCarthy</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251,022</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251,022</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Hector Medina</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27,524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27,524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Gregory Menzel</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1,353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1,353</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Jeffrey D. Modell</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810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810</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Stephen Modell</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653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653</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Louis Monti</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323,576</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98,993</w:t>
            </w:r>
          </w:p>
        </w:tc>
        <w:tc>
          <w:tcPr>
            <w:tcW w:w="1760" w:type="dxa"/>
            <w:vAlign w:val="bottom"/>
            <w:shd w:val="clear" w:color="auto" w:fill="CCEEFF"/>
          </w:tcPr>
          <w:p>
            <w:pPr>
              <w:jc w:val="right"/>
              <w:ind w:right="510"/>
              <w:spacing w:after="0" w:line="216" w:lineRule="exact"/>
              <w:rPr>
                <w:sz w:val="20"/>
                <w:szCs w:val="20"/>
                <w:color w:val="auto"/>
              </w:rPr>
            </w:pPr>
            <w:r>
              <w:rPr>
                <w:rFonts w:ascii="Arial" w:cs="Arial" w:eastAsia="Arial" w:hAnsi="Arial"/>
                <w:sz w:val="18"/>
                <w:szCs w:val="18"/>
                <w:color w:val="auto"/>
              </w:rPr>
              <w:t>224,583</w:t>
            </w:r>
            <w:r>
              <w:rPr>
                <w:rFonts w:ascii="Arial" w:cs="Arial" w:eastAsia="Arial" w:hAnsi="Arial"/>
                <w:sz w:val="23"/>
                <w:szCs w:val="23"/>
                <w:color w:val="auto"/>
                <w:vertAlign w:val="superscript"/>
              </w:rPr>
              <w:t>(14)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Francisco Martin Moreno</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55,558</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55,558</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Richard M. Moss</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Sergio Nacht</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1,184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1,184</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Beatriz Rivas Ochoa</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Arial" w:cs="Arial" w:eastAsia="Arial" w:hAnsi="Arial"/>
                <w:sz w:val="18"/>
                <w:szCs w:val="18"/>
                <w:color w:val="auto"/>
              </w:rPr>
              <w:t>Orion Properties Ltd. S.A.</w:t>
            </w:r>
            <w:r>
              <w:rPr>
                <w:rFonts w:ascii="Arial" w:cs="Arial" w:eastAsia="Arial" w:hAnsi="Arial"/>
                <w:sz w:val="23"/>
                <w:szCs w:val="23"/>
                <w:color w:val="auto"/>
                <w:vertAlign w:val="superscript"/>
              </w:rPr>
              <w:t>(15)</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17,404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17,404</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Martin I. Ostrow</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20,445</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20,445</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Arial" w:cs="Arial" w:eastAsia="Arial" w:hAnsi="Arial"/>
                <w:sz w:val="18"/>
                <w:szCs w:val="18"/>
                <w:color w:val="auto"/>
              </w:rPr>
              <w:t>Paul Capital Acquistion Fund L.P.</w:t>
            </w:r>
            <w:r>
              <w:rPr>
                <w:rFonts w:ascii="Arial" w:cs="Arial" w:eastAsia="Arial" w:hAnsi="Arial"/>
                <w:sz w:val="23"/>
                <w:szCs w:val="23"/>
                <w:color w:val="auto"/>
                <w:vertAlign w:val="superscript"/>
              </w:rPr>
              <w:t>(16)</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25,784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25,784</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Dr. Michael Paull</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338</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338</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Joyce R. Pease</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849</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849</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Steven L. Pease</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45,334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45,334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Jane T. Perelman</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676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676</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Michael A. Perelman</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676</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676</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Emmanuelle Perret</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13,537</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13,537</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Thierry Perret</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16,921</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16,921</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Jonathan Pevsner</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2,707</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2,707</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Jeffers W. Pickard</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391</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391</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Daniella Pinto</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8,460</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8,460</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Jorge M. Pinto</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5,047</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5,047</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Andrew F. Popell</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27,374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27,374</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Eliane Popell</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27,374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27,374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Enrique Portilla I.</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88,369</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88,369</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Carlos Quiroga I.</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1,184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1,184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David Quiroga I.</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1,184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1,184</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Beatriz Rabasa Gamboa</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8,460</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Donald S. Robinson</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846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846</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Adam Rosenblatt</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4,752</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4,752</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James N. Rosenblatt</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4,752</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4,752</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Toby Rosenblatt</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694,274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694,274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Lauren Rosenkranz</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8,761</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8,761</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Roberto P. Rosenkranz</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8,460</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8,460</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Alan E. Rothenberg</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8,225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8,225</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Carter J. Rowley</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16,921</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16,921</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Susan Sangiacomo</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3,777</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3,777</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Rocco A. Sapienza</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849</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849</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Anne Savage</w:t>
            </w: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5,076</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5,076</w:t>
            </w:r>
          </w:p>
        </w:tc>
        <w:tc>
          <w:tcPr>
            <w:tcW w:w="17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Brian Savage</w:t>
            </w:r>
          </w:p>
        </w:tc>
        <w:tc>
          <w:tcPr>
            <w:tcW w:w="2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3,384</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3,384</w:t>
            </w:r>
          </w:p>
        </w:tc>
        <w:tc>
          <w:tcPr>
            <w:tcW w:w="17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25" w:right="3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Christy Anne Savage</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1,015</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1,015</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Anne Schneider</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783</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783</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Susan Seely</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507</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507</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Sega Corporation</w:t>
            </w:r>
            <w:r>
              <w:rPr>
                <w:rFonts w:ascii="Arial" w:cs="Arial" w:eastAsia="Arial" w:hAnsi="Arial"/>
                <w:sz w:val="23"/>
                <w:szCs w:val="23"/>
                <w:color w:val="auto"/>
                <w:vertAlign w:val="superscript"/>
              </w:rPr>
              <w:t>(17)</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86,117</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86,117</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Arial" w:cs="Arial" w:eastAsia="Arial" w:hAnsi="Arial"/>
                <w:sz w:val="18"/>
                <w:szCs w:val="18"/>
                <w:color w:val="auto"/>
              </w:rPr>
              <w:t>Selby Sunset York Partners</w:t>
            </w:r>
            <w:r>
              <w:rPr>
                <w:rFonts w:ascii="Arial" w:cs="Arial" w:eastAsia="Arial" w:hAnsi="Arial"/>
                <w:sz w:val="23"/>
                <w:szCs w:val="23"/>
                <w:color w:val="auto"/>
                <w:vertAlign w:val="superscript"/>
              </w:rPr>
              <w:t>(18)</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309,095</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309,095</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J.F. Shea</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280,947</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280,947</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Karen Shepard</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5,279</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5,279</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Board of Trustees of the Leland Stanford Junior University (Daper I)</w:t>
            </w:r>
          </w:p>
        </w:tc>
        <w:tc>
          <w:tcPr>
            <w:tcW w:w="15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16,384</w:t>
            </w:r>
          </w:p>
        </w:tc>
        <w:tc>
          <w:tcPr>
            <w:tcW w:w="1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800" w:type="dxa"/>
            <w:vAlign w:val="bottom"/>
            <w:gridSpan w:val="2"/>
            <w:vMerge w:val="restart"/>
            <w:shd w:val="clear" w:color="auto" w:fill="CCEEFF"/>
          </w:tcPr>
          <w:p>
            <w:pPr>
              <w:spacing w:after="0" w:line="231" w:lineRule="exact"/>
              <w:rPr>
                <w:sz w:val="20"/>
                <w:szCs w:val="20"/>
                <w:color w:val="auto"/>
              </w:rPr>
            </w:pPr>
            <w:r>
              <w:rPr>
                <w:rFonts w:ascii="Arial" w:cs="Arial" w:eastAsia="Arial" w:hAnsi="Arial"/>
                <w:sz w:val="18"/>
                <w:szCs w:val="18"/>
                <w:color w:val="auto"/>
              </w:rPr>
              <w:t>Stanford</w:t>
            </w:r>
            <w:r>
              <w:rPr>
                <w:rFonts w:ascii="Arial" w:cs="Arial" w:eastAsia="Arial" w:hAnsi="Arial"/>
                <w:sz w:val="23"/>
                <w:szCs w:val="23"/>
                <w:color w:val="auto"/>
                <w:vertAlign w:val="superscript"/>
              </w:rPr>
              <w:t>(19)</w:t>
            </w:r>
          </w:p>
        </w:tc>
        <w:tc>
          <w:tcPr>
            <w:tcW w:w="1560" w:type="dxa"/>
            <w:vAlign w:val="bottom"/>
            <w:vMerge w:val="continue"/>
            <w:shd w:val="clear" w:color="auto" w:fill="CCEEFF"/>
          </w:tcPr>
          <w:p>
            <w:pPr>
              <w:spacing w:after="0"/>
              <w:rPr>
                <w:sz w:val="10"/>
                <w:szCs w:val="10"/>
                <w:color w:val="auto"/>
              </w:rPr>
            </w:pPr>
          </w:p>
        </w:tc>
        <w:tc>
          <w:tcPr>
            <w:tcW w:w="168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color w:val="auto"/>
              </w:rPr>
              <w:t>16,384</w:t>
            </w:r>
          </w:p>
        </w:tc>
        <w:tc>
          <w:tcPr>
            <w:tcW w:w="1400" w:type="dxa"/>
            <w:vAlign w:val="bottom"/>
            <w:vMerge w:val="restart"/>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00" w:type="dxa"/>
            <w:vAlign w:val="bottom"/>
            <w:gridSpan w:val="2"/>
            <w:vMerge w:val="continue"/>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680" w:type="dxa"/>
            <w:vAlign w:val="bottom"/>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Martin Erik Stensaas</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16,921</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16,921</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Dorothy B. Stern</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4,805,332</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4,805,332</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John Hiram Stern</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84</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Stern</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169</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169</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Arial" w:cs="Arial" w:eastAsia="Arial" w:hAnsi="Arial"/>
                <w:sz w:val="18"/>
                <w:szCs w:val="18"/>
                <w:color w:val="auto"/>
              </w:rPr>
              <w:t>Taisho Pharmaceutical Co. Ltd.</w:t>
            </w:r>
            <w:r>
              <w:rPr>
                <w:rFonts w:ascii="Arial" w:cs="Arial" w:eastAsia="Arial" w:hAnsi="Arial"/>
                <w:sz w:val="23"/>
                <w:szCs w:val="23"/>
                <w:color w:val="auto"/>
                <w:vertAlign w:val="superscript"/>
              </w:rPr>
              <w:t>(20)</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216,084</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216,084</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The Gould Family 1994 Trust</w:t>
            </w:r>
            <w:r>
              <w:rPr>
                <w:rFonts w:ascii="Arial" w:cs="Arial" w:eastAsia="Arial" w:hAnsi="Arial"/>
                <w:sz w:val="23"/>
                <w:szCs w:val="23"/>
                <w:color w:val="auto"/>
                <w:vertAlign w:val="superscript"/>
              </w:rPr>
              <w:t>(21)</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3,174</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3,174</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Julie Wagoner</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15,884</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15,884</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Joan Wartian</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1,345</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1,345</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Vermut Weinberger</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15,679</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15,679</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Jacob Weissglas</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2,870</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2,870</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Sofie Weissglas</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2,870</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2,870</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L. White</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6,768</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6,768</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Roger Lewis Whiting</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3,365</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3,365</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L. Ackerman</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74,860</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74,860</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Dr. Franz A. Wirtz</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33,654</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33,654</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Wo</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27,729</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27,729</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Victor Yue</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156</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156</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Zaffaroni Revocable Trust</w:t>
            </w:r>
            <w:r>
              <w:rPr>
                <w:rFonts w:ascii="Arial" w:cs="Arial" w:eastAsia="Arial" w:hAnsi="Arial"/>
                <w:sz w:val="23"/>
                <w:szCs w:val="23"/>
                <w:color w:val="auto"/>
                <w:vertAlign w:val="superscript"/>
              </w:rPr>
              <w:t>(22)</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174,442</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174,442</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Carlos Zaidenweber</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62,903</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62,903</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Leslie Zaidenweber</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59,519</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59,519</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Monica Zaidenweber</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62,903</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62,903</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Natan Zaidenweber</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4,390</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4,390</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Stefan Zaidenweber</w:t>
            </w: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62,903</w:t>
            </w:r>
          </w:p>
        </w:tc>
        <w:tc>
          <w:tcPr>
            <w:tcW w:w="1680" w:type="dxa"/>
            <w:vAlign w:val="bottom"/>
          </w:tcPr>
          <w:p>
            <w:pPr>
              <w:jc w:val="right"/>
              <w:ind w:right="550"/>
              <w:spacing w:after="0"/>
              <w:rPr>
                <w:sz w:val="20"/>
                <w:szCs w:val="20"/>
                <w:color w:val="auto"/>
              </w:rPr>
            </w:pPr>
            <w:r>
              <w:rPr>
                <w:rFonts w:ascii="Arial" w:cs="Arial" w:eastAsia="Arial" w:hAnsi="Arial"/>
                <w:sz w:val="18"/>
                <w:szCs w:val="18"/>
                <w:color w:val="auto"/>
              </w:rPr>
              <w:t>62,903</w:t>
            </w:r>
          </w:p>
        </w:tc>
        <w:tc>
          <w:tcPr>
            <w:tcW w:w="14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Esteban Zuno</w:t>
            </w:r>
          </w:p>
        </w:tc>
        <w:tc>
          <w:tcPr>
            <w:tcW w:w="15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1,431</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1,431</w:t>
            </w:r>
          </w:p>
        </w:tc>
        <w:tc>
          <w:tcPr>
            <w:tcW w:w="14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800" w:type="dxa"/>
            <w:vAlign w:val="bottom"/>
            <w:gridSpan w:val="2"/>
          </w:tcPr>
          <w:p>
            <w:pPr>
              <w:spacing w:after="0" w:line="201" w:lineRule="exact"/>
              <w:rPr>
                <w:sz w:val="20"/>
                <w:szCs w:val="20"/>
                <w:color w:val="auto"/>
              </w:rPr>
            </w:pPr>
            <w:r>
              <w:rPr>
                <w:rFonts w:ascii="Arial" w:cs="Arial" w:eastAsia="Arial" w:hAnsi="Arial"/>
                <w:sz w:val="18"/>
                <w:szCs w:val="18"/>
                <w:color w:val="auto"/>
              </w:rPr>
              <w:t>Secundino Zuno</w:t>
            </w:r>
          </w:p>
        </w:tc>
        <w:tc>
          <w:tcPr>
            <w:tcW w:w="156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270</w:t>
            </w:r>
          </w:p>
        </w:tc>
        <w:tc>
          <w:tcPr>
            <w:tcW w:w="1680" w:type="dxa"/>
            <w:vAlign w:val="bottom"/>
          </w:tcPr>
          <w:p>
            <w:pPr>
              <w:jc w:val="right"/>
              <w:ind w:right="550"/>
              <w:spacing w:after="0" w:line="201" w:lineRule="exact"/>
              <w:rPr>
                <w:sz w:val="20"/>
                <w:szCs w:val="20"/>
                <w:color w:val="auto"/>
              </w:rPr>
            </w:pPr>
            <w:r>
              <w:rPr>
                <w:rFonts w:ascii="Arial" w:cs="Arial" w:eastAsia="Arial" w:hAnsi="Arial"/>
                <w:sz w:val="18"/>
                <w:szCs w:val="18"/>
                <w:color w:val="auto"/>
              </w:rPr>
              <w:t>270</w:t>
            </w:r>
          </w:p>
        </w:tc>
        <w:tc>
          <w:tcPr>
            <w:tcW w:w="1400" w:type="dxa"/>
            <w:vAlign w:val="bottom"/>
          </w:tcPr>
          <w:p>
            <w:pPr>
              <w:jc w:val="right"/>
              <w:ind w:right="610"/>
              <w:spacing w:after="0" w:line="201"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500" w:type="dxa"/>
            <w:vAlign w:val="bottom"/>
          </w:tcPr>
          <w:p>
            <w:pPr>
              <w:ind w:left="200"/>
              <w:spacing w:after="0"/>
              <w:rPr>
                <w:sz w:val="20"/>
                <w:szCs w:val="20"/>
                <w:color w:val="auto"/>
              </w:rPr>
            </w:pPr>
            <w:r>
              <w:rPr>
                <w:rFonts w:ascii="Arial" w:cs="Arial" w:eastAsia="Arial" w:hAnsi="Arial"/>
                <w:sz w:val="18"/>
                <w:szCs w:val="18"/>
                <w:color w:val="auto"/>
              </w:rPr>
              <w:t>Less than 1%</w:t>
            </w:r>
          </w:p>
        </w:tc>
        <w:tc>
          <w:tcPr>
            <w:tcW w:w="1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52"/>
        <w:spacing w:after="0" w:line="26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Information concerning named selling stockholders, future transferees, pledgees, assignees, distributees, donees or successors of or from any such stockholder or others who later hold any selling stockholder’s interests will be set forth in supplements to this prospectus, absent circumstances indicating that the change is material. In addition, post-effective amendments to the registration statement of which this prospectus forms a part will be filed to disclose any material changes to the plan of distribution from the description in the final prospectus.</w:t>
      </w:r>
    </w:p>
    <w:p>
      <w:pPr>
        <w:spacing w:after="0" w:line="1"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held by the selling stockholders, other than the Shares being offered pursuant to this prospectus, and all Shares being registered by the registration statement of which this prospectus forms a part.</w:t>
      </w:r>
    </w:p>
    <w:p>
      <w:pPr>
        <w:jc w:val="both"/>
        <w:ind w:left="660" w:hanging="652"/>
        <w:spacing w:after="0" w:line="27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shares of our common stock, or convertible or exercisable into shares of our common stock within 60 days of March 2, 2023 are deemed outstanding. Such shares, however, are not deemed outstanding for the purposes of computing the percentage ownership of any other person.</w:t>
      </w:r>
    </w:p>
    <w:p>
      <w:pPr>
        <w:spacing w:after="0" w:line="176" w:lineRule="exact"/>
        <w:rPr>
          <w:rFonts w:ascii="Arial" w:cs="Arial" w:eastAsia="Arial" w:hAnsi="Arial"/>
          <w:sz w:val="17"/>
          <w:szCs w:val="17"/>
          <w:color w:val="auto"/>
        </w:rPr>
      </w:pPr>
    </w:p>
    <w:p>
      <w:pPr>
        <w:ind w:left="660"/>
        <w:spacing w:after="0" w:line="258" w:lineRule="auto"/>
        <w:rPr>
          <w:rFonts w:ascii="Arial" w:cs="Arial" w:eastAsia="Arial" w:hAnsi="Arial"/>
          <w:sz w:val="17"/>
          <w:szCs w:val="17"/>
          <w:color w:val="auto"/>
        </w:rPr>
      </w:pPr>
      <w:r>
        <w:rPr>
          <w:rFonts w:ascii="Arial" w:cs="Arial" w:eastAsia="Arial" w:hAnsi="Arial"/>
          <w:sz w:val="18"/>
          <w:szCs w:val="18"/>
          <w:color w:val="auto"/>
        </w:rPr>
        <w:t>Amounts reported in this column assumes that each selling stockholder will sell all of the shares of common stock offered pursuant to this prospectus.</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219,326,526 shares of common stock outstanding as of March 2, 2023.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President of Caramia LLC, Roberto Rosenkranz may be deemed to be the beneficial owner over the securities reported herein.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Senior Vice President of EOP Partners, Joe Valane may be deemed to be the beneficial owner over the securities reported herein.</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Managing Menber of ET Brutus LLC, Leif Langensand may be deemed to be the beneficial owner over the securities reported herein.</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President of Founders Investments Ltd.,Toby Rosenblatt may be deemed to be the beneficial owner over the securities reported herein.</w:t>
      </w:r>
    </w:p>
    <w:p>
      <w:pPr>
        <w:spacing w:after="0" w:line="20" w:lineRule="exact"/>
        <w:rPr>
          <w:rFonts w:ascii="Arial" w:cs="Arial" w:eastAsia="Arial" w:hAnsi="Arial"/>
          <w:sz w:val="17"/>
          <w:szCs w:val="17"/>
          <w:color w:val="auto"/>
        </w:rPr>
      </w:pPr>
    </w:p>
    <w:p>
      <w:pPr>
        <w:ind w:left="660" w:right="3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Assistant Treasurer of Johnson &amp; Johnson Development Corp, Jill McManus may be deemed to be the beneficial owner over the securities reported herein.</w:t>
      </w:r>
    </w:p>
    <w:p>
      <w:pPr>
        <w:ind w:left="660" w:right="20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Director of Kibridge Limited co Concorde Bank Ltd, Marina Corbin may be deemed to be the beneficial owner over the securities reported herein.</w:t>
      </w: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80,000 shares of common stock and options to purchase 195,833 shares of common stock exercisable within 60 days of March 2, 2023.</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Administrator of MARMEN LLC, Alejandro Martinez may be deemed to be the beneficial owner over the securities reported herein.</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Susan Kaufman may be deemed to be the beneficial owner over the securities reported herein.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10,000 shares of common stock and options to purchase 214,583 shares of common stock exercisable within 60 days of March 2, 2023.</w:t>
      </w:r>
    </w:p>
    <w:p>
      <w:pPr>
        <w:spacing w:after="0" w:line="32" w:lineRule="exact"/>
        <w:rPr>
          <w:rFonts w:ascii="Arial" w:cs="Arial" w:eastAsia="Arial" w:hAnsi="Arial"/>
          <w:sz w:val="16"/>
          <w:szCs w:val="16"/>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Owner of Orion Properties Ltd. S.A., Matilde Zeidenweber may be deemed to be the beneficial owner over the securities reported herein.</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Philip S. Paul may be deemed to be the beneficial owner over the securities reported herein.</w:t>
      </w:r>
    </w:p>
    <w:p>
      <w:pPr>
        <w:spacing w:after="0" w:line="9" w:lineRule="exact"/>
        <w:rPr>
          <w:rFonts w:ascii="Arial" w:cs="Arial" w:eastAsia="Arial" w:hAnsi="Arial"/>
          <w:sz w:val="18"/>
          <w:szCs w:val="18"/>
          <w:color w:val="auto"/>
        </w:rPr>
      </w:pPr>
    </w:p>
    <w:p>
      <w:pPr>
        <w:ind w:left="660" w:right="52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President and Chief Operating Officer of Sega Corporation, Shohei Suzuki may be deemed to be the beneficial owner over the securities reported herein.</w:t>
      </w: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Partner of Selby Sunset York Partners, Michael V. Stern may be deemed to be the beneficial owner over the securities reported herein.</w:t>
      </w:r>
    </w:p>
    <w:p>
      <w:pPr>
        <w:spacing w:after="0" w:line="20" w:lineRule="exact"/>
        <w:rPr>
          <w:rFonts w:ascii="Arial" w:cs="Arial" w:eastAsia="Arial" w:hAnsi="Arial"/>
          <w:sz w:val="17"/>
          <w:szCs w:val="17"/>
          <w:color w:val="auto"/>
        </w:rPr>
      </w:pPr>
    </w:p>
    <w:p>
      <w:pPr>
        <w:ind w:left="660" w:right="6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an authorized signatory of The Board of Trustees of the Leland Stanford Junior University (Daper I) Stanford, Brian Talbott may be deemed to be the beneficial owner over the securities reported herein.</w:t>
      </w:r>
    </w:p>
    <w:p>
      <w:pPr>
        <w:ind w:left="660" w:right="140" w:hanging="652"/>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corporate officer of Taisho Pharmaceutical Co. Ltd, Jinsei Maruyama may be deemed to be the beneficial owner over the securities reported herein.</w:t>
      </w: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trustee of The Gould Family 1994 Trust, Russell Gould may be deemed to be the beneficial owner over the securities reported herein.</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trustee of Zaffaroni Revocable Trust, Lida Zaffaroni may be deemed to be the beneficial owner over the securities reported herein.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registering the Shares held by the Selling Stockholders identified herein to permit the resale of the Shares from time to time after the date of this prospectus. We will not receive any of the proceeds from the sale by the Selling Stockholders of the Shares, if any. We will bear all fees and expenses incident to our obligation to register the Shares of our common stock.</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offered by this prospectus could be affected in one or more of the following methods: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market” into an existing market for the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other ways not involving market makers or established business markets, including direct sales to purchasers or sales effected through agents;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privately negotiated transactions;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Selling Stockholders effect such transactions by selling the Shares to or through underwriters, broker-dealers or agents, such underwriters, broker-dealers or agents may receive commissions in the form of discounts, concessions or commissions from the Selling Stockholders or commissions from purchasers of the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or otherwise, the Selling Stockholders may enter into hedging transactions with broker-dealers, which may in turn engage in short sales of the Shares in the course of hedging in positions they assume. The Selling Stockholders may also sell shares of common stock short and deliver Shares covered by this prospectus to close out short positions and to return borrowed shares in connection with such short sales. The selling stockholders may also loan or pledge Shares to broker-dealers that in turn may sell such Shares.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may pledge or grant a security interest in some or all of the Shares owned by them, and, if they default in the performance of their secured obligations, the pledgees or secured parties may offer and sell such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their respective Shares in other circumstances in which case the transferees, donees, pledgees or other successors in interest will be the selling beneficial owners for purposes of this prospectus.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Stockholders and any broker-dealer participating in the distribution of the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is made, a prospectus supplement, if required, will be distributed which will set forth the aggregate amount of the Shares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registered pursuant to the registration statement, of which this prospectus forms a part.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Selling Stockholders and any other person participating in such distribution will be subject to applicable provisions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will pay all expenses of the registration of the Shares pursuant to the Registration Rights Agreement, including, without limitation, SEC filing fees and expenses of compliance with state securities or “blue sky” laws;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will be freely tradable in the hands of persons other than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validity of the securities offered hereby will be passed upon for us by Disclosure Law Group, a Professional Corporation, San Diego, California (</w:t>
      </w:r>
      <w:r>
        <w:rPr>
          <w:rFonts w:ascii="Arial" w:cs="Arial" w:eastAsia="Arial" w:hAnsi="Arial"/>
          <w:sz w:val="18"/>
          <w:szCs w:val="18"/>
          <w:i w:val="1"/>
          <w:iCs w:val="1"/>
          <w:color w:val="auto"/>
        </w:rPr>
        <w:t>DLG</w:t>
      </w:r>
      <w:r>
        <w:rPr>
          <w:rFonts w:ascii="Arial" w:cs="Arial" w:eastAsia="Arial" w:hAnsi="Arial"/>
          <w:sz w:val="18"/>
          <w:szCs w:val="18"/>
          <w:color w:val="auto"/>
        </w:rPr>
        <w:t>). A partner of DLG beneficially owns an aggregate of 150,583 shares of our common stock, which amount includes 140,625 shares of common stock issuable upon exercise of stock options within 60 days of March 2, 2023.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audited annual consolidated financial statements incorporated by reference in this prospectus and elsewhere in the registration statement have been incorporated by reference in reliance upon the reports of WithumSmith+Brown, PC, independent registered public accounting firm, and OUM &amp; CO. LLP, an independent registered public accounting firm, who joined WithumSmith+Brown, PC on July 15, 2021, upon the authority of said firm as experts in accounting and auditing. The 2022 audited annual consolidated financial statements of Vistagen Therapeutics, Inc., as of and for the year ended March 31, 2022, have been audited by WithumSmith+Brown, PC, independent registered public accounting firm. The 2021 audited annual consolidated financial statements of Vistagen Therapeutics, Inc., as of and for the year ended March 31, 2021, have been audited by OUM &amp; Co. LLP, independent registered public accounting firm. The audit report dated June 23, 2022 for the 2022 audited annual consolidated financial statements includes an explanatory paragraph which states that certain circumstances raise substantial doubt about our ability to continue as a going concern.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12,410,100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291465</wp:posOffset>
            </wp:positionV>
            <wp:extent cx="1482725"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a:extLst>
                        <a:ext uri="{28A0092B-C50C-407E-A947-70E740481C1C}"/>
                      </a:extLst>
                    </a:blip>
                    <a:srcRect/>
                    <a:stretch>
                      <a:fillRect/>
                    </a:stretch>
                  </pic:blipFill>
                  <pic:spPr bwMode="auto">
                    <a:xfrm>
                      <a:off x="0" y="0"/>
                      <a:ext cx="14827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Amount</w:t>
            </w:r>
          </w:p>
        </w:tc>
      </w:tr>
      <w:tr>
        <w:trPr>
          <w:trHeight w:val="209"/>
        </w:trPr>
        <w:tc>
          <w:tcPr>
            <w:tcW w:w="5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5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Total expenses</w:t>
            </w:r>
          </w:p>
        </w:tc>
        <w:tc>
          <w:tcPr>
            <w:tcW w:w="3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48,243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78.7502 of the NRS permits a corporation to indemnify any person who was, is or is threatened to be made a party in a completed, pending or threatened proceeding, whether civil, criminal, administrative or investigative (except an action by or in the right of the corporation), by reason of being or having been an officer, director, employee or agent of the corporation or serving in certain capacities at the request of the corporation. Indemnification may include attorneys' fees, judgments, fines and amounts paid in settlement. The person to be indemnified must have acted in good faith and in a manner he or she reasonably believed to be in or not opposed to the best interests of the corporation and, with respect to any criminal action, such person must have had no reasonable cause to believe his conduct was unlawful.</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respect to actions by or in the right of the corporation,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was brought or other court of competent jurisdiction determines upon application that in view of all circumstances the person is fairly and reasonably entitled to indemnity for such expenses as the court deems proper.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indemnification is ordered by a court, the determination to pay indemnification must be made by the stockholders, by a majority vote of a quorum of the Board of Directors who were not parties to the action, suit or proceeding, or in certain circumstances by independent legal counsel in a written opinion. Section 78.751 of the NRS permits the articles of incorporation or bylaws to provide for payment to an indemnified person of the expenses of defending an action as incurred upon receipt of an undertaking to repay the amount if it is ultimately determined by a court of competent jurisdiction that the person is not entitled to indemnification.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78.7502 also provides that to the extent a director, officer, employee or agent has been successful on the merits or otherwise in the defense of any such action, he must be indemnified by the corporation against expenses, including attorneys' fees, actually and reasonably incurred in connection with the defense.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Article X of our Charter, entitled “Indemnification,” provides that we shall indemnify, and shall advance or reimburse the reasonable expenses incurred in advance of final disposition of the proceeding of, any individual made a party to a proceeding because that individual is or was a director of the corporation to the full extent and under all circumstances permitted by applicable law. Article X of our Bylaws, entitled “Indemnification,” provides that we shall indemnify our directors and officers to the fullest extent not prohibited by the NRS, except in the case of proceedings initiated by such officers or directors unless certain other factors are present.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2.</w:t>
              </w:r>
              <w:r>
                <w:rPr>
                  <w:rFonts w:ascii="Arial" w:cs="Arial" w:eastAsia="Arial" w:hAnsi="Arial"/>
                  <w:sz w:val="18"/>
                  <w:szCs w:val="18"/>
                  <w:u w:val="single" w:color="auto"/>
                  <w:color w:val="0000EE"/>
                  <w:w w:val="93"/>
                </w:rPr>
                <w:t>1</w:t>
              </w:r>
            </w:hyperlink>
            <w:r>
              <w:rPr>
                <w:rFonts w:ascii="Arial" w:cs="Arial" w:eastAsia="Arial" w:hAnsi="Arial"/>
                <w:sz w:val="18"/>
                <w:szCs w:val="18"/>
                <w:color w:val="000000"/>
                <w:w w:val="93"/>
              </w:rPr>
              <w:t>*</w:t>
            </w:r>
          </w:p>
        </w:tc>
        <w:tc>
          <w:tcPr>
            <w:tcW w:w="440" w:type="dxa"/>
            <w:vAlign w:val="bottom"/>
          </w:tcPr>
          <w:p>
            <w:pPr>
              <w:spacing w:after="0"/>
              <w:rPr>
                <w:sz w:val="17"/>
                <w:szCs w:val="17"/>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1"/>
              </w:rPr>
              <w:t>Agreement and Plan of Merger, by and among Vistagen Therapeutics, Inc., VTGN Merger Sub, Inc., Pherin Pharmaceuticals, Inc., and Kevin</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4"/>
              </w:rPr>
              <w:t>McCarthy, dated December 20, 2022, incorporated by reference from Exhibit 2.1 to the Company’s Current Report on Form 8-K, filed on</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December 21, 2022.</w:t>
            </w: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6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40" w:type="dxa"/>
            <w:vAlign w:val="bottom"/>
          </w:tcPr>
          <w:p>
            <w:pPr>
              <w:spacing w:after="0"/>
              <w:rPr>
                <w:sz w:val="16"/>
                <w:szCs w:val="16"/>
                <w:color w:val="auto"/>
              </w:rPr>
            </w:pPr>
          </w:p>
        </w:tc>
        <w:tc>
          <w:tcPr>
            <w:tcW w:w="10480" w:type="dxa"/>
            <w:vAlign w:val="bottom"/>
          </w:tcPr>
          <w:p>
            <w:pPr>
              <w:ind w:left="260"/>
              <w:spacing w:after="0" w:line="190" w:lineRule="exact"/>
              <w:rPr>
                <w:sz w:val="20"/>
                <w:szCs w:val="20"/>
                <w:color w:val="auto"/>
              </w:rPr>
            </w:pPr>
            <w:r>
              <w:rPr>
                <w:rFonts w:ascii="Arial" w:cs="Arial" w:eastAsia="Arial" w:hAnsi="Arial"/>
                <w:sz w:val="18"/>
                <w:szCs w:val="18"/>
                <w:color w:val="auto"/>
                <w:w w:val="92"/>
              </w:rPr>
              <w:t>Restated Articles of Incorporation of VistaGen Therapeutics, Inc., dated August 16, 2016, incorporated by reference from Exhibit 3.1 to the</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August 17, 2016.</w:t>
            </w: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6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40" w:type="dxa"/>
            <w:vAlign w:val="bottom"/>
          </w:tcPr>
          <w:p>
            <w:pPr>
              <w:spacing w:after="0"/>
              <w:rPr>
                <w:sz w:val="16"/>
                <w:szCs w:val="16"/>
                <w:color w:val="auto"/>
              </w:rPr>
            </w:pPr>
          </w:p>
        </w:tc>
        <w:tc>
          <w:tcPr>
            <w:tcW w:w="10480" w:type="dxa"/>
            <w:vAlign w:val="bottom"/>
          </w:tcPr>
          <w:p>
            <w:pPr>
              <w:ind w:left="260"/>
              <w:spacing w:after="0" w:line="190" w:lineRule="exact"/>
              <w:rPr>
                <w:sz w:val="20"/>
                <w:szCs w:val="20"/>
                <w:color w:val="auto"/>
              </w:rPr>
            </w:pPr>
            <w:r>
              <w:rPr>
                <w:rFonts w:ascii="Arial" w:cs="Arial" w:eastAsia="Arial" w:hAnsi="Arial"/>
                <w:sz w:val="18"/>
                <w:szCs w:val="18"/>
                <w:color w:val="auto"/>
                <w:w w:val="91"/>
              </w:rPr>
              <w:t>Certificate of Amendment to the Restated and Amended Articles of Incorporation of VistaGen Therapeutics, Inc., dated September 15, 2017;</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3.1 to the Company’s Current Report on Form 8-K, filed on September 20, 2017.</w:t>
            </w: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62">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440" w:type="dxa"/>
            <w:vAlign w:val="bottom"/>
          </w:tcPr>
          <w:p>
            <w:pPr>
              <w:spacing w:after="0"/>
              <w:rPr>
                <w:sz w:val="16"/>
                <w:szCs w:val="16"/>
                <w:color w:val="auto"/>
              </w:rPr>
            </w:pPr>
          </w:p>
        </w:tc>
        <w:tc>
          <w:tcPr>
            <w:tcW w:w="10480" w:type="dxa"/>
            <w:vAlign w:val="bottom"/>
          </w:tcPr>
          <w:p>
            <w:pPr>
              <w:ind w:left="260"/>
              <w:spacing w:after="0" w:line="190" w:lineRule="exact"/>
              <w:rPr>
                <w:sz w:val="20"/>
                <w:szCs w:val="20"/>
                <w:color w:val="auto"/>
              </w:rPr>
            </w:pPr>
            <w:r>
              <w:rPr>
                <w:rFonts w:ascii="Arial" w:cs="Arial" w:eastAsia="Arial" w:hAnsi="Arial"/>
                <w:sz w:val="18"/>
                <w:szCs w:val="18"/>
                <w:color w:val="auto"/>
                <w:w w:val="96"/>
              </w:rPr>
              <w:t>Certificate of Amendment to the Restated and Amended Articles of Incorporation, as amended, of VistaGen Therapeutics, Inc., dated</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w w:val="92"/>
              </w:rPr>
              <w:t>September 6 ,2019; incorporated by reference from Exhibit 3.1 to the Company’s Current Report on Form 8-K, filed on September 6, 2019.</w:t>
            </w:r>
          </w:p>
        </w:tc>
      </w:tr>
      <w:tr>
        <w:trPr>
          <w:trHeight w:val="190"/>
        </w:trPr>
        <w:tc>
          <w:tcPr>
            <w:tcW w:w="320" w:type="dxa"/>
            <w:vAlign w:val="bottom"/>
            <w:gridSpan w:val="2"/>
          </w:tcPr>
          <w:p>
            <w:pPr>
              <w:spacing w:after="0" w:line="190" w:lineRule="exact"/>
              <w:rPr>
                <w:rFonts w:ascii="Arial" w:cs="Arial" w:eastAsia="Arial" w:hAnsi="Arial"/>
                <w:sz w:val="18"/>
                <w:szCs w:val="18"/>
                <w:color w:val="0000EE"/>
              </w:rPr>
            </w:pPr>
            <w:hyperlink r:id="rId63">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440" w:type="dxa"/>
            <w:vAlign w:val="bottom"/>
          </w:tcPr>
          <w:p>
            <w:pPr>
              <w:spacing w:after="0"/>
              <w:rPr>
                <w:sz w:val="16"/>
                <w:szCs w:val="16"/>
                <w:color w:val="auto"/>
              </w:rPr>
            </w:pPr>
          </w:p>
        </w:tc>
        <w:tc>
          <w:tcPr>
            <w:tcW w:w="10480" w:type="dxa"/>
            <w:vAlign w:val="bottom"/>
          </w:tcPr>
          <w:p>
            <w:pPr>
              <w:ind w:left="260"/>
              <w:spacing w:after="0" w:line="190" w:lineRule="exact"/>
              <w:rPr>
                <w:sz w:val="20"/>
                <w:szCs w:val="20"/>
                <w:color w:val="auto"/>
              </w:rPr>
            </w:pPr>
            <w:r>
              <w:rPr>
                <w:rFonts w:ascii="Arial" w:cs="Arial" w:eastAsia="Arial" w:hAnsi="Arial"/>
                <w:sz w:val="18"/>
                <w:szCs w:val="18"/>
                <w:color w:val="auto"/>
                <w:w w:val="91"/>
              </w:rPr>
              <w:t>Certificate of Amendment to the Restated and Amended Articles of Incorporation, as amended, of VistaGen Therapeutics, Inc., dated March</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80" w:type="dxa"/>
            <w:vAlign w:val="bottom"/>
          </w:tcPr>
          <w:p>
            <w:pPr>
              <w:ind w:left="260"/>
              <w:spacing w:after="0"/>
              <w:rPr>
                <w:sz w:val="20"/>
                <w:szCs w:val="20"/>
                <w:color w:val="auto"/>
              </w:rPr>
            </w:pPr>
            <w:r>
              <w:rPr>
                <w:rFonts w:ascii="Arial" w:cs="Arial" w:eastAsia="Arial" w:hAnsi="Arial"/>
                <w:sz w:val="18"/>
                <w:szCs w:val="18"/>
                <w:color w:val="auto"/>
              </w:rPr>
              <w:t>5, 2021, incorporated by reference from Exhibit 3.1 to the Company’s Current Report on Form 8-K, filed on March 5, 2021.</w:t>
            </w:r>
          </w:p>
        </w:tc>
      </w:tr>
      <w:tr>
        <w:trPr>
          <w:trHeight w:val="216"/>
        </w:trPr>
        <w:tc>
          <w:tcPr>
            <w:tcW w:w="760" w:type="dxa"/>
            <w:vAlign w:val="bottom"/>
            <w:gridSpan w:val="3"/>
          </w:tcPr>
          <w:p>
            <w:pPr>
              <w:spacing w:after="0"/>
              <w:rPr>
                <w:sz w:val="20"/>
                <w:szCs w:val="20"/>
                <w:color w:val="auto"/>
              </w:rPr>
            </w:pPr>
            <w:r>
              <w:rPr>
                <w:rFonts w:ascii="Arial" w:cs="Arial" w:eastAsia="Arial" w:hAnsi="Arial"/>
                <w:sz w:val="18"/>
                <w:szCs w:val="18"/>
                <w:color w:val="auto"/>
              </w:rPr>
              <w:t>5.1**</w:t>
            </w:r>
          </w:p>
        </w:tc>
        <w:tc>
          <w:tcPr>
            <w:tcW w:w="10480" w:type="dxa"/>
            <w:vAlign w:val="bottom"/>
          </w:tcPr>
          <w:p>
            <w:pPr>
              <w:ind w:left="260"/>
              <w:spacing w:after="0"/>
              <w:rPr>
                <w:sz w:val="20"/>
                <w:szCs w:val="20"/>
                <w:color w:val="auto"/>
              </w:rPr>
            </w:pPr>
            <w:r>
              <w:rPr>
                <w:rFonts w:ascii="Arial" w:cs="Arial" w:eastAsia="Arial" w:hAnsi="Arial"/>
                <w:sz w:val="18"/>
                <w:szCs w:val="18"/>
                <w:color w:val="auto"/>
              </w:rPr>
              <w:t>Opinion of Disclosure Law Group, a Professional Corporation.</w:t>
            </w:r>
          </w:p>
        </w:tc>
      </w:tr>
      <w:tr>
        <w:trPr>
          <w:trHeight w:val="216"/>
        </w:trPr>
        <w:tc>
          <w:tcPr>
            <w:tcW w:w="760" w:type="dxa"/>
            <w:vAlign w:val="bottom"/>
            <w:gridSpan w:val="3"/>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260"/>
              <w:spacing w:after="0"/>
              <w:rPr>
                <w:sz w:val="20"/>
                <w:szCs w:val="20"/>
                <w:color w:val="auto"/>
              </w:rPr>
            </w:pPr>
            <w:r>
              <w:rPr>
                <w:rFonts w:ascii="Arial" w:cs="Arial" w:eastAsia="Arial" w:hAnsi="Arial"/>
                <w:sz w:val="18"/>
                <w:szCs w:val="18"/>
                <w:color w:val="auto"/>
              </w:rPr>
              <w:t>Consent of Disclosure Law Group, a Professional Corporation (included in Exhibit 5.1).</w:t>
            </w:r>
          </w:p>
        </w:tc>
      </w:tr>
      <w:tr>
        <w:trPr>
          <w:trHeight w:val="190"/>
        </w:trPr>
        <w:tc>
          <w:tcPr>
            <w:tcW w:w="320" w:type="dxa"/>
            <w:vAlign w:val="bottom"/>
            <w:tcBorders>
              <w:bottom w:val="single" w:sz="8" w:color="0000EE"/>
            </w:tcBorders>
            <w:gridSpan w:val="2"/>
          </w:tcPr>
          <w:p>
            <w:pPr>
              <w:spacing w:after="0" w:line="190"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440" w:type="dxa"/>
            <w:vAlign w:val="bottom"/>
          </w:tcPr>
          <w:p>
            <w:pPr>
              <w:spacing w:after="0"/>
              <w:rPr>
                <w:sz w:val="16"/>
                <w:szCs w:val="16"/>
                <w:color w:val="auto"/>
              </w:rPr>
            </w:pPr>
          </w:p>
        </w:tc>
        <w:tc>
          <w:tcPr>
            <w:tcW w:w="10480" w:type="dxa"/>
            <w:vAlign w:val="bottom"/>
          </w:tcPr>
          <w:p>
            <w:pPr>
              <w:ind w:left="260"/>
              <w:spacing w:after="0" w:line="190" w:lineRule="exact"/>
              <w:rPr>
                <w:sz w:val="20"/>
                <w:szCs w:val="20"/>
                <w:color w:val="auto"/>
              </w:rPr>
            </w:pPr>
            <w:r>
              <w:rPr>
                <w:rFonts w:ascii="Arial" w:cs="Arial" w:eastAsia="Arial" w:hAnsi="Arial"/>
                <w:sz w:val="18"/>
                <w:szCs w:val="18"/>
                <w:color w:val="auto"/>
              </w:rPr>
              <w:t>Consent of Independent Registered Public Accounting Firm – WithumSmith+Brown PC (filed herewith).</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3</w:t>
            </w:r>
          </w:p>
        </w:tc>
        <w:tc>
          <w:tcPr>
            <w:tcW w:w="440" w:type="dxa"/>
            <w:vAlign w:val="bottom"/>
          </w:tcPr>
          <w:p>
            <w:pPr>
              <w:spacing w:after="0"/>
              <w:rPr>
                <w:sz w:val="17"/>
                <w:szCs w:val="17"/>
                <w:color w:val="auto"/>
              </w:rPr>
            </w:pPr>
          </w:p>
        </w:tc>
        <w:tc>
          <w:tcPr>
            <w:tcW w:w="10480" w:type="dxa"/>
            <w:vAlign w:val="bottom"/>
          </w:tcPr>
          <w:p>
            <w:pPr>
              <w:ind w:left="260"/>
              <w:spacing w:after="0" w:line="196" w:lineRule="exact"/>
              <w:rPr>
                <w:sz w:val="20"/>
                <w:szCs w:val="20"/>
                <w:color w:val="auto"/>
              </w:rPr>
            </w:pPr>
            <w:r>
              <w:rPr>
                <w:rFonts w:ascii="Arial" w:cs="Arial" w:eastAsia="Arial" w:hAnsi="Arial"/>
                <w:sz w:val="18"/>
                <w:szCs w:val="18"/>
                <w:color w:val="auto"/>
              </w:rPr>
              <w:t>Consent of Independent Registered Public Accounting Firm – OUM &amp; Co. LLP (filed herewith)</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p>
        </w:tc>
        <w:tc>
          <w:tcPr>
            <w:tcW w:w="440" w:type="dxa"/>
            <w:vAlign w:val="bottom"/>
          </w:tcPr>
          <w:p>
            <w:pPr>
              <w:spacing w:after="0"/>
              <w:rPr>
                <w:sz w:val="17"/>
                <w:szCs w:val="17"/>
                <w:color w:val="auto"/>
              </w:rPr>
            </w:pPr>
          </w:p>
        </w:tc>
        <w:tc>
          <w:tcPr>
            <w:tcW w:w="10480" w:type="dxa"/>
            <w:vAlign w:val="bottom"/>
          </w:tcPr>
          <w:p>
            <w:pPr>
              <w:ind w:left="260"/>
              <w:spacing w:after="0" w:line="196" w:lineRule="exact"/>
              <w:rPr>
                <w:sz w:val="20"/>
                <w:szCs w:val="20"/>
                <w:color w:val="auto"/>
              </w:rPr>
            </w:pPr>
            <w:r>
              <w:rPr>
                <w:rFonts w:ascii="Arial" w:cs="Arial" w:eastAsia="Arial" w:hAnsi="Arial"/>
                <w:sz w:val="18"/>
                <w:szCs w:val="18"/>
                <w:color w:val="auto"/>
              </w:rPr>
              <w:t>Power of Attorney (included on the signature page hereof)</w:t>
            </w:r>
          </w:p>
        </w:tc>
      </w:tr>
    </w:tbl>
    <w:p>
      <w:pPr>
        <w:spacing w:after="0" w:line="13" w:lineRule="exact"/>
        <w:rPr>
          <w:sz w:val="20"/>
          <w:szCs w:val="20"/>
          <w:color w:val="auto"/>
        </w:rPr>
      </w:pPr>
    </w:p>
    <w:p>
      <w:pPr>
        <w:ind w:left="1020" w:hanging="1012"/>
        <w:spacing w:after="0"/>
        <w:tabs>
          <w:tab w:leader="none" w:pos="1020" w:val="left"/>
        </w:tabs>
        <w:numPr>
          <w:ilvl w:val="0"/>
          <w:numId w:val="6"/>
        </w:numPr>
        <w:rPr>
          <w:rFonts w:ascii="Arial" w:cs="Arial" w:eastAsia="Arial" w:hAnsi="Arial"/>
          <w:sz w:val="18"/>
          <w:szCs w:val="18"/>
          <w:u w:val="single" w:color="auto"/>
          <w:color w:val="0000EE"/>
        </w:rPr>
      </w:pPr>
      <w:r>
        <w:rPr>
          <w:rFonts w:ascii="Arial" w:cs="Arial" w:eastAsia="Arial" w:hAnsi="Arial"/>
          <w:sz w:val="18"/>
          <w:szCs w:val="18"/>
          <w:color w:val="auto"/>
        </w:rPr>
        <w:t>Filing Fee Table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exhibits and schedules have been omitted pursuant to Item 601(b)(2) of Regulation S-K. The Company agrees to furnish supplementally to</w:t>
      </w:r>
    </w:p>
    <w:p>
      <w:pPr>
        <w:spacing w:after="0" w:line="46"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 a copy of any omitted exhibits or schedules upon request.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by amendment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1585"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ind w:left="660" w:firstLine="644"/>
        <w:spacing w:after="0" w:line="277" w:lineRule="auto"/>
        <w:tabs>
          <w:tab w:leader="none" w:pos="1632"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periodic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87" w:lineRule="exact"/>
        <w:rPr>
          <w:sz w:val="20"/>
          <w:szCs w:val="20"/>
          <w:color w:val="auto"/>
        </w:rPr>
      </w:pPr>
    </w:p>
    <w:p>
      <w:pPr>
        <w:jc w:val="both"/>
        <w:ind w:firstLine="656"/>
        <w:spacing w:after="0" w:line="263" w:lineRule="auto"/>
        <w:tabs>
          <w:tab w:leader="none" w:pos="90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56"/>
        <w:spacing w:after="0" w:line="277" w:lineRule="auto"/>
        <w:tabs>
          <w:tab w:leader="none" w:pos="9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740" w:firstLine="654"/>
        <w:spacing w:after="0" w:line="277" w:lineRule="auto"/>
        <w:tabs>
          <w:tab w:leader="none" w:pos="1614"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left="740" w:firstLine="654"/>
        <w:spacing w:after="0" w:line="269" w:lineRule="auto"/>
        <w:tabs>
          <w:tab w:leader="none" w:pos="16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statement made in a registration statement or prospectus that is part of the registration statement or made in a document incorporated or deemed incorporated by reference into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9" w:lineRule="exact"/>
        <w:rPr>
          <w:sz w:val="20"/>
          <w:szCs w:val="20"/>
          <w:color w:val="auto"/>
        </w:rPr>
      </w:pPr>
    </w:p>
    <w:p>
      <w:pPr>
        <w:jc w:val="both"/>
        <w:ind w:firstLine="656"/>
        <w:spacing w:after="0" w:line="257" w:lineRule="auto"/>
        <w:tabs>
          <w:tab w:leader="none" w:pos="9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firstLine="656"/>
        <w:spacing w:after="0" w:line="291" w:lineRule="auto"/>
        <w:tabs>
          <w:tab w:leader="none" w:pos="8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March 2, 2023.</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Shawn K. Singh</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KNOWN ALL MEN BY THESE PRESENTS, that each person whose signature below constitutes and appoints Shawn K. Singh as attorney-in-fact, with power of substitution, for him in any and all capacities, to sign any amendments to this Registration Statement on Form S-3, and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3720" w:type="dxa"/>
            <w:vAlign w:val="bottom"/>
          </w:tcPr>
          <w:p>
            <w:pPr>
              <w:ind w:left="1400"/>
              <w:spacing w:after="0"/>
              <w:rPr>
                <w:sz w:val="20"/>
                <w:szCs w:val="20"/>
                <w:color w:val="auto"/>
              </w:rPr>
            </w:pPr>
            <w:r>
              <w:rPr>
                <w:rFonts w:ascii="Arial" w:cs="Arial" w:eastAsia="Arial" w:hAnsi="Arial"/>
                <w:sz w:val="18"/>
                <w:szCs w:val="18"/>
                <w:color w:val="auto"/>
              </w:rPr>
              <w:t>Signature</w:t>
            </w:r>
          </w:p>
        </w:tc>
        <w:tc>
          <w:tcPr>
            <w:tcW w:w="4860" w:type="dxa"/>
            <w:vAlign w:val="bottom"/>
          </w:tcPr>
          <w:p>
            <w:pPr>
              <w:ind w:left="2640"/>
              <w:spacing w:after="0"/>
              <w:rPr>
                <w:sz w:val="20"/>
                <w:szCs w:val="20"/>
                <w:color w:val="auto"/>
              </w:rPr>
            </w:pPr>
            <w:r>
              <w:rPr>
                <w:rFonts w:ascii="Arial" w:cs="Arial" w:eastAsia="Arial" w:hAnsi="Arial"/>
                <w:sz w:val="18"/>
                <w:szCs w:val="18"/>
                <w:color w:val="auto"/>
              </w:rPr>
              <w:t>Title</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89"/>
              </w:rPr>
              <w:t>Date</w:t>
            </w:r>
          </w:p>
        </w:tc>
      </w:tr>
      <w:tr>
        <w:trPr>
          <w:trHeight w:val="432"/>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Shawn K. Singh</w:t>
            </w:r>
          </w:p>
        </w:tc>
        <w:tc>
          <w:tcPr>
            <w:tcW w:w="4860" w:type="dxa"/>
            <w:vAlign w:val="bottom"/>
          </w:tcPr>
          <w:p>
            <w:pPr>
              <w:ind w:left="560"/>
              <w:spacing w:after="0"/>
              <w:rPr>
                <w:sz w:val="20"/>
                <w:szCs w:val="20"/>
                <w:color w:val="auto"/>
              </w:rPr>
            </w:pPr>
            <w:r>
              <w:rPr>
                <w:rFonts w:ascii="Arial" w:cs="Arial" w:eastAsia="Arial" w:hAnsi="Arial"/>
                <w:sz w:val="18"/>
                <w:szCs w:val="18"/>
                <w:color w:val="auto"/>
              </w:rPr>
              <w:t>Chief Executive Officer, and Director</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Shawn K. Singh, JD</w:t>
            </w:r>
          </w:p>
        </w:tc>
        <w:tc>
          <w:tcPr>
            <w:tcW w:w="486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c>
          <w:tcPr>
            <w:tcW w:w="212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Jerrold D. Dotson</w:t>
            </w:r>
          </w:p>
        </w:tc>
        <w:tc>
          <w:tcPr>
            <w:tcW w:w="4860" w:type="dxa"/>
            <w:vAlign w:val="bottom"/>
          </w:tcPr>
          <w:p>
            <w:pPr>
              <w:ind w:left="560"/>
              <w:spacing w:after="0"/>
              <w:rPr>
                <w:sz w:val="20"/>
                <w:szCs w:val="20"/>
                <w:color w:val="auto"/>
              </w:rPr>
            </w:pPr>
            <w:r>
              <w:rPr>
                <w:rFonts w:ascii="Arial" w:cs="Arial" w:eastAsia="Arial" w:hAnsi="Arial"/>
                <w:sz w:val="18"/>
                <w:szCs w:val="18"/>
                <w:color w:val="auto"/>
              </w:rPr>
              <w:t>Vice President and Chief Financial Officer</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Jerrold D. Dotson</w:t>
            </w:r>
          </w:p>
        </w:tc>
        <w:tc>
          <w:tcPr>
            <w:tcW w:w="4860" w:type="dxa"/>
            <w:vAlign w:val="bottom"/>
          </w:tcPr>
          <w:p>
            <w:pPr>
              <w:ind w:left="560"/>
              <w:spacing w:after="0"/>
              <w:rPr>
                <w:sz w:val="20"/>
                <w:szCs w:val="20"/>
                <w:color w:val="auto"/>
              </w:rPr>
            </w:pPr>
            <w:r>
              <w:rPr>
                <w:rFonts w:ascii="Arial" w:cs="Arial" w:eastAsia="Arial" w:hAnsi="Arial"/>
                <w:sz w:val="18"/>
                <w:szCs w:val="18"/>
                <w:color w:val="auto"/>
              </w:rPr>
              <w:t>(Principal Financial and Accounting Officer)</w:t>
            </w:r>
          </w:p>
        </w:tc>
        <w:tc>
          <w:tcPr>
            <w:tcW w:w="212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Jon S. Saxe</w:t>
            </w:r>
          </w:p>
        </w:tc>
        <w:tc>
          <w:tcPr>
            <w:tcW w:w="4860" w:type="dxa"/>
            <w:vAlign w:val="bottom"/>
          </w:tcPr>
          <w:p>
            <w:pPr>
              <w:ind w:left="560"/>
              <w:spacing w:after="0"/>
              <w:rPr>
                <w:sz w:val="20"/>
                <w:szCs w:val="20"/>
                <w:color w:val="auto"/>
              </w:rPr>
            </w:pPr>
            <w:r>
              <w:rPr>
                <w:rFonts w:ascii="Arial" w:cs="Arial" w:eastAsia="Arial" w:hAnsi="Arial"/>
                <w:sz w:val="18"/>
                <w:szCs w:val="18"/>
                <w:color w:val="auto"/>
              </w:rPr>
              <w:t>Chairman of the Board of Directors</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Jon S. Saxe</w:t>
            </w:r>
          </w:p>
        </w:tc>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Ann M. Cunningham</w:t>
            </w:r>
          </w:p>
        </w:tc>
        <w:tc>
          <w:tcPr>
            <w:tcW w:w="486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Ann M. Cunningham</w:t>
            </w:r>
          </w:p>
        </w:tc>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Joanne Curley</w:t>
            </w:r>
          </w:p>
        </w:tc>
        <w:tc>
          <w:tcPr>
            <w:tcW w:w="486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Joanne Curley, Ph.D.</w:t>
            </w:r>
          </w:p>
        </w:tc>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Margaret M. FitzPatrick</w:t>
            </w:r>
          </w:p>
        </w:tc>
        <w:tc>
          <w:tcPr>
            <w:tcW w:w="486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Margaret M. FitzPatrick</w:t>
            </w:r>
          </w:p>
        </w:tc>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Jerry B. Gin</w:t>
            </w:r>
          </w:p>
        </w:tc>
        <w:tc>
          <w:tcPr>
            <w:tcW w:w="486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Jerry B. Gin, Ph.D.</w:t>
            </w:r>
          </w:p>
        </w:tc>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18"/>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Mary L. Rotunno</w:t>
            </w:r>
          </w:p>
        </w:tc>
        <w:tc>
          <w:tcPr>
            <w:tcW w:w="4860" w:type="dxa"/>
            <w:vAlign w:val="bottom"/>
          </w:tcPr>
          <w:p>
            <w:pPr>
              <w:ind w:left="560"/>
              <w:spacing w:after="0"/>
              <w:rPr>
                <w:sz w:val="20"/>
                <w:szCs w:val="20"/>
                <w:color w:val="auto"/>
              </w:rPr>
            </w:pPr>
            <w:r>
              <w:rPr>
                <w:rFonts w:ascii="Arial" w:cs="Arial" w:eastAsia="Arial" w:hAnsi="Arial"/>
                <w:sz w:val="18"/>
                <w:szCs w:val="18"/>
                <w:color w:val="auto"/>
              </w:rPr>
              <w:t>Director</w:t>
            </w:r>
          </w:p>
        </w:tc>
        <w:tc>
          <w:tcPr>
            <w:tcW w:w="2120" w:type="dxa"/>
            <w:vAlign w:val="bottom"/>
          </w:tcPr>
          <w:p>
            <w:pPr>
              <w:jc w:val="center"/>
              <w:ind w:left="970"/>
              <w:spacing w:after="0"/>
              <w:rPr>
                <w:sz w:val="20"/>
                <w:szCs w:val="20"/>
                <w:color w:val="auto"/>
              </w:rPr>
            </w:pPr>
            <w:r>
              <w:rPr>
                <w:rFonts w:ascii="Arial" w:cs="Arial" w:eastAsia="Arial" w:hAnsi="Arial"/>
                <w:sz w:val="18"/>
                <w:szCs w:val="18"/>
                <w:color w:val="auto"/>
                <w:w w:val="92"/>
              </w:rPr>
              <w:t>March 2, 2023</w:t>
            </w: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Mary L. Rotunno, J.D.</w:t>
            </w:r>
          </w:p>
        </w:tc>
        <w:tc>
          <w:tcPr>
            <w:tcW w:w="4860" w:type="dxa"/>
            <w:vAlign w:val="bottom"/>
          </w:tcPr>
          <w:p>
            <w:pPr>
              <w:spacing w:after="0"/>
              <w:rPr>
                <w:sz w:val="19"/>
                <w:szCs w:val="19"/>
                <w:color w:val="auto"/>
              </w:rPr>
            </w:pPr>
          </w:p>
        </w:tc>
        <w:tc>
          <w:tcPr>
            <w:tcW w:w="2120" w:type="dxa"/>
            <w:vAlign w:val="bottom"/>
          </w:tcPr>
          <w:p>
            <w:pPr>
              <w:spacing w:after="0"/>
              <w:rPr>
                <w:sz w:val="19"/>
                <w:szCs w:val="19"/>
                <w:color w:val="auto"/>
              </w:rPr>
            </w:pPr>
          </w:p>
        </w:tc>
      </w:tr>
    </w:tbl>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hereby consent to the incorporation by reference in the Prospectus constituting a part of this Registration Statement on Form S-3 of our report dated June 23, 2022, which includes an explanatory paragraph relating to Vistagen Therapeutics, Inc.’s ability to continue as a going concern, relating to the consolidated financial statements of Vistagen Therapeutics, Inc. appearing in the entity’s Annual Report on Form 10-K for the year ended March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on Form S-3 of our report dated June 29, 2021, relating to the consolidated financial statements of Vistagen Therapeutics, Inc. appearing in the entity’s Annual Report on Form 10-K for the year ended March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107</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Calculation of Filing Fee Tables</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Filing Fee</w:t>
            </w: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4"/>
              </w:rPr>
              <w:t>Previously</w:t>
            </w: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Paid in</w:t>
            </w: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6"/>
              </w:rPr>
              <w:t>Fee</w:t>
            </w:r>
          </w:p>
        </w:tc>
        <w:tc>
          <w:tcPr>
            <w:tcW w:w="9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87"/>
              </w:rPr>
              <w:t>Proposed</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1"/>
              </w:rPr>
              <w:t>Carry</w:t>
            </w:r>
          </w:p>
        </w:tc>
        <w:tc>
          <w:tcPr>
            <w:tcW w:w="940" w:type="dxa"/>
            <w:vAlign w:val="bottom"/>
          </w:tcPr>
          <w:p>
            <w:pPr>
              <w:jc w:val="center"/>
              <w:spacing w:after="0"/>
              <w:rPr>
                <w:sz w:val="20"/>
                <w:szCs w:val="20"/>
                <w:color w:val="auto"/>
              </w:rPr>
            </w:pPr>
            <w:r>
              <w:rPr>
                <w:rFonts w:ascii="Arial" w:cs="Arial" w:eastAsia="Arial" w:hAnsi="Arial"/>
                <w:sz w:val="16"/>
                <w:szCs w:val="16"/>
                <w:color w:val="auto"/>
                <w:w w:val="91"/>
              </w:rPr>
              <w:t>Connection</w:t>
            </w: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Calculation</w:t>
            </w:r>
          </w:p>
        </w:tc>
        <w:tc>
          <w:tcPr>
            <w:tcW w:w="9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Maximum</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Maximum</w:t>
            </w: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5"/>
              </w:rPr>
              <w:t>Forward</w:t>
            </w:r>
          </w:p>
        </w:tc>
        <w:tc>
          <w:tcPr>
            <w:tcW w:w="940" w:type="dxa"/>
            <w:vAlign w:val="bottom"/>
          </w:tcPr>
          <w:p>
            <w:pPr>
              <w:jc w:val="center"/>
              <w:spacing w:after="0"/>
              <w:rPr>
                <w:sz w:val="20"/>
                <w:szCs w:val="20"/>
                <w:color w:val="auto"/>
              </w:rPr>
            </w:pPr>
            <w:r>
              <w:rPr>
                <w:rFonts w:ascii="Arial" w:cs="Arial" w:eastAsia="Arial" w:hAnsi="Arial"/>
                <w:sz w:val="16"/>
                <w:szCs w:val="16"/>
                <w:color w:val="auto"/>
                <w:w w:val="96"/>
              </w:rPr>
              <w:t>with Unsold</w:t>
            </w: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3"/>
              </w:rPr>
              <w:t>or Carry</w:t>
            </w:r>
          </w:p>
        </w:tc>
        <w:tc>
          <w:tcPr>
            <w:tcW w:w="9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8"/>
              </w:rPr>
              <w:t>Offering</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Aggregate</w:t>
            </w:r>
          </w:p>
        </w:tc>
        <w:tc>
          <w:tcPr>
            <w:tcW w:w="8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w w:val="95"/>
              </w:rPr>
              <w:t>Amount of</w:t>
            </w: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Carry</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Carry</w:t>
            </w:r>
          </w:p>
        </w:tc>
        <w:tc>
          <w:tcPr>
            <w:tcW w:w="800" w:type="dxa"/>
            <w:vAlign w:val="bottom"/>
          </w:tcPr>
          <w:p>
            <w:pPr>
              <w:jc w:val="center"/>
              <w:ind w:left="19"/>
              <w:spacing w:after="0"/>
              <w:rPr>
                <w:sz w:val="20"/>
                <w:szCs w:val="20"/>
                <w:color w:val="auto"/>
              </w:rPr>
            </w:pPr>
            <w:r>
              <w:rPr>
                <w:rFonts w:ascii="Arial" w:cs="Arial" w:eastAsia="Arial" w:hAnsi="Arial"/>
                <w:sz w:val="16"/>
                <w:szCs w:val="16"/>
                <w:color w:val="auto"/>
              </w:rPr>
              <w:t>Initial</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Securities to</w:t>
            </w:r>
          </w:p>
        </w:tc>
      </w:tr>
      <w:tr>
        <w:trPr>
          <w:trHeight w:val="203"/>
        </w:trPr>
        <w:tc>
          <w:tcPr>
            <w:tcW w:w="820" w:type="dxa"/>
            <w:vAlign w:val="bottom"/>
          </w:tcPr>
          <w:p>
            <w:pPr>
              <w:spacing w:after="0"/>
              <w:rPr>
                <w:sz w:val="17"/>
                <w:szCs w:val="17"/>
                <w:color w:val="auto"/>
              </w:rPr>
            </w:pPr>
          </w:p>
        </w:tc>
        <w:tc>
          <w:tcPr>
            <w:tcW w:w="800" w:type="dxa"/>
            <w:vAlign w:val="bottom"/>
          </w:tcPr>
          <w:p>
            <w:pPr>
              <w:jc w:val="center"/>
              <w:ind w:left="59"/>
              <w:spacing w:after="0"/>
              <w:rPr>
                <w:sz w:val="20"/>
                <w:szCs w:val="20"/>
                <w:color w:val="auto"/>
              </w:rPr>
            </w:pPr>
            <w:r>
              <w:rPr>
                <w:rFonts w:ascii="Arial" w:cs="Arial" w:eastAsia="Arial" w:hAnsi="Arial"/>
                <w:sz w:val="16"/>
                <w:szCs w:val="16"/>
                <w:color w:val="auto"/>
                <w:w w:val="93"/>
              </w:rPr>
              <w:t>Security</w:t>
            </w:r>
          </w:p>
        </w:tc>
        <w:tc>
          <w:tcPr>
            <w:tcW w:w="940" w:type="dxa"/>
            <w:vAlign w:val="bottom"/>
          </w:tcPr>
          <w:p>
            <w:pPr>
              <w:ind w:left="240"/>
              <w:spacing w:after="0"/>
              <w:rPr>
                <w:sz w:val="20"/>
                <w:szCs w:val="20"/>
                <w:color w:val="auto"/>
              </w:rPr>
            </w:pPr>
            <w:r>
              <w:rPr>
                <w:rFonts w:ascii="Arial" w:cs="Arial" w:eastAsia="Arial" w:hAnsi="Arial"/>
                <w:sz w:val="16"/>
                <w:szCs w:val="16"/>
                <w:color w:val="auto"/>
              </w:rPr>
              <w:t>Security</w:t>
            </w: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Forward</w:t>
            </w:r>
          </w:p>
        </w:tc>
        <w:tc>
          <w:tcPr>
            <w:tcW w:w="980" w:type="dxa"/>
            <w:vAlign w:val="bottom"/>
          </w:tcPr>
          <w:p>
            <w:pPr>
              <w:ind w:left="240"/>
              <w:spacing w:after="0"/>
              <w:rPr>
                <w:sz w:val="20"/>
                <w:szCs w:val="20"/>
                <w:color w:val="auto"/>
              </w:rPr>
            </w:pPr>
            <w:r>
              <w:rPr>
                <w:rFonts w:ascii="Arial" w:cs="Arial" w:eastAsia="Arial" w:hAnsi="Arial"/>
                <w:sz w:val="16"/>
                <w:szCs w:val="16"/>
                <w:color w:val="auto"/>
              </w:rPr>
              <w:t>Amount</w:t>
            </w:r>
          </w:p>
        </w:tc>
        <w:tc>
          <w:tcPr>
            <w:tcW w:w="860" w:type="dxa"/>
            <w:vAlign w:val="bottom"/>
          </w:tcPr>
          <w:p>
            <w:pPr>
              <w:jc w:val="center"/>
              <w:spacing w:after="0"/>
              <w:rPr>
                <w:sz w:val="20"/>
                <w:szCs w:val="20"/>
                <w:color w:val="auto"/>
              </w:rPr>
            </w:pPr>
            <w:r>
              <w:rPr>
                <w:rFonts w:ascii="Arial" w:cs="Arial" w:eastAsia="Arial" w:hAnsi="Arial"/>
                <w:sz w:val="16"/>
                <w:szCs w:val="16"/>
                <w:color w:val="auto"/>
                <w:w w:val="88"/>
              </w:rPr>
              <w:t>Price Per</w:t>
            </w:r>
          </w:p>
        </w:tc>
        <w:tc>
          <w:tcPr>
            <w:tcW w:w="840" w:type="dxa"/>
            <w:vAlign w:val="bottom"/>
          </w:tcPr>
          <w:p>
            <w:pPr>
              <w:jc w:val="center"/>
              <w:spacing w:after="0"/>
              <w:rPr>
                <w:sz w:val="20"/>
                <w:szCs w:val="20"/>
                <w:color w:val="auto"/>
              </w:rPr>
            </w:pPr>
            <w:r>
              <w:rPr>
                <w:rFonts w:ascii="Arial" w:cs="Arial" w:eastAsia="Arial" w:hAnsi="Arial"/>
                <w:sz w:val="16"/>
                <w:szCs w:val="16"/>
                <w:color w:val="auto"/>
                <w:w w:val="98"/>
              </w:rPr>
              <w:t>Offering</w:t>
            </w:r>
          </w:p>
        </w:tc>
        <w:tc>
          <w:tcPr>
            <w:tcW w:w="860" w:type="dxa"/>
            <w:vAlign w:val="bottom"/>
          </w:tcPr>
          <w:p>
            <w:pPr>
              <w:jc w:val="center"/>
              <w:spacing w:after="0"/>
              <w:rPr>
                <w:sz w:val="20"/>
                <w:szCs w:val="20"/>
                <w:color w:val="auto"/>
              </w:rPr>
            </w:pPr>
            <w:r>
              <w:rPr>
                <w:rFonts w:ascii="Arial" w:cs="Arial" w:eastAsia="Arial" w:hAnsi="Arial"/>
                <w:sz w:val="16"/>
                <w:szCs w:val="16"/>
                <w:color w:val="auto"/>
                <w:w w:val="86"/>
              </w:rPr>
              <w:t>Fee</w:t>
            </w:r>
          </w:p>
        </w:tc>
        <w:tc>
          <w:tcPr>
            <w:tcW w:w="860" w:type="dxa"/>
            <w:vAlign w:val="bottom"/>
          </w:tcPr>
          <w:p>
            <w:pPr>
              <w:jc w:val="center"/>
              <w:spacing w:after="0"/>
              <w:rPr>
                <w:sz w:val="20"/>
                <w:szCs w:val="20"/>
                <w:color w:val="auto"/>
              </w:rPr>
            </w:pPr>
            <w:r>
              <w:rPr>
                <w:rFonts w:ascii="Arial" w:cs="Arial" w:eastAsia="Arial" w:hAnsi="Arial"/>
                <w:sz w:val="16"/>
                <w:szCs w:val="16"/>
                <w:color w:val="auto"/>
                <w:w w:val="91"/>
              </w:rPr>
              <w:t>Registration</w:t>
            </w:r>
          </w:p>
        </w:tc>
        <w:tc>
          <w:tcPr>
            <w:tcW w:w="840" w:type="dxa"/>
            <w:vAlign w:val="bottom"/>
          </w:tcPr>
          <w:p>
            <w:pPr>
              <w:jc w:val="center"/>
              <w:spacing w:after="0"/>
              <w:rPr>
                <w:sz w:val="20"/>
                <w:szCs w:val="20"/>
                <w:color w:val="auto"/>
              </w:rPr>
            </w:pPr>
            <w:r>
              <w:rPr>
                <w:rFonts w:ascii="Arial" w:cs="Arial" w:eastAsia="Arial" w:hAnsi="Arial"/>
                <w:sz w:val="16"/>
                <w:szCs w:val="16"/>
                <w:color w:val="auto"/>
                <w:w w:val="95"/>
              </w:rPr>
              <w:t>Forward</w:t>
            </w:r>
          </w:p>
        </w:tc>
        <w:tc>
          <w:tcPr>
            <w:tcW w:w="880" w:type="dxa"/>
            <w:vAlign w:val="bottom"/>
          </w:tcPr>
          <w:p>
            <w:pPr>
              <w:jc w:val="center"/>
              <w:spacing w:after="0"/>
              <w:rPr>
                <w:sz w:val="20"/>
                <w:szCs w:val="20"/>
                <w:color w:val="auto"/>
              </w:rPr>
            </w:pPr>
            <w:r>
              <w:rPr>
                <w:rFonts w:ascii="Arial" w:cs="Arial" w:eastAsia="Arial" w:hAnsi="Arial"/>
                <w:sz w:val="16"/>
                <w:szCs w:val="16"/>
                <w:color w:val="auto"/>
                <w:w w:val="94"/>
              </w:rPr>
              <w:t>Forward File</w:t>
            </w:r>
          </w:p>
        </w:tc>
        <w:tc>
          <w:tcPr>
            <w:tcW w:w="800" w:type="dxa"/>
            <w:vAlign w:val="bottom"/>
          </w:tcPr>
          <w:p>
            <w:pPr>
              <w:jc w:val="center"/>
              <w:spacing w:after="0"/>
              <w:rPr>
                <w:sz w:val="20"/>
                <w:szCs w:val="20"/>
                <w:color w:val="auto"/>
              </w:rPr>
            </w:pPr>
            <w:r>
              <w:rPr>
                <w:rFonts w:ascii="Arial" w:cs="Arial" w:eastAsia="Arial" w:hAnsi="Arial"/>
                <w:sz w:val="16"/>
                <w:szCs w:val="16"/>
                <w:color w:val="auto"/>
                <w:w w:val="97"/>
              </w:rPr>
              <w:t>Effective</w:t>
            </w:r>
          </w:p>
        </w:tc>
        <w:tc>
          <w:tcPr>
            <w:tcW w:w="940" w:type="dxa"/>
            <w:vAlign w:val="bottom"/>
          </w:tcPr>
          <w:p>
            <w:pPr>
              <w:jc w:val="center"/>
              <w:spacing w:after="0"/>
              <w:rPr>
                <w:sz w:val="20"/>
                <w:szCs w:val="20"/>
                <w:color w:val="auto"/>
              </w:rPr>
            </w:pPr>
            <w:r>
              <w:rPr>
                <w:rFonts w:ascii="Arial" w:cs="Arial" w:eastAsia="Arial" w:hAnsi="Arial"/>
                <w:sz w:val="16"/>
                <w:szCs w:val="16"/>
                <w:color w:val="auto"/>
                <w:w w:val="90"/>
              </w:rPr>
              <w:t>be Carried</w:t>
            </w:r>
          </w:p>
        </w:tc>
      </w:tr>
      <w:tr>
        <w:trPr>
          <w:trHeight w:val="209"/>
        </w:trPr>
        <w:tc>
          <w:tcPr>
            <w:tcW w:w="8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89"/>
              </w:rPr>
              <w:t>Type</w:t>
            </w: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Class Title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Rule</w:t>
            </w: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2"/>
              </w:rPr>
              <w:t>Registered(1)</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Unit(2)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Price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Rate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79"/>
              </w:rPr>
              <w:t>Fee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Form Type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Number</w:t>
            </w:r>
          </w:p>
        </w:tc>
        <w:tc>
          <w:tcPr>
            <w:tcW w:w="8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8"/>
              </w:rPr>
              <w:t>Date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Forward</w:t>
            </w:r>
          </w:p>
        </w:tc>
      </w:tr>
      <w:tr>
        <w:trPr>
          <w:trHeight w:val="392"/>
        </w:trPr>
        <w:tc>
          <w:tcPr>
            <w:tcW w:w="820" w:type="dxa"/>
            <w:vAlign w:val="bottom"/>
          </w:tcPr>
          <w:p>
            <w:pPr>
              <w:jc w:val="center"/>
              <w:spacing w:after="0"/>
              <w:rPr>
                <w:sz w:val="20"/>
                <w:szCs w:val="20"/>
                <w:color w:val="auto"/>
              </w:rPr>
            </w:pPr>
            <w:r>
              <w:rPr>
                <w:rFonts w:ascii="Arial" w:cs="Arial" w:eastAsia="Arial" w:hAnsi="Arial"/>
                <w:sz w:val="16"/>
                <w:szCs w:val="16"/>
                <w:color w:val="auto"/>
                <w:w w:val="96"/>
              </w:rPr>
              <w:t>Newly</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20" w:type="dxa"/>
            <w:vAlign w:val="bottom"/>
          </w:tcPr>
          <w:p>
            <w:pPr>
              <w:jc w:val="center"/>
              <w:spacing w:after="0"/>
              <w:rPr>
                <w:sz w:val="20"/>
                <w:szCs w:val="20"/>
                <w:color w:val="auto"/>
              </w:rPr>
            </w:pPr>
            <w:r>
              <w:rPr>
                <w:rFonts w:ascii="Arial" w:cs="Arial" w:eastAsia="Arial" w:hAnsi="Arial"/>
                <w:sz w:val="16"/>
                <w:szCs w:val="16"/>
                <w:color w:val="auto"/>
                <w:w w:val="90"/>
              </w:rPr>
              <w:t>Registered</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Securities</w:t>
            </w: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89"/>
        </w:trPr>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w:t>
            </w: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3"/>
        </w:trPr>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Stock, par</w:t>
            </w: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Fees to Be</w:t>
            </w: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1"/>
              </w:rPr>
              <w:t>value $0.001</w:t>
            </w: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2"/>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Paid</w:t>
            </w:r>
          </w:p>
        </w:tc>
        <w:tc>
          <w:tcPr>
            <w:tcW w:w="80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8"/>
              </w:rPr>
              <w:t>Equity</w:t>
            </w:r>
          </w:p>
        </w:tc>
        <w:tc>
          <w:tcPr>
            <w:tcW w:w="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per share</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457(c)</w:t>
            </w:r>
          </w:p>
        </w:tc>
        <w:tc>
          <w:tcPr>
            <w:tcW w:w="980" w:type="dxa"/>
            <w:vAlign w:val="bottom"/>
            <w:shd w:val="clear" w:color="auto" w:fill="CCEEFF"/>
          </w:tcPr>
          <w:p>
            <w:pPr>
              <w:ind w:left="260"/>
              <w:spacing w:after="0"/>
              <w:rPr>
                <w:sz w:val="20"/>
                <w:szCs w:val="20"/>
                <w:color w:val="auto"/>
              </w:rPr>
            </w:pPr>
            <w:r>
              <w:rPr>
                <w:rFonts w:ascii="Arial" w:cs="Arial" w:eastAsia="Arial" w:hAnsi="Arial"/>
                <w:sz w:val="16"/>
                <w:szCs w:val="16"/>
                <w:color w:val="auto"/>
                <w:w w:val="87"/>
              </w:rPr>
              <w:t>12,410,100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$0.1770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$2,196,588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0.0001102</w:t>
            </w:r>
          </w:p>
        </w:tc>
        <w:tc>
          <w:tcPr>
            <w:tcW w:w="8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84"/>
              </w:rPr>
              <w:t>$243</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3"/>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Fees</w:t>
            </w: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3"/>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Previously</w:t>
            </w: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2"/>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Paid</w:t>
            </w:r>
          </w:p>
        </w:tc>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7"/>
              </w:rPr>
              <w:t>—</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395"/>
        </w:trPr>
        <w:tc>
          <w:tcPr>
            <w:tcW w:w="820" w:type="dxa"/>
            <w:vAlign w:val="bottom"/>
          </w:tcPr>
          <w:p>
            <w:pPr>
              <w:jc w:val="center"/>
              <w:spacing w:after="0"/>
              <w:rPr>
                <w:sz w:val="20"/>
                <w:szCs w:val="20"/>
                <w:color w:val="auto"/>
              </w:rPr>
            </w:pPr>
            <w:r>
              <w:rPr>
                <w:rFonts w:ascii="Arial" w:cs="Arial" w:eastAsia="Arial" w:hAnsi="Arial"/>
                <w:sz w:val="16"/>
                <w:szCs w:val="16"/>
                <w:color w:val="auto"/>
                <w:w w:val="97"/>
              </w:rPr>
              <w:t>Carry</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820" w:type="dxa"/>
            <w:vAlign w:val="bottom"/>
          </w:tcPr>
          <w:p>
            <w:pPr>
              <w:jc w:val="center"/>
              <w:spacing w:after="0"/>
              <w:rPr>
                <w:sz w:val="20"/>
                <w:szCs w:val="20"/>
                <w:color w:val="auto"/>
              </w:rPr>
            </w:pPr>
            <w:r>
              <w:rPr>
                <w:rFonts w:ascii="Arial" w:cs="Arial" w:eastAsia="Arial" w:hAnsi="Arial"/>
                <w:sz w:val="16"/>
                <w:szCs w:val="16"/>
                <w:color w:val="auto"/>
                <w:w w:val="91"/>
              </w:rPr>
              <w:t>Forward</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9"/>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Securities</w:t>
            </w: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89"/>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Carry</w:t>
            </w: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3"/>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Forward</w:t>
            </w: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2"/>
        </w:trPr>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7"/>
              </w:rPr>
              <w:t>—</w:t>
            </w:r>
          </w:p>
        </w:tc>
        <w:tc>
          <w:tcPr>
            <w:tcW w:w="8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99"/>
              </w:rPr>
              <w:t>—</w:t>
            </w: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40" w:type="dxa"/>
            <w:vAlign w:val="bottom"/>
            <w:gridSpan w:val="3"/>
          </w:tcPr>
          <w:p>
            <w:pPr>
              <w:jc w:val="center"/>
              <w:ind w:right="679"/>
              <w:spacing w:after="0"/>
              <w:rPr>
                <w:sz w:val="20"/>
                <w:szCs w:val="20"/>
                <w:color w:val="auto"/>
              </w:rPr>
            </w:pPr>
            <w:r>
              <w:rPr>
                <w:rFonts w:ascii="Arial" w:cs="Arial" w:eastAsia="Arial" w:hAnsi="Arial"/>
                <w:sz w:val="16"/>
                <w:szCs w:val="16"/>
                <w:b w:val="1"/>
                <w:bCs w:val="1"/>
                <w:color w:val="auto"/>
                <w:w w:val="92"/>
              </w:rPr>
              <w:t>Total Offering Amounts</w:t>
            </w:r>
          </w:p>
        </w:tc>
        <w:tc>
          <w:tcPr>
            <w:tcW w:w="8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$2,196,588</w:t>
            </w:r>
          </w:p>
        </w:tc>
        <w:tc>
          <w:tcPr>
            <w:tcW w:w="860" w:type="dxa"/>
            <w:vAlign w:val="bottom"/>
          </w:tcPr>
          <w:p>
            <w:pPr>
              <w:spacing w:after="0"/>
              <w:rPr>
                <w:sz w:val="17"/>
                <w:szCs w:val="17"/>
                <w:color w:val="auto"/>
              </w:rPr>
            </w:pPr>
          </w:p>
        </w:tc>
        <w:tc>
          <w:tcPr>
            <w:tcW w:w="860" w:type="dxa"/>
            <w:vAlign w:val="bottom"/>
          </w:tcPr>
          <w:p>
            <w:pPr>
              <w:ind w:left="540"/>
              <w:spacing w:after="0"/>
              <w:rPr>
                <w:sz w:val="20"/>
                <w:szCs w:val="20"/>
                <w:color w:val="auto"/>
              </w:rPr>
            </w:pPr>
            <w:r>
              <w:rPr>
                <w:rFonts w:ascii="Arial" w:cs="Arial" w:eastAsia="Arial" w:hAnsi="Arial"/>
                <w:sz w:val="16"/>
                <w:szCs w:val="16"/>
                <w:color w:val="auto"/>
                <w:w w:val="84"/>
              </w:rPr>
              <w:t>$243</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740" w:type="dxa"/>
            <w:vAlign w:val="bottom"/>
            <w:gridSpan w:val="3"/>
            <w:shd w:val="clear" w:color="auto" w:fill="CCEEFF"/>
          </w:tcPr>
          <w:p>
            <w:pPr>
              <w:ind w:left="80"/>
              <w:spacing w:after="0"/>
              <w:rPr>
                <w:sz w:val="20"/>
                <w:szCs w:val="20"/>
                <w:color w:val="auto"/>
              </w:rPr>
            </w:pPr>
            <w:r>
              <w:rPr>
                <w:rFonts w:ascii="Arial" w:cs="Arial" w:eastAsia="Arial" w:hAnsi="Arial"/>
                <w:sz w:val="16"/>
                <w:szCs w:val="16"/>
                <w:b w:val="1"/>
                <w:bCs w:val="1"/>
                <w:color w:val="auto"/>
              </w:rPr>
              <w:t>Total Fees Previously Paid</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6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89"/>
              </w:rPr>
              <w:t>Total Fee Offsets</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center"/>
              <w:ind w:left="159"/>
              <w:spacing w:after="0"/>
              <w:rPr>
                <w:sz w:val="20"/>
                <w:szCs w:val="20"/>
                <w:color w:val="auto"/>
              </w:rPr>
            </w:pPr>
            <w:r>
              <w:rPr>
                <w:rFonts w:ascii="Arial" w:cs="Arial" w:eastAsia="Arial" w:hAnsi="Arial"/>
                <w:sz w:val="16"/>
                <w:szCs w:val="16"/>
                <w:b w:val="1"/>
                <w:bCs w:val="1"/>
                <w:color w:val="auto"/>
                <w:w w:val="90"/>
              </w:rPr>
              <w:t>Net Fee Due</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ind w:left="540"/>
              <w:spacing w:after="0"/>
              <w:rPr>
                <w:sz w:val="20"/>
                <w:szCs w:val="20"/>
                <w:color w:val="auto"/>
              </w:rPr>
            </w:pPr>
            <w:r>
              <w:rPr>
                <w:rFonts w:ascii="Arial" w:cs="Arial" w:eastAsia="Arial" w:hAnsi="Arial"/>
                <w:sz w:val="16"/>
                <w:szCs w:val="16"/>
                <w:b w:val="1"/>
                <w:bCs w:val="1"/>
                <w:color w:val="auto"/>
                <w:w w:val="84"/>
              </w:rPr>
              <w:t>$243</w:t>
            </w:r>
          </w:p>
        </w:tc>
        <w:tc>
          <w:tcPr>
            <w:tcW w:w="8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bl>
    <w:p>
      <w:pPr>
        <w:spacing w:after="0" w:line="206" w:lineRule="exact"/>
        <w:rPr>
          <w:sz w:val="20"/>
          <w:szCs w:val="20"/>
          <w:color w:val="auto"/>
        </w:rPr>
      </w:pPr>
    </w:p>
    <w:p>
      <w:pPr>
        <w:ind w:left="1120" w:right="500" w:hanging="788"/>
        <w:spacing w:after="0" w:line="278"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Pursuant to Rule 416 under the Securities Act, this registration statement shall be deemed to cover the additional securities of the same class as the securities covered by this registration statement issued or issuable prior to completion of the distribution of the securities covered by this registration statement as a result of a split of, or a stock dividend on, the registered securities.</w:t>
      </w:r>
    </w:p>
    <w:p>
      <w:pPr>
        <w:spacing w:after="0" w:line="170" w:lineRule="exact"/>
        <w:rPr>
          <w:rFonts w:ascii="Arial" w:cs="Arial" w:eastAsia="Arial" w:hAnsi="Arial"/>
          <w:sz w:val="16"/>
          <w:szCs w:val="16"/>
          <w:color w:val="auto"/>
        </w:rPr>
      </w:pPr>
    </w:p>
    <w:p>
      <w:pPr>
        <w:ind w:left="1120" w:right="220" w:hanging="788"/>
        <w:spacing w:after="0" w:line="293"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under the Securities Act, based on the average of the high and low prices of the Registrant’s common stock as reported by The Nasdaq Capital Market on February 28,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07"/>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3"/>
    </w:lvl>
    <w:lvl w:ilvl="1">
      <w:lvlJc w:val="left"/>
      <w:lvlText w:val="(%2)"/>
      <w:numFmt w:val="lowerRoman"/>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1" Type="http://schemas.openxmlformats.org/officeDocument/2006/relationships/image" Target="media/image11.png"/><Relationship Id="rId42" Type="http://schemas.openxmlformats.org/officeDocument/2006/relationships/image" Target="media/image12.png"/><Relationship Id="rId43" Type="http://schemas.openxmlformats.org/officeDocument/2006/relationships/image" Target="media/image13.png"/><Relationship Id="rId44" Type="http://schemas.openxmlformats.org/officeDocument/2006/relationships/image" Target="media/image14.png"/><Relationship Id="rId45" Type="http://schemas.openxmlformats.org/officeDocument/2006/relationships/image" Target="media/image15.png"/><Relationship Id="rId46" Type="http://schemas.openxmlformats.org/officeDocument/2006/relationships/image" Target="media/image16.png"/><Relationship Id="rId47" Type="http://schemas.openxmlformats.org/officeDocument/2006/relationships/image" Target="media/image17.png"/><Relationship Id="rId48" Type="http://schemas.openxmlformats.org/officeDocument/2006/relationships/image" Target="media/image18.png"/><Relationship Id="rId49" Type="http://schemas.openxmlformats.org/officeDocument/2006/relationships/image" Target="media/image19.png"/><Relationship Id="rId50" Type="http://schemas.openxmlformats.org/officeDocument/2006/relationships/image" Target="media/image20.png"/><Relationship Id="rId51" Type="http://schemas.openxmlformats.org/officeDocument/2006/relationships/image" Target="media/image21.png"/><Relationship Id="rId52" Type="http://schemas.openxmlformats.org/officeDocument/2006/relationships/image" Target="media/image22.png"/><Relationship Id="rId53" Type="http://schemas.openxmlformats.org/officeDocument/2006/relationships/image" Target="media/image23.png"/><Relationship Id="rId54" Type="http://schemas.openxmlformats.org/officeDocument/2006/relationships/image" Target="media/image24.png"/><Relationship Id="rId55" Type="http://schemas.openxmlformats.org/officeDocument/2006/relationships/image" Target="media/image25.png"/><Relationship Id="rId56" Type="http://schemas.openxmlformats.org/officeDocument/2006/relationships/image" Target="media/image26.jpeg"/><Relationship Id="rId57" Type="http://schemas.openxmlformats.org/officeDocument/2006/relationships/image" Target="media/image27.png"/><Relationship Id="rId58" Type="http://schemas.openxmlformats.org/officeDocument/2006/relationships/image" Target="media/image28.png"/><Relationship Id="rId64" Type="http://schemas.openxmlformats.org/officeDocument/2006/relationships/image" Target="media/image29.png"/><Relationship Id="rId65" Type="http://schemas.openxmlformats.org/officeDocument/2006/relationships/image" Target="media/image30.png"/><Relationship Id="rId18" Type="http://schemas.openxmlformats.org/officeDocument/2006/relationships/hyperlink" Target="http://www.sec.gov/ix?doc=/Archives/edgar/data/1411685/000185173422000349/vtgn20220331_10k.htm" TargetMode="External"/><Relationship Id="rId19" Type="http://schemas.openxmlformats.org/officeDocument/2006/relationships/hyperlink" Target="http://www.sec.gov/ix?doc=/Archives/edgar/data/1411685/000185173422000432/vtgn20220630_10q.htm" TargetMode="External"/><Relationship Id="rId20" Type="http://schemas.openxmlformats.org/officeDocument/2006/relationships/hyperlink" Target="http://www.sec.gov/ix?doc=/Archives/edgar/data/1411685/000185173422000662/vtgn20220930_10q.htm" TargetMode="External"/><Relationship Id="rId21" Type="http://schemas.openxmlformats.org/officeDocument/2006/relationships/hyperlink" Target="http://www.sec.gov/ix?doc=/Archives/edgar/data/1411685/000185173423000035/vtgn20221231_10q.htm" TargetMode="External"/><Relationship Id="rId22" Type="http://schemas.openxmlformats.org/officeDocument/2006/relationships/hyperlink" Target="http://www.sec.gov/ix?doc=/Archives/edgar/data/1411685/000143774922008855/vtgn20220412_8k.htm" TargetMode="External"/><Relationship Id="rId23" Type="http://schemas.openxmlformats.org/officeDocument/2006/relationships/hyperlink" Target="http://www.sec.gov/ix?doc=/Archives/edgar/data/1411685/000143774922009449/vtgn20220421_8k.htm" TargetMode="External"/><Relationship Id="rId24" Type="http://schemas.openxmlformats.org/officeDocument/2006/relationships/hyperlink" Target="http://www.sec.gov/ix?doc=/Archives/edgar/data/1411685/000143774922010697/vtgn20220502_8k.htm" TargetMode="External"/><Relationship Id="rId25" Type="http://schemas.openxmlformats.org/officeDocument/2006/relationships/hyperlink" Target="http://www.sec.gov/ix?doc=/Archives/edgar/data/1411685/000143774922011170/vtgn20220505_8k.htm" TargetMode="External"/><Relationship Id="rId26" Type="http://schemas.openxmlformats.org/officeDocument/2006/relationships/hyperlink" Target="http://www.sec.gov/ix?doc=/Archives/edgar/data/1411685/000185173422000341/vtgn20220622_8k.htm" TargetMode="External"/><Relationship Id="rId27" Type="http://schemas.openxmlformats.org/officeDocument/2006/relationships/hyperlink" Target="http://www.sec.gov/ix?doc=/Archives/edgar/data/1411685/000185173422000390/vtgn20220721_8k.htm" TargetMode="External"/><Relationship Id="rId28" Type="http://schemas.openxmlformats.org/officeDocument/2006/relationships/hyperlink" Target="http://www.sec.gov/ix?doc=/Archives/edgar/data/1411685/000185173422000516/vtgn20220831_8k.htm" TargetMode="External"/><Relationship Id="rId29" Type="http://schemas.openxmlformats.org/officeDocument/2006/relationships/hyperlink" Target="http://www.sec.gov/ix?doc=/Archives/edgar/data/1411685/000185173422000545/vtgn20220906_8k.htm" TargetMode="External"/><Relationship Id="rId30" Type="http://schemas.openxmlformats.org/officeDocument/2006/relationships/hyperlink" Target="http://www.sec.gov/ix?doc=/Archives/edgar/data/1411685/000185173422000549/vtgn20220907_8k.htm" TargetMode="External"/><Relationship Id="rId31" Type="http://schemas.openxmlformats.org/officeDocument/2006/relationships/hyperlink" Target="http://www.sec.gov/ix?doc=/Archives/edgar/data/1411685/000185173422000591/vtgn20221006_8k.htm" TargetMode="External"/><Relationship Id="rId32" Type="http://schemas.openxmlformats.org/officeDocument/2006/relationships/hyperlink" Target="http://www.sec.gov/ix?doc=/Archives/edgar/data/1411685/000185173422000643/vtgn20221028_8k.htm" TargetMode="External"/><Relationship Id="rId33" Type="http://schemas.openxmlformats.org/officeDocument/2006/relationships/hyperlink" Target="http://www.sec.gov/ix?doc=/Archives/edgar/data/1411685/000185173422000697/vtgn20221121_8k.htm" TargetMode="External"/><Relationship Id="rId34" Type="http://schemas.openxmlformats.org/officeDocument/2006/relationships/hyperlink" Target="http://www.sec.gov/ix?doc=/Archives/edgar/data/1411685/000185173422000709/vtgn20221130_8k.htm" TargetMode="External"/><Relationship Id="rId35" Type="http://schemas.openxmlformats.org/officeDocument/2006/relationships/hyperlink" Target="http://www.sec.gov/ix?doc=/Archives/edgar/data/1411685/000185173422000719/vtgn20221206_8k.htm" TargetMode="External"/><Relationship Id="rId36" Type="http://schemas.openxmlformats.org/officeDocument/2006/relationships/hyperlink" Target="http://www.sec.gov/ix?doc=/Archives/edgar/data/1411685/000185173422000740/vtgn20221220_8k.htm" TargetMode="External"/><Relationship Id="rId37" Type="http://schemas.openxmlformats.org/officeDocument/2006/relationships/hyperlink" Target="http://www.sec.gov/ix?doc=/Archives/edgar/data/1411685/000185173423000003/vtgn20230111_8k.htm" TargetMode="External"/><Relationship Id="rId38" Type="http://schemas.openxmlformats.org/officeDocument/2006/relationships/hyperlink" Target="http://www.sec.gov/ix?doc=/Archives/edgar/data/1411685/000185173423000021/vtgn20230124_8k.htm" TargetMode="External"/><Relationship Id="rId39" Type="http://schemas.openxmlformats.org/officeDocument/2006/relationships/hyperlink" Target="http://www.sec.gov/ix?doc=/Archives/edgar/data/1411685/000185173423000029/vtgn20230201_8k.htm" TargetMode="External"/><Relationship Id="rId40" Type="http://schemas.openxmlformats.org/officeDocument/2006/relationships/hyperlink" Target="http://www.sec.gov/ix?doc=/Archives/edgar/data/1411685/000143774923005131/vtgn20230301_8k.htm" TargetMode="External"/><Relationship Id="rId59" Type="http://schemas.openxmlformats.org/officeDocument/2006/relationships/hyperlink" Target="http://www.sec.gov/Archives/edgar/data/1411685/000185173422000740/ex_458079.htm" TargetMode="External"/><Relationship Id="rId60" Type="http://schemas.openxmlformats.org/officeDocument/2006/relationships/hyperlink" Target="http://www.sec.gov/Archives/edgar/data/1411685/000141588916006879/ex3-1.htm" TargetMode="External"/><Relationship Id="rId61" Type="http://schemas.openxmlformats.org/officeDocument/2006/relationships/hyperlink" Target="http://www.sec.gov/Archives/edgar/data/1411685/000165495417008632/ex3-1.htm" TargetMode="External"/><Relationship Id="rId62" Type="http://schemas.openxmlformats.org/officeDocument/2006/relationships/hyperlink" Target="http://www.sec.gov/Archives/edgar/data/1411685/000165495419010432/ex3-1.htm" TargetMode="External"/><Relationship Id="rId63" Type="http://schemas.openxmlformats.org/officeDocument/2006/relationships/hyperlink" Target="http://www.sec.gov/Archives/edgar/data/1411685/000165495421002420/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2023-03-02T16:17:18Z</dcterms:created>
  <dcterms:modified xsi:type="dcterms:W3CDTF">2023-03-02T16:17:18Z</dcterms:modified>
</cp:coreProperties>
</file>