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46"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1680" w:right="1280" w:hanging="531"/>
        <w:spacing w:after="0" w:line="180" w:lineRule="auto"/>
        <w:tabs>
          <w:tab w:leader="none" w:pos="1680" w:val="left"/>
        </w:tabs>
        <w:numPr>
          <w:ilvl w:val="0"/>
          <w:numId w:val="1"/>
        </w:numPr>
        <w:rPr>
          <w:rFonts w:ascii="Arial" w:cs="Arial" w:eastAsia="Arial" w:hAnsi="Arial"/>
          <w:sz w:val="33"/>
          <w:szCs w:val="33"/>
          <w:b w:val="1"/>
          <w:bCs w:val="1"/>
          <w:color w:val="auto"/>
          <w:vertAlign w:val="subscript"/>
        </w:rPr>
      </w:pPr>
      <w:r>
        <w:rPr>
          <w:rFonts w:ascii="Arial" w:cs="Arial" w:eastAsia="Arial" w:hAnsi="Arial"/>
          <w:sz w:val="17"/>
          <w:szCs w:val="17"/>
          <w:b w:val="1"/>
          <w:bCs w:val="1"/>
          <w:color w:val="auto"/>
        </w:rPr>
        <w:t>QUARTERLY REPORT PURSUANT TO SECTION 13 OR 15(d) OF THE SECURITIES EXCHANGE ACT OF 1934</w:t>
      </w:r>
    </w:p>
    <w:p>
      <w:pPr>
        <w:spacing w:after="0" w:line="203"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June 30, 2010</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tbl>
      <w:tblPr>
        <w:tblLayout w:type="fixed"/>
        <w:tblInd w:w="1140" w:type="dxa"/>
        <w:tblCellMar>
          <w:top w:w="0" w:type="dxa"/>
          <w:left w:w="0" w:type="dxa"/>
          <w:bottom w:w="0" w:type="dxa"/>
          <w:right w:w="0" w:type="dxa"/>
        </w:tblCellMar>
      </w:tblPr>
      <w:tr>
        <w:trPr>
          <w:trHeight w:val="216"/>
        </w:trPr>
        <w:tc>
          <w:tcPr>
            <w:tcW w:w="320" w:type="dxa"/>
            <w:vAlign w:val="bottom"/>
            <w:vMerge w:val="restart"/>
          </w:tcPr>
          <w:p>
            <w:pPr>
              <w:spacing w:after="0"/>
              <w:rPr>
                <w:sz w:val="20"/>
                <w:szCs w:val="20"/>
                <w:color w:val="auto"/>
              </w:rPr>
            </w:pPr>
            <w:r>
              <w:rPr>
                <w:rFonts w:ascii="Arial" w:cs="Arial" w:eastAsia="Arial" w:hAnsi="Arial"/>
                <w:sz w:val="18"/>
                <w:szCs w:val="18"/>
                <w:b w:val="1"/>
                <w:bCs w:val="1"/>
                <w:color w:val="auto"/>
              </w:rPr>
              <w:t>[ ]</w:t>
            </w:r>
          </w:p>
        </w:tc>
        <w:tc>
          <w:tcPr>
            <w:tcW w:w="8700" w:type="dxa"/>
            <w:vAlign w:val="bottom"/>
            <w:gridSpan w:val="15"/>
          </w:tcPr>
          <w:p>
            <w:pPr>
              <w:ind w:left="220"/>
              <w:spacing w:after="0"/>
              <w:rPr>
                <w:sz w:val="20"/>
                <w:szCs w:val="20"/>
                <w:color w:val="auto"/>
              </w:rPr>
            </w:pPr>
            <w:r>
              <w:rPr>
                <w:rFonts w:ascii="Arial" w:cs="Arial" w:eastAsia="Arial" w:hAnsi="Arial"/>
                <w:sz w:val="18"/>
                <w:szCs w:val="18"/>
                <w:b w:val="1"/>
                <w:bCs w:val="1"/>
                <w:color w:val="auto"/>
                <w:w w:val="99"/>
              </w:rPr>
              <w:t>TRANSITION REPORT PURSUANT TO SECTION 13 OR 15(d) OF THE SECURITIES EXCHANGE ACT</w:t>
            </w:r>
          </w:p>
        </w:tc>
        <w:tc>
          <w:tcPr>
            <w:tcW w:w="0" w:type="dxa"/>
            <w:vAlign w:val="bottom"/>
          </w:tcPr>
          <w:p>
            <w:pPr>
              <w:spacing w:after="0"/>
              <w:rPr>
                <w:sz w:val="1"/>
                <w:szCs w:val="1"/>
                <w:color w:val="auto"/>
              </w:rPr>
            </w:pPr>
          </w:p>
        </w:tc>
      </w:tr>
      <w:tr>
        <w:trPr>
          <w:trHeight w:val="126"/>
        </w:trPr>
        <w:tc>
          <w:tcPr>
            <w:tcW w:w="320" w:type="dxa"/>
            <w:vAlign w:val="bottom"/>
            <w:vMerge w:val="continue"/>
          </w:tcPr>
          <w:p>
            <w:pPr>
              <w:spacing w:after="0"/>
              <w:rPr>
                <w:sz w:val="10"/>
                <w:szCs w:val="10"/>
                <w:color w:val="auto"/>
              </w:rPr>
            </w:pPr>
          </w:p>
        </w:tc>
        <w:tc>
          <w:tcPr>
            <w:tcW w:w="3700" w:type="dxa"/>
            <w:vAlign w:val="bottom"/>
            <w:gridSpan w:val="8"/>
            <w:vMerge w:val="restart"/>
          </w:tcPr>
          <w:p>
            <w:pPr>
              <w:ind w:left="220"/>
              <w:spacing w:after="0"/>
              <w:rPr>
                <w:sz w:val="20"/>
                <w:szCs w:val="20"/>
                <w:color w:val="auto"/>
              </w:rPr>
            </w:pPr>
            <w:r>
              <w:rPr>
                <w:rFonts w:ascii="Arial" w:cs="Arial" w:eastAsia="Arial" w:hAnsi="Arial"/>
                <w:sz w:val="18"/>
                <w:szCs w:val="18"/>
                <w:b w:val="1"/>
                <w:bCs w:val="1"/>
                <w:color w:val="auto"/>
              </w:rPr>
              <w:t>OF 1934</w:t>
            </w: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0" w:type="dxa"/>
            <w:vAlign w:val="bottom"/>
          </w:tcPr>
          <w:p>
            <w:pPr>
              <w:spacing w:after="0"/>
              <w:rPr>
                <w:sz w:val="9"/>
                <w:szCs w:val="9"/>
                <w:color w:val="auto"/>
              </w:rPr>
            </w:pPr>
          </w:p>
        </w:tc>
        <w:tc>
          <w:tcPr>
            <w:tcW w:w="3700" w:type="dxa"/>
            <w:vAlign w:val="bottom"/>
            <w:gridSpan w:val="8"/>
            <w:vMerge w:val="continue"/>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9020" w:type="dxa"/>
            <w:vAlign w:val="bottom"/>
            <w:gridSpan w:val="16"/>
          </w:tcPr>
          <w:p>
            <w:pPr>
              <w:spacing w:after="0"/>
              <w:rPr>
                <w:sz w:val="20"/>
                <w:szCs w:val="20"/>
                <w:color w:val="auto"/>
              </w:rPr>
            </w:pPr>
            <w:r>
              <w:rPr>
                <w:rFonts w:ascii="Arial" w:cs="Arial" w:eastAsia="Arial" w:hAnsi="Arial"/>
                <w:sz w:val="18"/>
                <w:szCs w:val="18"/>
                <w:color w:val="auto"/>
              </w:rPr>
              <w:t>For the transition period from ____________ to _____________</w:t>
            </w:r>
          </w:p>
        </w:tc>
        <w:tc>
          <w:tcPr>
            <w:tcW w:w="0" w:type="dxa"/>
            <w:vAlign w:val="bottom"/>
          </w:tcPr>
          <w:p>
            <w:pPr>
              <w:spacing w:after="0"/>
              <w:rPr>
                <w:sz w:val="1"/>
                <w:szCs w:val="1"/>
                <w:color w:val="auto"/>
              </w:rPr>
            </w:pPr>
          </w:p>
        </w:tc>
      </w:tr>
      <w:tr>
        <w:trPr>
          <w:trHeight w:val="392"/>
        </w:trPr>
        <w:tc>
          <w:tcPr>
            <w:tcW w:w="4020" w:type="dxa"/>
            <w:vAlign w:val="bottom"/>
            <w:gridSpan w:val="9"/>
          </w:tcPr>
          <w:p>
            <w:pPr>
              <w:spacing w:after="0"/>
              <w:rPr>
                <w:sz w:val="20"/>
                <w:szCs w:val="20"/>
                <w:color w:val="auto"/>
              </w:rPr>
            </w:pPr>
            <w:r>
              <w:rPr>
                <w:rFonts w:ascii="Arial" w:cs="Arial" w:eastAsia="Arial" w:hAnsi="Arial"/>
                <w:sz w:val="18"/>
                <w:szCs w:val="18"/>
                <w:color w:val="auto"/>
              </w:rPr>
              <w:t>Commission File Number: 333-145977</w:t>
            </w: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160" w:type="dxa"/>
            <w:vAlign w:val="bottom"/>
            <w:gridSpan w:val="8"/>
          </w:tcPr>
          <w:p>
            <w:pPr>
              <w:jc w:val="center"/>
              <w:ind w:right="2740"/>
              <w:spacing w:after="0"/>
              <w:rPr>
                <w:sz w:val="20"/>
                <w:szCs w:val="20"/>
                <w:color w:val="auto"/>
              </w:rPr>
            </w:pPr>
            <w:r>
              <w:rPr>
                <w:rFonts w:ascii="Arial" w:cs="Arial" w:eastAsia="Arial" w:hAnsi="Arial"/>
                <w:sz w:val="22"/>
                <w:szCs w:val="22"/>
                <w:b w:val="1"/>
                <w:bCs w:val="1"/>
                <w:color w:val="auto"/>
                <w:w w:val="97"/>
              </w:rPr>
              <w:t>EXCALIBER ENTERPRISES, LTD.</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80" w:type="dxa"/>
            <w:vAlign w:val="bottom"/>
            <w:gridSpan w:val="2"/>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580" w:type="dxa"/>
            <w:vAlign w:val="bottom"/>
            <w:gridSpan w:val="10"/>
          </w:tcPr>
          <w:p>
            <w:pPr>
              <w:jc w:val="center"/>
              <w:ind w:right="2300"/>
              <w:spacing w:after="0"/>
              <w:rPr>
                <w:sz w:val="20"/>
                <w:szCs w:val="20"/>
                <w:color w:val="auto"/>
              </w:rPr>
            </w:pPr>
            <w:r>
              <w:rPr>
                <w:rFonts w:ascii="Arial" w:cs="Arial" w:eastAsia="Arial" w:hAnsi="Arial"/>
                <w:sz w:val="18"/>
                <w:szCs w:val="18"/>
                <w:color w:val="auto"/>
                <w:w w:val="90"/>
              </w:rPr>
              <w:t>(Exact name of registrant as specified in its charter)</w:t>
            </w:r>
          </w:p>
        </w:tc>
        <w:tc>
          <w:tcPr>
            <w:tcW w:w="0" w:type="dxa"/>
            <w:vAlign w:val="bottom"/>
          </w:tcPr>
          <w:p>
            <w:pPr>
              <w:spacing w:after="0"/>
              <w:rPr>
                <w:sz w:val="1"/>
                <w:szCs w:val="1"/>
                <w:color w:val="auto"/>
              </w:rPr>
            </w:pPr>
          </w:p>
        </w:tc>
      </w:tr>
      <w:tr>
        <w:trPr>
          <w:trHeight w:val="392"/>
        </w:trPr>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Nevada</w:t>
            </w:r>
          </w:p>
        </w:tc>
        <w:tc>
          <w:tcPr>
            <w:tcW w:w="1900" w:type="dxa"/>
            <w:vAlign w:val="bottom"/>
            <w:gridSpan w:val="4"/>
          </w:tcPr>
          <w:p>
            <w:pPr>
              <w:spacing w:after="0"/>
              <w:rPr>
                <w:sz w:val="24"/>
                <w:szCs w:val="24"/>
                <w:color w:val="auto"/>
              </w:rPr>
            </w:pPr>
          </w:p>
        </w:tc>
        <w:tc>
          <w:tcPr>
            <w:tcW w:w="1940" w:type="dxa"/>
            <w:vAlign w:val="bottom"/>
            <w:gridSpan w:val="2"/>
          </w:tcPr>
          <w:p>
            <w:pPr>
              <w:spacing w:after="0"/>
              <w:rPr>
                <w:sz w:val="24"/>
                <w:szCs w:val="24"/>
                <w:color w:val="auto"/>
              </w:rPr>
            </w:pPr>
          </w:p>
        </w:tc>
        <w:tc>
          <w:tcPr>
            <w:tcW w:w="8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89"/>
              </w:rPr>
              <w:t>20-5093315</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20" w:type="dxa"/>
            <w:vAlign w:val="bottom"/>
            <w:gridSpan w:val="9"/>
          </w:tcPr>
          <w:p>
            <w:pPr>
              <w:jc w:val="center"/>
              <w:ind w:right="252"/>
              <w:spacing w:after="0"/>
              <w:rPr>
                <w:sz w:val="20"/>
                <w:szCs w:val="20"/>
                <w:color w:val="auto"/>
              </w:rPr>
            </w:pPr>
            <w:r>
              <w:rPr>
                <w:rFonts w:ascii="Arial" w:cs="Arial" w:eastAsia="Arial" w:hAnsi="Arial"/>
                <w:sz w:val="18"/>
                <w:szCs w:val="18"/>
                <w:color w:val="auto"/>
                <w:w w:val="92"/>
              </w:rPr>
              <w:t>(State or other jurisdiction of incorporation or</w:t>
            </w:r>
          </w:p>
        </w:tc>
        <w:tc>
          <w:tcPr>
            <w:tcW w:w="5000" w:type="dxa"/>
            <w:vAlign w:val="bottom"/>
            <w:gridSpan w:val="7"/>
          </w:tcPr>
          <w:p>
            <w:pPr>
              <w:jc w:val="center"/>
              <w:ind w:right="220"/>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0" w:type="dxa"/>
            <w:vAlign w:val="bottom"/>
            <w:gridSpan w:val="7"/>
          </w:tcPr>
          <w:p>
            <w:pPr>
              <w:jc w:val="center"/>
              <w:ind w:right="1452"/>
              <w:spacing w:after="0"/>
              <w:rPr>
                <w:sz w:val="20"/>
                <w:szCs w:val="20"/>
                <w:color w:val="auto"/>
              </w:rPr>
            </w:pPr>
            <w:r>
              <w:rPr>
                <w:rFonts w:ascii="Arial" w:cs="Arial" w:eastAsia="Arial" w:hAnsi="Arial"/>
                <w:sz w:val="18"/>
                <w:szCs w:val="18"/>
                <w:color w:val="auto"/>
                <w:w w:val="92"/>
              </w:rPr>
              <w:t>organization)</w:t>
            </w:r>
          </w:p>
        </w:tc>
        <w:tc>
          <w:tcPr>
            <w:tcW w:w="1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20" w:type="dxa"/>
            <w:vAlign w:val="bottom"/>
          </w:tcPr>
          <w:p>
            <w:pPr>
              <w:spacing w:after="0"/>
              <w:rPr>
                <w:sz w:val="24"/>
                <w:szCs w:val="24"/>
                <w:color w:val="auto"/>
              </w:rPr>
            </w:pPr>
          </w:p>
        </w:tc>
        <w:tc>
          <w:tcPr>
            <w:tcW w:w="3700" w:type="dxa"/>
            <w:vAlign w:val="bottom"/>
            <w:gridSpan w:val="8"/>
          </w:tcPr>
          <w:p>
            <w:pPr>
              <w:jc w:val="center"/>
              <w:ind w:right="552"/>
              <w:spacing w:after="0"/>
              <w:rPr>
                <w:sz w:val="20"/>
                <w:szCs w:val="20"/>
                <w:color w:val="auto"/>
              </w:rPr>
            </w:pPr>
            <w:r>
              <w:rPr>
                <w:rFonts w:ascii="Arial" w:cs="Arial" w:eastAsia="Arial" w:hAnsi="Arial"/>
                <w:sz w:val="18"/>
                <w:szCs w:val="18"/>
                <w:color w:val="auto"/>
                <w:w w:val="90"/>
              </w:rPr>
              <w:t>13834 W. Hoyt Road</w:t>
            </w: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0" w:type="dxa"/>
            <w:vAlign w:val="bottom"/>
            <w:gridSpan w:val="7"/>
          </w:tcPr>
          <w:p>
            <w:pPr>
              <w:jc w:val="center"/>
              <w:ind w:right="1472"/>
              <w:spacing w:after="0" w:line="190" w:lineRule="exact"/>
              <w:rPr>
                <w:sz w:val="20"/>
                <w:szCs w:val="20"/>
                <w:color w:val="auto"/>
              </w:rPr>
            </w:pPr>
            <w:r>
              <w:rPr>
                <w:rFonts w:ascii="Arial" w:cs="Arial" w:eastAsia="Arial" w:hAnsi="Arial"/>
                <w:sz w:val="18"/>
                <w:szCs w:val="18"/>
                <w:color w:val="auto"/>
                <w:w w:val="90"/>
              </w:rPr>
              <w:t>Rathdrum, Idaho</w:t>
            </w:r>
          </w:p>
        </w:tc>
        <w:tc>
          <w:tcPr>
            <w:tcW w:w="2820" w:type="dxa"/>
            <w:vAlign w:val="bottom"/>
            <w:gridSpan w:val="6"/>
          </w:tcPr>
          <w:p>
            <w:pPr>
              <w:jc w:val="right"/>
              <w:ind w:right="220"/>
              <w:spacing w:after="0" w:line="190" w:lineRule="exact"/>
              <w:rPr>
                <w:sz w:val="20"/>
                <w:szCs w:val="20"/>
                <w:color w:val="auto"/>
              </w:rPr>
            </w:pPr>
            <w:r>
              <w:rPr>
                <w:rFonts w:ascii="Arial" w:cs="Arial" w:eastAsia="Arial" w:hAnsi="Arial"/>
                <w:sz w:val="18"/>
                <w:szCs w:val="18"/>
                <w:color w:val="auto"/>
              </w:rPr>
              <w:t>83858</w:t>
            </w:r>
          </w:p>
        </w:tc>
        <w:tc>
          <w:tcPr>
            <w:tcW w:w="2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gridSpan w:val="4"/>
            <w:shd w:val="clear" w:color="auto" w:fill="000000"/>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3700" w:type="dxa"/>
            <w:vAlign w:val="bottom"/>
            <w:gridSpan w:val="8"/>
          </w:tcPr>
          <w:p>
            <w:pPr>
              <w:jc w:val="center"/>
              <w:ind w:right="552"/>
              <w:spacing w:after="0"/>
              <w:rPr>
                <w:sz w:val="20"/>
                <w:szCs w:val="20"/>
                <w:color w:val="auto"/>
              </w:rPr>
            </w:pPr>
            <w:r>
              <w:rPr>
                <w:rFonts w:ascii="Arial" w:cs="Arial" w:eastAsia="Arial" w:hAnsi="Arial"/>
                <w:sz w:val="18"/>
                <w:szCs w:val="18"/>
                <w:color w:val="auto"/>
                <w:w w:val="92"/>
              </w:rPr>
              <w:t>(Address of principal executive offices)</w:t>
            </w:r>
          </w:p>
        </w:tc>
        <w:tc>
          <w:tcPr>
            <w:tcW w:w="1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60" w:type="dxa"/>
            <w:vAlign w:val="bottom"/>
            <w:gridSpan w:val="5"/>
          </w:tcPr>
          <w:p>
            <w:pPr>
              <w:jc w:val="center"/>
              <w:ind w:right="218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r>
        <w:trPr>
          <w:trHeight w:val="392"/>
        </w:trPr>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(208) 640-9633</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580" w:type="dxa"/>
            <w:vAlign w:val="bottom"/>
            <w:gridSpan w:val="10"/>
          </w:tcPr>
          <w:p>
            <w:pPr>
              <w:jc w:val="center"/>
              <w:ind w:right="2300"/>
              <w:spacing w:after="0"/>
              <w:rPr>
                <w:sz w:val="20"/>
                <w:szCs w:val="20"/>
                <w:color w:val="auto"/>
              </w:rPr>
            </w:pPr>
            <w:r>
              <w:rPr>
                <w:rFonts w:ascii="Arial" w:cs="Arial" w:eastAsia="Arial" w:hAnsi="Arial"/>
                <w:sz w:val="18"/>
                <w:szCs w:val="18"/>
                <w:color w:val="auto"/>
                <w:w w:val="89"/>
              </w:rPr>
              <w:t>(Registrant's telephone number, including area code)</w:t>
            </w: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5220"/>
        <w:spacing w:after="0"/>
        <w:rPr>
          <w:sz w:val="20"/>
          <w:szCs w:val="20"/>
          <w:color w:val="auto"/>
        </w:rPr>
      </w:pPr>
      <w:r>
        <w:rPr>
          <w:rFonts w:ascii="Arial" w:cs="Arial" w:eastAsia="Arial" w:hAnsi="Arial"/>
          <w:sz w:val="18"/>
          <w:szCs w:val="18"/>
          <w:color w:val="auto"/>
        </w:rPr>
        <w:t>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38" w:lineRule="exact"/>
        <w:rPr>
          <w:sz w:val="24"/>
          <w:szCs w:val="24"/>
          <w:color w:val="auto"/>
        </w:rPr>
      </w:pPr>
    </w:p>
    <w:p>
      <w:pPr>
        <w:jc w:val="center"/>
        <w:ind w:right="140"/>
        <w:spacing w:after="0"/>
        <w:rPr>
          <w:sz w:val="20"/>
          <w:szCs w:val="20"/>
          <w:color w:val="auto"/>
        </w:rPr>
      </w:pPr>
      <w:r>
        <w:rPr>
          <w:rFonts w:ascii="Arial" w:cs="Arial" w:eastAsia="Arial" w:hAnsi="Arial"/>
          <w:sz w:val="16"/>
          <w:szCs w:val="16"/>
          <w:color w:val="auto"/>
        </w:rPr>
        <w:t>Indicate by check mark whether the issuer (1) has filed all reports required to be filed by Section 13 or 15(d) of the Securities Exchange Act of 1934 during</w:t>
      </w:r>
    </w:p>
    <w:p>
      <w:pPr>
        <w:spacing w:after="0" w:line="46" w:lineRule="exact"/>
        <w:rPr>
          <w:sz w:val="24"/>
          <w:szCs w:val="24"/>
          <w:color w:val="auto"/>
        </w:rPr>
      </w:pPr>
    </w:p>
    <w:p>
      <w:pPr>
        <w:jc w:val="center"/>
        <w:ind w:right="140"/>
        <w:spacing w:after="0"/>
        <w:rPr>
          <w:sz w:val="20"/>
          <w:szCs w:val="20"/>
          <w:color w:val="auto"/>
        </w:rPr>
      </w:pPr>
      <w:r>
        <w:rPr>
          <w:rFonts w:ascii="Arial" w:cs="Arial" w:eastAsia="Arial" w:hAnsi="Arial"/>
          <w:sz w:val="16"/>
          <w:szCs w:val="16"/>
          <w:color w:val="auto"/>
        </w:rPr>
        <w:t>the past 12 months (or for such shorter period that the registrant was required to file such reports), and (2) has been subject to such filing requirements for</w:t>
      </w:r>
    </w:p>
    <w:p>
      <w:pPr>
        <w:spacing w:after="0" w:line="32" w:lineRule="exact"/>
        <w:rPr>
          <w:sz w:val="24"/>
          <w:szCs w:val="24"/>
          <w:color w:val="auto"/>
        </w:rPr>
      </w:pPr>
    </w:p>
    <w:p>
      <w:pPr>
        <w:jc w:val="center"/>
        <w:ind w:right="140"/>
        <w:spacing w:after="0"/>
        <w:rPr>
          <w:sz w:val="20"/>
          <w:szCs w:val="20"/>
          <w:color w:val="auto"/>
        </w:rPr>
      </w:pPr>
      <w:r>
        <w:rPr>
          <w:rFonts w:ascii="Arial" w:cs="Arial" w:eastAsia="Arial" w:hAnsi="Arial"/>
          <w:sz w:val="18"/>
          <w:szCs w:val="18"/>
          <w:color w:val="auto"/>
        </w:rPr>
        <w:t>the past 90 days.</w:t>
      </w:r>
    </w:p>
    <w:p>
      <w:pPr>
        <w:spacing w:after="0" w:line="9" w:lineRule="exact"/>
        <w:rPr>
          <w:sz w:val="24"/>
          <w:szCs w:val="24"/>
          <w:color w:val="auto"/>
        </w:rPr>
      </w:pPr>
    </w:p>
    <w:p>
      <w:pPr>
        <w:jc w:val="center"/>
        <w:ind w:right="140"/>
        <w:spacing w:after="0"/>
        <w:rPr>
          <w:sz w:val="20"/>
          <w:szCs w:val="20"/>
          <w:color w:val="auto"/>
        </w:rPr>
      </w:pPr>
      <w:r>
        <w:rPr>
          <w:rFonts w:ascii="Arial" w:cs="Arial" w:eastAsia="Arial" w:hAnsi="Arial"/>
          <w:sz w:val="18"/>
          <w:szCs w:val="18"/>
          <w:color w:val="auto"/>
        </w:rPr>
        <w:t>Yes [X]  No [  ]</w:t>
      </w:r>
    </w:p>
    <w:p>
      <w:pPr>
        <w:spacing w:after="0" w:line="238" w:lineRule="exact"/>
        <w:rPr>
          <w:sz w:val="24"/>
          <w:szCs w:val="24"/>
          <w:color w:val="auto"/>
        </w:rPr>
      </w:pPr>
    </w:p>
    <w:p>
      <w:pPr>
        <w:jc w:val="center"/>
        <w:ind w:left="20" w:right="2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ht registrant was required to submit and post such files). Yes [  ]  No [X]</w:t>
      </w:r>
    </w:p>
    <w:p>
      <w:pPr>
        <w:spacing w:after="0" w:line="208" w:lineRule="exact"/>
        <w:rPr>
          <w:sz w:val="24"/>
          <w:szCs w:val="24"/>
          <w:color w:val="auto"/>
        </w:rPr>
      </w:pPr>
    </w:p>
    <w:p>
      <w:pPr>
        <w:jc w:val="center"/>
        <w:ind w:left="20"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472" w:right="239" w:bottom="1440" w:gutter="0" w:footer="0" w:header="0"/>
        </w:sectPr>
      </w:pPr>
    </w:p>
    <w:p>
      <w:pPr>
        <w:spacing w:after="0" w:line="174" w:lineRule="exact"/>
        <w:rPr>
          <w:sz w:val="24"/>
          <w:szCs w:val="24"/>
          <w:color w:val="auto"/>
        </w:rPr>
      </w:pPr>
    </w:p>
    <w:p>
      <w:pPr>
        <w:ind w:left="1140"/>
        <w:spacing w:after="0"/>
        <w:rPr>
          <w:sz w:val="20"/>
          <w:szCs w:val="20"/>
          <w:color w:val="auto"/>
        </w:rPr>
      </w:pPr>
      <w:r>
        <w:rPr>
          <w:rFonts w:ascii="Arial" w:cs="Arial" w:eastAsia="Arial" w:hAnsi="Arial"/>
          <w:sz w:val="17"/>
          <w:szCs w:val="17"/>
          <w:color w:val="auto"/>
        </w:rPr>
        <w:t>Large accelerated filer [  ]</w:t>
      </w:r>
    </w:p>
    <w:p>
      <w:pPr>
        <w:spacing w:after="0" w:line="35" w:lineRule="exact"/>
        <w:rPr>
          <w:sz w:val="24"/>
          <w:szCs w:val="24"/>
          <w:color w:val="auto"/>
        </w:rPr>
      </w:pPr>
    </w:p>
    <w:p>
      <w:pPr>
        <w:ind w:left="1140"/>
        <w:spacing w:after="0"/>
        <w:tabs>
          <w:tab w:leader="none" w:pos="2840" w:val="left"/>
        </w:tabs>
        <w:rPr>
          <w:sz w:val="20"/>
          <w:szCs w:val="20"/>
          <w:color w:val="auto"/>
        </w:rPr>
      </w:pPr>
      <w:r>
        <w:rPr>
          <w:rFonts w:ascii="Arial" w:cs="Arial" w:eastAsia="Arial" w:hAnsi="Arial"/>
          <w:sz w:val="18"/>
          <w:szCs w:val="18"/>
          <w:color w:val="auto"/>
        </w:rPr>
        <w:t>Non-accelerated filer</w:t>
        <w:tab/>
        <w:t>[  ]</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9" w:lineRule="exact"/>
        <w:rPr>
          <w:sz w:val="24"/>
          <w:szCs w:val="24"/>
          <w:color w:val="auto"/>
        </w:rPr>
      </w:pPr>
    </w:p>
    <w:p>
      <w:pPr>
        <w:sectPr>
          <w:pgSz w:w="11900" w:h="16838" w:orient="portrait"/>
          <w:cols w:equalWidth="0" w:num="3">
            <w:col w:w="5000" w:space="720"/>
            <w:col w:w="1960" w:space="100"/>
            <w:col w:w="3640"/>
          </w:cols>
          <w:pgMar w:left="240" w:top="472" w:right="239" w:bottom="1440" w:gutter="0" w:footer="0" w:header="0"/>
          <w:type w:val="continuous"/>
        </w:sectPr>
      </w:pPr>
    </w:p>
    <w:p>
      <w:pPr>
        <w:ind w:left="1140"/>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420"/>
          </w:cols>
          <w:pgMar w:left="240" w:top="472" w:right="239" w:bottom="1440" w:gutter="0" w:footer="0" w:header="0"/>
          <w:type w:val="continuous"/>
        </w:sectPr>
      </w:pPr>
    </w:p>
    <w:p>
      <w:pPr>
        <w:spacing w:after="0" w:line="261" w:lineRule="exact"/>
        <w:rPr>
          <w:sz w:val="24"/>
          <w:szCs w:val="24"/>
          <w:color w:val="auto"/>
        </w:rPr>
      </w:pPr>
    </w:p>
    <w:p>
      <w:pPr>
        <w:jc w:val="center"/>
        <w:ind w:right="1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jc w:val="center"/>
        <w:ind w:right="140"/>
        <w:spacing w:after="0"/>
        <w:rPr>
          <w:sz w:val="20"/>
          <w:szCs w:val="20"/>
          <w:color w:val="auto"/>
        </w:rPr>
      </w:pPr>
      <w:r>
        <w:rPr>
          <w:rFonts w:ascii="Arial" w:cs="Arial" w:eastAsia="Arial" w:hAnsi="Arial"/>
          <w:sz w:val="18"/>
          <w:szCs w:val="18"/>
          <w:color w:val="auto"/>
        </w:rPr>
        <w:t>Yes [X]  No [  ]</w:t>
      </w:r>
    </w:p>
    <w:p>
      <w:pPr>
        <w:spacing w:after="0" w:line="238"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140" w:type="dxa"/>
            <w:vAlign w:val="bottom"/>
          </w:tcPr>
          <w:p>
            <w:pPr>
              <w:spacing w:after="0"/>
              <w:rPr>
                <w:sz w:val="18"/>
                <w:szCs w:val="18"/>
                <w:color w:val="auto"/>
              </w:rPr>
            </w:pPr>
          </w:p>
        </w:tc>
        <w:tc>
          <w:tcPr>
            <w:tcW w:w="3480" w:type="dxa"/>
            <w:vAlign w:val="bottom"/>
            <w:gridSpan w:val="2"/>
          </w:tcPr>
          <w:p>
            <w:pPr>
              <w:jc w:val="center"/>
              <w:ind w:right="1060"/>
              <w:spacing w:after="0"/>
              <w:rPr>
                <w:sz w:val="20"/>
                <w:szCs w:val="20"/>
                <w:color w:val="auto"/>
              </w:rPr>
            </w:pPr>
            <w:r>
              <w:rPr>
                <w:rFonts w:ascii="Arial" w:cs="Arial" w:eastAsia="Arial" w:hAnsi="Arial"/>
                <w:sz w:val="18"/>
                <w:szCs w:val="18"/>
                <w:color w:val="auto"/>
                <w:w w:val="90"/>
              </w:rPr>
              <w:t xml:space="preserve">Common Stock, </w:t>
            </w:r>
            <w:r>
              <w:rPr>
                <w:rFonts w:ascii="Arial" w:cs="Arial" w:eastAsia="Arial" w:hAnsi="Arial"/>
                <w:sz w:val="18"/>
                <w:szCs w:val="18"/>
                <w:u w:val="single" w:color="auto"/>
                <w:color w:val="auto"/>
                <w:w w:val="90"/>
              </w:rPr>
              <w:t>$</w:t>
            </w:r>
            <w:r>
              <w:rPr>
                <w:rFonts w:ascii="Arial" w:cs="Arial" w:eastAsia="Arial" w:hAnsi="Arial"/>
                <w:sz w:val="18"/>
                <w:szCs w:val="18"/>
                <w:color w:val="auto"/>
                <w:w w:val="90"/>
              </w:rPr>
              <w:t>0.001 par value</w:t>
            </w:r>
          </w:p>
        </w:tc>
        <w:tc>
          <w:tcPr>
            <w:tcW w:w="1700" w:type="dxa"/>
            <w:vAlign w:val="bottom"/>
          </w:tcPr>
          <w:p>
            <w:pPr>
              <w:spacing w:after="0"/>
              <w:rPr>
                <w:sz w:val="18"/>
                <w:szCs w:val="18"/>
                <w:color w:val="auto"/>
              </w:rPr>
            </w:pPr>
          </w:p>
        </w:tc>
        <w:tc>
          <w:tcPr>
            <w:tcW w:w="4100" w:type="dxa"/>
            <w:vAlign w:val="bottom"/>
            <w:gridSpan w:val="2"/>
          </w:tcPr>
          <w:p>
            <w:pPr>
              <w:jc w:val="center"/>
              <w:ind w:right="2900"/>
              <w:spacing w:after="0"/>
              <w:rPr>
                <w:sz w:val="20"/>
                <w:szCs w:val="20"/>
                <w:color w:val="auto"/>
              </w:rPr>
            </w:pPr>
            <w:r>
              <w:rPr>
                <w:rFonts w:ascii="Arial" w:cs="Arial" w:eastAsia="Arial" w:hAnsi="Arial"/>
                <w:sz w:val="18"/>
                <w:szCs w:val="18"/>
                <w:color w:val="auto"/>
                <w:w w:val="86"/>
              </w:rPr>
              <w:t>5,848,707 shares</w:t>
            </w:r>
          </w:p>
        </w:tc>
      </w:tr>
      <w:tr>
        <w:trPr>
          <w:trHeight w:val="20"/>
        </w:trPr>
        <w:tc>
          <w:tcPr>
            <w:tcW w:w="2140" w:type="dxa"/>
            <w:vAlign w:val="bottom"/>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237"/>
        </w:trPr>
        <w:tc>
          <w:tcPr>
            <w:tcW w:w="2140" w:type="dxa"/>
            <w:vAlign w:val="bottom"/>
          </w:tcPr>
          <w:p>
            <w:pPr>
              <w:spacing w:after="0"/>
              <w:rPr>
                <w:sz w:val="20"/>
                <w:szCs w:val="20"/>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(Class)</w:t>
            </w:r>
          </w:p>
        </w:tc>
        <w:tc>
          <w:tcPr>
            <w:tcW w:w="1060" w:type="dxa"/>
            <w:vAlign w:val="bottom"/>
          </w:tcPr>
          <w:p>
            <w:pPr>
              <w:spacing w:after="0"/>
              <w:rPr>
                <w:sz w:val="20"/>
                <w:szCs w:val="20"/>
                <w:color w:val="auto"/>
              </w:rPr>
            </w:pPr>
          </w:p>
        </w:tc>
        <w:tc>
          <w:tcPr>
            <w:tcW w:w="5800" w:type="dxa"/>
            <w:vAlign w:val="bottom"/>
            <w:gridSpan w:val="3"/>
          </w:tcPr>
          <w:p>
            <w:pPr>
              <w:jc w:val="center"/>
              <w:ind w:right="1200"/>
              <w:spacing w:after="0"/>
              <w:rPr>
                <w:sz w:val="20"/>
                <w:szCs w:val="20"/>
                <w:color w:val="auto"/>
              </w:rPr>
            </w:pPr>
            <w:r>
              <w:rPr>
                <w:rFonts w:ascii="Arial" w:cs="Arial" w:eastAsia="Arial" w:hAnsi="Arial"/>
                <w:sz w:val="18"/>
                <w:szCs w:val="18"/>
                <w:color w:val="auto"/>
                <w:w w:val="90"/>
              </w:rPr>
              <w:t>(Outstanding as at August 6, 2010)</w:t>
            </w:r>
          </w:p>
        </w:tc>
      </w:tr>
      <w:tr>
        <w:trPr>
          <w:trHeight w:val="969"/>
        </w:trPr>
        <w:tc>
          <w:tcPr>
            <w:tcW w:w="2140" w:type="dxa"/>
            <w:vAlign w:val="bottom"/>
            <w:tcBorders>
              <w:bottom w:val="single" w:sz="8" w:color="808080"/>
            </w:tcBorders>
          </w:tcPr>
          <w:p>
            <w:pPr>
              <w:spacing w:after="0"/>
              <w:rPr>
                <w:sz w:val="24"/>
                <w:szCs w:val="24"/>
                <w:color w:val="auto"/>
              </w:rPr>
            </w:pPr>
          </w:p>
        </w:tc>
        <w:tc>
          <w:tcPr>
            <w:tcW w:w="242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290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20" w:type="dxa"/>
            <w:vAlign w:val="bottom"/>
            <w:gridSpan w:val="4"/>
          </w:tcPr>
          <w:p>
            <w:pPr>
              <w:jc w:val="center"/>
              <w:ind w:right="2120"/>
              <w:spacing w:after="0"/>
              <w:rPr>
                <w:sz w:val="20"/>
                <w:szCs w:val="20"/>
                <w:color w:val="auto"/>
              </w:rPr>
            </w:pPr>
            <w:r>
              <w:rPr>
                <w:rFonts w:ascii="Arial" w:cs="Arial" w:eastAsia="Arial" w:hAnsi="Arial"/>
                <w:sz w:val="18"/>
                <w:szCs w:val="18"/>
                <w:b w:val="1"/>
                <w:bCs w:val="1"/>
                <w:color w:val="auto"/>
                <w:w w:val="99"/>
              </w:rPr>
              <w:t>EXCALIBER ENTERPRISES, LTD.</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80" w:type="dxa"/>
            <w:vAlign w:val="bottom"/>
            <w:gridSpan w:val="2"/>
          </w:tcPr>
          <w:p>
            <w:pPr>
              <w:jc w:val="center"/>
              <w:ind w:right="2440"/>
              <w:spacing w:after="0"/>
              <w:rPr>
                <w:sz w:val="20"/>
                <w:szCs w:val="20"/>
                <w:color w:val="auto"/>
              </w:rPr>
            </w:pPr>
            <w:r>
              <w:rPr>
                <w:rFonts w:ascii="Arial" w:cs="Arial" w:eastAsia="Arial" w:hAnsi="Arial"/>
                <w:sz w:val="18"/>
                <w:szCs w:val="18"/>
                <w:b w:val="1"/>
                <w:bCs w:val="1"/>
                <w:color w:val="auto"/>
                <w:w w:val="89"/>
              </w:rPr>
              <w:t>Table of Contents</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2"/>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120" w:type="dxa"/>
            <w:vAlign w:val="bottom"/>
            <w:gridSpan w:val="15"/>
            <w:shd w:val="clear" w:color="auto" w:fill="CBDBD1"/>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PART I – FINANCIAL INFORMATION</w:t>
              </w:r>
            </w:hyperlink>
          </w:p>
        </w:tc>
        <w:tc>
          <w:tcPr>
            <w:tcW w:w="1000" w:type="dxa"/>
            <w:vAlign w:val="bottom"/>
            <w:gridSpan w:val="3"/>
            <w:shd w:val="clear" w:color="auto" w:fill="CBDBD1"/>
          </w:tcPr>
          <w:p>
            <w:pPr>
              <w:jc w:val="right"/>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176"/>
        </w:trPr>
        <w:tc>
          <w:tcPr>
            <w:tcW w:w="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740" w:type="dxa"/>
            <w:vAlign w:val="bottom"/>
            <w:tcBorders>
              <w:top w:val="single" w:sz="8" w:color="0000EE"/>
            </w:tcBorders>
            <w:gridSpan w:val="8"/>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Unaudited Financial Statements</w:t>
              </w:r>
            </w:hyperlink>
          </w:p>
        </w:tc>
        <w:tc>
          <w:tcPr>
            <w:tcW w:w="5160" w:type="dxa"/>
            <w:vAlign w:val="bottom"/>
            <w:tcBorders>
              <w:top w:val="single" w:sz="8" w:color="CBDBD1"/>
            </w:tcBorders>
            <w:gridSpan w:val="6"/>
          </w:tcPr>
          <w:p>
            <w:pPr>
              <w:spacing w:after="0"/>
              <w:rPr>
                <w:sz w:val="15"/>
                <w:szCs w:val="15"/>
                <w:color w:val="auto"/>
              </w:rPr>
            </w:pPr>
          </w:p>
        </w:tc>
        <w:tc>
          <w:tcPr>
            <w:tcW w:w="900" w:type="dxa"/>
            <w:vAlign w:val="bottom"/>
            <w:tcBorders>
              <w:top w:val="single" w:sz="8" w:color="CBDBD1"/>
            </w:tcBorders>
            <w:gridSpan w:val="2"/>
          </w:tcPr>
          <w:p>
            <w:pPr>
              <w:spacing w:after="0"/>
              <w:rPr>
                <w:sz w:val="15"/>
                <w:szCs w:val="15"/>
                <w:color w:val="auto"/>
              </w:rPr>
            </w:pPr>
          </w:p>
        </w:tc>
        <w:tc>
          <w:tcPr>
            <w:tcW w:w="100" w:type="dxa"/>
            <w:vAlign w:val="bottom"/>
            <w:tcBorders>
              <w:top w:val="single" w:sz="8" w:color="0000EE"/>
            </w:tcBorders>
          </w:tcPr>
          <w:p>
            <w:pPr>
              <w:jc w:val="right"/>
              <w:spacing w:after="0" w:line="176"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Borders>
              <w:bottom w:val="single" w:sz="8" w:color="CBDBD1"/>
            </w:tcBorders>
            <w:shd w:val="clear" w:color="auto" w:fill="CBDBD1"/>
          </w:tcPr>
          <w:p>
            <w:pPr>
              <w:spacing w:after="0"/>
              <w:rPr>
                <w:sz w:val="17"/>
                <w:szCs w:val="17"/>
                <w:color w:val="auto"/>
              </w:rPr>
            </w:pPr>
          </w:p>
        </w:tc>
        <w:tc>
          <w:tcPr>
            <w:tcW w:w="220" w:type="dxa"/>
            <w:vAlign w:val="bottom"/>
            <w:tcBorders>
              <w:bottom w:val="single" w:sz="8" w:color="CBDBD1"/>
            </w:tcBorders>
            <w:shd w:val="clear" w:color="auto" w:fill="CBDBD1"/>
          </w:tcPr>
          <w:p>
            <w:pPr>
              <w:spacing w:after="0"/>
              <w:rPr>
                <w:sz w:val="17"/>
                <w:szCs w:val="17"/>
                <w:color w:val="auto"/>
              </w:rPr>
            </w:pPr>
          </w:p>
        </w:tc>
        <w:tc>
          <w:tcPr>
            <w:tcW w:w="1940" w:type="dxa"/>
            <w:vAlign w:val="bottom"/>
            <w:tcBorders>
              <w:bottom w:val="single" w:sz="8" w:color="0000EE"/>
            </w:tcBorders>
            <w:gridSpan w:val="3"/>
            <w:shd w:val="clear" w:color="auto" w:fill="CBDBD1"/>
          </w:tcPr>
          <w:p>
            <w:pPr>
              <w:spacing w:after="0" w:line="176"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Condensed Balance Sheets</w:t>
              </w:r>
            </w:hyperlink>
          </w:p>
        </w:tc>
        <w:tc>
          <w:tcPr>
            <w:tcW w:w="5740" w:type="dxa"/>
            <w:vAlign w:val="bottom"/>
            <w:tcBorders>
              <w:bottom w:val="single" w:sz="8" w:color="CBDBD1"/>
            </w:tcBorders>
            <w:gridSpan w:val="10"/>
            <w:shd w:val="clear" w:color="auto" w:fill="CBDBD1"/>
          </w:tcPr>
          <w:p>
            <w:pPr>
              <w:spacing w:after="0"/>
              <w:rPr>
                <w:sz w:val="17"/>
                <w:szCs w:val="17"/>
                <w:color w:val="auto"/>
              </w:rPr>
            </w:pPr>
          </w:p>
        </w:tc>
        <w:tc>
          <w:tcPr>
            <w:tcW w:w="900" w:type="dxa"/>
            <w:vAlign w:val="bottom"/>
            <w:tcBorders>
              <w:bottom w:val="single" w:sz="8" w:color="CBDBD1"/>
            </w:tcBorders>
            <w:gridSpan w:val="2"/>
            <w:shd w:val="clear" w:color="auto" w:fill="CBDBD1"/>
          </w:tcPr>
          <w:p>
            <w:pPr>
              <w:spacing w:after="0"/>
              <w:rPr>
                <w:sz w:val="17"/>
                <w:szCs w:val="17"/>
                <w:color w:val="auto"/>
              </w:rPr>
            </w:pPr>
          </w:p>
        </w:tc>
        <w:tc>
          <w:tcPr>
            <w:tcW w:w="100" w:type="dxa"/>
            <w:vAlign w:val="bottom"/>
            <w:tcBorders>
              <w:bottom w:val="single" w:sz="8" w:color="0000EE"/>
            </w:tcBorders>
            <w:shd w:val="clear" w:color="auto" w:fill="CBDBD1"/>
          </w:tcPr>
          <w:p>
            <w:pPr>
              <w:jc w:val="right"/>
              <w:spacing w:after="0" w:line="17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80" w:type="dxa"/>
            <w:vAlign w:val="bottom"/>
            <w:gridSpan w:val="13"/>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Statements of Operations</w:t>
              </w:r>
            </w:hyperlink>
          </w:p>
        </w:tc>
        <w:tc>
          <w:tcPr>
            <w:tcW w:w="1000" w:type="dxa"/>
            <w:vAlign w:val="bottom"/>
            <w:gridSpan w:val="3"/>
          </w:tcPr>
          <w:p>
            <w:pPr>
              <w:jc w:val="right"/>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Borders>
              <w:bottom w:val="single" w:sz="8" w:color="CBDBD1"/>
            </w:tcBorders>
            <w:shd w:val="clear" w:color="auto" w:fill="CBDBD1"/>
          </w:tcPr>
          <w:p>
            <w:pPr>
              <w:spacing w:after="0"/>
              <w:rPr>
                <w:sz w:val="17"/>
                <w:szCs w:val="17"/>
                <w:color w:val="auto"/>
              </w:rPr>
            </w:pPr>
          </w:p>
        </w:tc>
        <w:tc>
          <w:tcPr>
            <w:tcW w:w="220" w:type="dxa"/>
            <w:vAlign w:val="bottom"/>
            <w:tcBorders>
              <w:bottom w:val="single" w:sz="8" w:color="CBDBD1"/>
            </w:tcBorders>
            <w:shd w:val="clear" w:color="auto" w:fill="CBDBD1"/>
          </w:tcPr>
          <w:p>
            <w:pPr>
              <w:spacing w:after="0"/>
              <w:rPr>
                <w:sz w:val="17"/>
                <w:szCs w:val="17"/>
                <w:color w:val="auto"/>
              </w:rPr>
            </w:pPr>
          </w:p>
        </w:tc>
        <w:tc>
          <w:tcPr>
            <w:tcW w:w="2720" w:type="dxa"/>
            <w:vAlign w:val="bottom"/>
            <w:tcBorders>
              <w:bottom w:val="single" w:sz="8" w:color="0000EE"/>
            </w:tcBorders>
            <w:gridSpan w:val="10"/>
            <w:shd w:val="clear" w:color="auto" w:fill="CBDBD1"/>
          </w:tcPr>
          <w:p>
            <w:pPr>
              <w:spacing w:after="0" w:line="17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Statements of Cash Flows</w:t>
              </w:r>
            </w:hyperlink>
          </w:p>
        </w:tc>
        <w:tc>
          <w:tcPr>
            <w:tcW w:w="4960" w:type="dxa"/>
            <w:vAlign w:val="bottom"/>
            <w:tcBorders>
              <w:bottom w:val="single" w:sz="8" w:color="CBDBD1"/>
            </w:tcBorders>
            <w:gridSpan w:val="3"/>
            <w:shd w:val="clear" w:color="auto" w:fill="CBDBD1"/>
          </w:tcPr>
          <w:p>
            <w:pPr>
              <w:spacing w:after="0"/>
              <w:rPr>
                <w:sz w:val="17"/>
                <w:szCs w:val="17"/>
                <w:color w:val="auto"/>
              </w:rPr>
            </w:pPr>
          </w:p>
        </w:tc>
        <w:tc>
          <w:tcPr>
            <w:tcW w:w="900" w:type="dxa"/>
            <w:vAlign w:val="bottom"/>
            <w:tcBorders>
              <w:bottom w:val="single" w:sz="8" w:color="CBDBD1"/>
            </w:tcBorders>
            <w:gridSpan w:val="2"/>
            <w:shd w:val="clear" w:color="auto" w:fill="CBDBD1"/>
          </w:tcPr>
          <w:p>
            <w:pPr>
              <w:spacing w:after="0"/>
              <w:rPr>
                <w:sz w:val="17"/>
                <w:szCs w:val="17"/>
                <w:color w:val="auto"/>
              </w:rPr>
            </w:pPr>
          </w:p>
        </w:tc>
        <w:tc>
          <w:tcPr>
            <w:tcW w:w="100" w:type="dxa"/>
            <w:vAlign w:val="bottom"/>
            <w:tcBorders>
              <w:bottom w:val="single" w:sz="8" w:color="0000EE"/>
            </w:tcBorders>
            <w:shd w:val="clear" w:color="auto" w:fill="CBDBD1"/>
          </w:tcPr>
          <w:p>
            <w:pPr>
              <w:jc w:val="right"/>
              <w:spacing w:after="0" w:line="17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80" w:type="dxa"/>
            <w:vAlign w:val="bottom"/>
            <w:gridSpan w:val="13"/>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Financial Statements</w:t>
              </w:r>
            </w:hyperlink>
          </w:p>
        </w:tc>
        <w:tc>
          <w:tcPr>
            <w:tcW w:w="1000" w:type="dxa"/>
            <w:vAlign w:val="bottom"/>
            <w:gridSpan w:val="3"/>
          </w:tcPr>
          <w:p>
            <w:pPr>
              <w:jc w:val="right"/>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20" w:type="dxa"/>
            <w:vAlign w:val="bottom"/>
            <w:shd w:val="clear" w:color="auto" w:fill="CBDBD1"/>
          </w:tcPr>
          <w:p>
            <w:pPr>
              <w:spacing w:after="0"/>
              <w:rPr>
                <w:sz w:val="15"/>
                <w:szCs w:val="15"/>
                <w:color w:val="auto"/>
              </w:rPr>
            </w:pPr>
          </w:p>
        </w:tc>
        <w:tc>
          <w:tcPr>
            <w:tcW w:w="6440" w:type="dxa"/>
            <w:vAlign w:val="bottom"/>
            <w:gridSpan w:val="13"/>
            <w:shd w:val="clear" w:color="auto" w:fill="CBDBD1"/>
          </w:tcPr>
          <w:p>
            <w:pPr>
              <w:spacing w:after="0" w:line="176" w:lineRule="exact"/>
              <w:rPr>
                <w:rFonts w:ascii="Arial" w:cs="Arial" w:eastAsia="Arial" w:hAnsi="Arial"/>
                <w:sz w:val="18"/>
                <w:szCs w:val="18"/>
                <w:color w:val="0000EE"/>
                <w:w w:val="90"/>
              </w:rPr>
            </w:pPr>
            <w:hyperlink w:anchor="page10">
              <w:r>
                <w:rPr>
                  <w:rFonts w:ascii="Arial" w:cs="Arial" w:eastAsia="Arial" w:hAnsi="Arial"/>
                  <w:sz w:val="18"/>
                  <w:szCs w:val="18"/>
                  <w:color w:val="0000EE"/>
                  <w:w w:val="90"/>
                </w:rPr>
                <w:t>Management's Discussion and Analysis of Financial Condition and Results of Operations</w:t>
              </w:r>
            </w:hyperlink>
          </w:p>
        </w:tc>
        <w:tc>
          <w:tcPr>
            <w:tcW w:w="1460" w:type="dxa"/>
            <w:vAlign w:val="bottom"/>
            <w:shd w:val="clear" w:color="auto" w:fill="CBDBD1"/>
          </w:tcPr>
          <w:p>
            <w:pPr>
              <w:spacing w:after="0"/>
              <w:rPr>
                <w:sz w:val="15"/>
                <w:szCs w:val="15"/>
                <w:color w:val="auto"/>
              </w:rPr>
            </w:pPr>
          </w:p>
        </w:tc>
        <w:tc>
          <w:tcPr>
            <w:tcW w:w="1000" w:type="dxa"/>
            <w:vAlign w:val="bottom"/>
            <w:gridSpan w:val="3"/>
            <w:shd w:val="clear" w:color="auto" w:fill="CBDBD1"/>
          </w:tcPr>
          <w:p>
            <w:pPr>
              <w:jc w:val="right"/>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10</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Borders>
              <w:top w:val="single" w:sz="8" w:color="CBDBD1"/>
            </w:tcBorders>
            <w:shd w:val="clear" w:color="auto" w:fill="CBDBD1"/>
          </w:tcPr>
          <w:p>
            <w:pPr>
              <w:spacing w:after="0" w:line="20" w:lineRule="exact"/>
              <w:rPr>
                <w:sz w:val="1"/>
                <w:szCs w:val="1"/>
                <w:color w:val="auto"/>
              </w:rPr>
            </w:pPr>
          </w:p>
        </w:tc>
        <w:tc>
          <w:tcPr>
            <w:tcW w:w="220" w:type="dxa"/>
            <w:vAlign w:val="bottom"/>
            <w:tcBorders>
              <w:top w:val="single" w:sz="8" w:color="0000EE"/>
            </w:tcBorders>
            <w:shd w:val="clear" w:color="auto" w:fill="CBDBD1"/>
          </w:tcPr>
          <w:p>
            <w:pPr>
              <w:spacing w:after="0" w:line="20" w:lineRule="exact"/>
              <w:rPr>
                <w:sz w:val="1"/>
                <w:szCs w:val="1"/>
                <w:color w:val="auto"/>
              </w:rPr>
            </w:pPr>
          </w:p>
        </w:tc>
        <w:tc>
          <w:tcPr>
            <w:tcW w:w="640" w:type="dxa"/>
            <w:vAlign w:val="bottom"/>
            <w:tcBorders>
              <w:top w:val="single" w:sz="8" w:color="0000EE"/>
            </w:tcBorders>
            <w:shd w:val="clear" w:color="auto" w:fill="CBDBD1"/>
          </w:tcPr>
          <w:p>
            <w:pPr>
              <w:spacing w:after="0" w:line="20" w:lineRule="exact"/>
              <w:rPr>
                <w:sz w:val="1"/>
                <w:szCs w:val="1"/>
                <w:color w:val="auto"/>
              </w:rPr>
            </w:pPr>
          </w:p>
        </w:tc>
        <w:tc>
          <w:tcPr>
            <w:tcW w:w="900" w:type="dxa"/>
            <w:vAlign w:val="bottom"/>
            <w:tcBorders>
              <w:top w:val="single" w:sz="8" w:color="0000EE"/>
            </w:tcBorders>
            <w:shd w:val="clear" w:color="auto" w:fill="CBDBD1"/>
          </w:tcPr>
          <w:p>
            <w:pPr>
              <w:spacing w:after="0" w:line="20" w:lineRule="exact"/>
              <w:rPr>
                <w:sz w:val="1"/>
                <w:szCs w:val="1"/>
                <w:color w:val="auto"/>
              </w:rPr>
            </w:pPr>
          </w:p>
        </w:tc>
        <w:tc>
          <w:tcPr>
            <w:tcW w:w="400" w:type="dxa"/>
            <w:vAlign w:val="bottom"/>
            <w:tcBorders>
              <w:top w:val="single" w:sz="8" w:color="0000EE"/>
            </w:tcBorders>
            <w:shd w:val="clear" w:color="auto" w:fill="CBDBD1"/>
          </w:tcPr>
          <w:p>
            <w:pPr>
              <w:spacing w:after="0" w:line="20" w:lineRule="exact"/>
              <w:rPr>
                <w:sz w:val="1"/>
                <w:szCs w:val="1"/>
                <w:color w:val="auto"/>
              </w:rPr>
            </w:pPr>
          </w:p>
        </w:tc>
        <w:tc>
          <w:tcPr>
            <w:tcW w:w="140" w:type="dxa"/>
            <w:vAlign w:val="bottom"/>
            <w:tcBorders>
              <w:top w:val="single" w:sz="8" w:color="0000EE"/>
            </w:tcBorders>
            <w:shd w:val="clear" w:color="auto" w:fill="CBDBD1"/>
          </w:tcPr>
          <w:p>
            <w:pPr>
              <w:spacing w:after="0" w:line="20" w:lineRule="exact"/>
              <w:rPr>
                <w:sz w:val="1"/>
                <w:szCs w:val="1"/>
                <w:color w:val="auto"/>
              </w:rPr>
            </w:pPr>
          </w:p>
        </w:tc>
        <w:tc>
          <w:tcPr>
            <w:tcW w:w="140" w:type="dxa"/>
            <w:vAlign w:val="bottom"/>
            <w:tcBorders>
              <w:top w:val="single" w:sz="8" w:color="0000EE"/>
            </w:tcBorders>
            <w:shd w:val="clear" w:color="auto" w:fill="CBDBD1"/>
          </w:tcPr>
          <w:p>
            <w:pPr>
              <w:spacing w:after="0" w:line="20" w:lineRule="exact"/>
              <w:rPr>
                <w:sz w:val="1"/>
                <w:szCs w:val="1"/>
                <w:color w:val="auto"/>
              </w:rPr>
            </w:pPr>
          </w:p>
        </w:tc>
        <w:tc>
          <w:tcPr>
            <w:tcW w:w="40" w:type="dxa"/>
            <w:vAlign w:val="bottom"/>
            <w:tcBorders>
              <w:top w:val="single" w:sz="8" w:color="0000EE"/>
            </w:tcBorders>
            <w:shd w:val="clear" w:color="auto" w:fill="CBDBD1"/>
          </w:tcPr>
          <w:p>
            <w:pPr>
              <w:spacing w:after="0" w:line="20" w:lineRule="exact"/>
              <w:rPr>
                <w:sz w:val="1"/>
                <w:szCs w:val="1"/>
                <w:color w:val="auto"/>
              </w:rPr>
            </w:pPr>
          </w:p>
        </w:tc>
        <w:tc>
          <w:tcPr>
            <w:tcW w:w="260" w:type="dxa"/>
            <w:vAlign w:val="bottom"/>
            <w:tcBorders>
              <w:top w:val="single" w:sz="8" w:color="0000EE"/>
            </w:tcBorders>
            <w:shd w:val="clear" w:color="auto" w:fill="CBDBD1"/>
          </w:tcPr>
          <w:p>
            <w:pPr>
              <w:spacing w:after="0" w:line="20" w:lineRule="exact"/>
              <w:rPr>
                <w:sz w:val="1"/>
                <w:szCs w:val="1"/>
                <w:color w:val="auto"/>
              </w:rPr>
            </w:pPr>
          </w:p>
        </w:tc>
        <w:tc>
          <w:tcPr>
            <w:tcW w:w="80" w:type="dxa"/>
            <w:vAlign w:val="bottom"/>
            <w:tcBorders>
              <w:top w:val="single" w:sz="8" w:color="0000EE"/>
            </w:tcBorders>
            <w:shd w:val="clear" w:color="auto" w:fill="CBDBD1"/>
          </w:tcPr>
          <w:p>
            <w:pPr>
              <w:spacing w:after="0" w:line="20" w:lineRule="exact"/>
              <w:rPr>
                <w:sz w:val="1"/>
                <w:szCs w:val="1"/>
                <w:color w:val="auto"/>
              </w:rPr>
            </w:pPr>
          </w:p>
        </w:tc>
        <w:tc>
          <w:tcPr>
            <w:tcW w:w="60" w:type="dxa"/>
            <w:vAlign w:val="bottom"/>
            <w:tcBorders>
              <w:top w:val="single" w:sz="8" w:color="0000EE"/>
            </w:tcBorders>
            <w:shd w:val="clear" w:color="auto" w:fill="CBDBD1"/>
          </w:tcPr>
          <w:p>
            <w:pPr>
              <w:spacing w:after="0" w:line="20" w:lineRule="exact"/>
              <w:rPr>
                <w:sz w:val="1"/>
                <w:szCs w:val="1"/>
                <w:color w:val="auto"/>
              </w:rPr>
            </w:pPr>
          </w:p>
        </w:tc>
        <w:tc>
          <w:tcPr>
            <w:tcW w:w="60" w:type="dxa"/>
            <w:vAlign w:val="bottom"/>
            <w:tcBorders>
              <w:top w:val="single" w:sz="8" w:color="0000EE"/>
            </w:tcBorders>
            <w:shd w:val="clear" w:color="auto" w:fill="CBDBD1"/>
          </w:tcPr>
          <w:p>
            <w:pPr>
              <w:spacing w:after="0" w:line="20" w:lineRule="exact"/>
              <w:rPr>
                <w:sz w:val="1"/>
                <w:szCs w:val="1"/>
                <w:color w:val="auto"/>
              </w:rPr>
            </w:pPr>
          </w:p>
        </w:tc>
        <w:tc>
          <w:tcPr>
            <w:tcW w:w="280" w:type="dxa"/>
            <w:vAlign w:val="bottom"/>
            <w:tcBorders>
              <w:top w:val="single" w:sz="8" w:color="0000EE"/>
            </w:tcBorders>
            <w:shd w:val="clear" w:color="auto" w:fill="CBDBD1"/>
          </w:tcPr>
          <w:p>
            <w:pPr>
              <w:spacing w:after="0" w:line="20" w:lineRule="exact"/>
              <w:rPr>
                <w:sz w:val="1"/>
                <w:szCs w:val="1"/>
                <w:color w:val="auto"/>
              </w:rPr>
            </w:pPr>
          </w:p>
        </w:tc>
        <w:tc>
          <w:tcPr>
            <w:tcW w:w="3220" w:type="dxa"/>
            <w:vAlign w:val="bottom"/>
            <w:tcBorders>
              <w:top w:val="single" w:sz="8" w:color="0000EE"/>
            </w:tcBorders>
            <w:shd w:val="clear" w:color="auto" w:fill="CBDBD1"/>
          </w:tcPr>
          <w:p>
            <w:pPr>
              <w:spacing w:after="0" w:line="20" w:lineRule="exact"/>
              <w:rPr>
                <w:sz w:val="1"/>
                <w:szCs w:val="1"/>
                <w:color w:val="auto"/>
              </w:rPr>
            </w:pPr>
          </w:p>
        </w:tc>
        <w:tc>
          <w:tcPr>
            <w:tcW w:w="1460" w:type="dxa"/>
            <w:vAlign w:val="bottom"/>
            <w:tcBorders>
              <w:top w:val="single" w:sz="8" w:color="CBDBD1"/>
            </w:tcBorders>
            <w:shd w:val="clear" w:color="auto" w:fill="CBDBD1"/>
          </w:tcPr>
          <w:p>
            <w:pPr>
              <w:spacing w:after="0" w:line="20" w:lineRule="exact"/>
              <w:rPr>
                <w:sz w:val="1"/>
                <w:szCs w:val="1"/>
                <w:color w:val="auto"/>
              </w:rPr>
            </w:pPr>
          </w:p>
        </w:tc>
        <w:tc>
          <w:tcPr>
            <w:tcW w:w="820" w:type="dxa"/>
            <w:vAlign w:val="bottom"/>
            <w:tcBorders>
              <w:top w:val="single" w:sz="8" w:color="CBDBD1"/>
            </w:tcBorders>
            <w:shd w:val="clear" w:color="auto" w:fill="CBDBD1"/>
          </w:tcPr>
          <w:p>
            <w:pPr>
              <w:spacing w:after="0" w:line="20" w:lineRule="exact"/>
              <w:rPr>
                <w:sz w:val="1"/>
                <w:szCs w:val="1"/>
                <w:color w:val="auto"/>
              </w:rPr>
            </w:pPr>
          </w:p>
        </w:tc>
        <w:tc>
          <w:tcPr>
            <w:tcW w:w="80" w:type="dxa"/>
            <w:vAlign w:val="bottom"/>
            <w:tcBorders>
              <w:top w:val="single" w:sz="8" w:color="0000EE"/>
            </w:tcBorders>
            <w:shd w:val="clear" w:color="auto" w:fill="CBDBD1"/>
          </w:tcPr>
          <w:p>
            <w:pPr>
              <w:spacing w:after="0" w:line="20" w:lineRule="exact"/>
              <w:rPr>
                <w:sz w:val="1"/>
                <w:szCs w:val="1"/>
                <w:color w:val="auto"/>
              </w:rPr>
            </w:pPr>
          </w:p>
        </w:tc>
        <w:tc>
          <w:tcPr>
            <w:tcW w:w="100" w:type="dxa"/>
            <w:vAlign w:val="bottom"/>
            <w:tcBorders>
              <w:top w:val="single" w:sz="8" w:color="0000EE"/>
            </w:tcBorders>
            <w:shd w:val="clear" w:color="auto" w:fill="CBDBD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40" w:type="dxa"/>
            <w:vAlign w:val="bottom"/>
            <w:gridSpan w:val="13"/>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Controls and Procedures</w:t>
              </w:r>
            </w:hyperlink>
          </w:p>
        </w:tc>
        <w:tc>
          <w:tcPr>
            <w:tcW w:w="1460" w:type="dxa"/>
            <w:vAlign w:val="bottom"/>
          </w:tcPr>
          <w:p>
            <w:pPr>
              <w:spacing w:after="0"/>
              <w:rPr>
                <w:sz w:val="15"/>
                <w:szCs w:val="15"/>
                <w:color w:val="auto"/>
              </w:rPr>
            </w:pPr>
          </w:p>
        </w:tc>
        <w:tc>
          <w:tcPr>
            <w:tcW w:w="1000" w:type="dxa"/>
            <w:vAlign w:val="bottom"/>
            <w:gridSpan w:val="3"/>
          </w:tcPr>
          <w:p>
            <w:pPr>
              <w:jc w:val="right"/>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12</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2660" w:type="dxa"/>
            <w:vAlign w:val="bottom"/>
            <w:gridSpan w:val="7"/>
            <w:shd w:val="clear" w:color="auto" w:fill="CBDBD1"/>
          </w:tcPr>
          <w:p>
            <w:pPr>
              <w:spacing w:after="0" w:line="176" w:lineRule="exact"/>
              <w:rPr>
                <w:rFonts w:ascii="Arial" w:cs="Arial" w:eastAsia="Arial" w:hAnsi="Arial"/>
                <w:sz w:val="18"/>
                <w:szCs w:val="18"/>
                <w:color w:val="0000EE"/>
                <w:w w:val="95"/>
              </w:rPr>
            </w:pPr>
            <w:hyperlink w:anchor="page14">
              <w:r>
                <w:rPr>
                  <w:rFonts w:ascii="Arial" w:cs="Arial" w:eastAsia="Arial" w:hAnsi="Arial"/>
                  <w:sz w:val="18"/>
                  <w:szCs w:val="18"/>
                  <w:color w:val="0000EE"/>
                  <w:w w:val="95"/>
                </w:rPr>
                <w:t>PART II – OTHER INFORMATION</w:t>
              </w:r>
            </w:hyperlink>
          </w:p>
        </w:tc>
        <w:tc>
          <w:tcPr>
            <w:tcW w:w="5460" w:type="dxa"/>
            <w:vAlign w:val="bottom"/>
            <w:gridSpan w:val="8"/>
            <w:shd w:val="clear" w:color="auto" w:fill="CBDBD1"/>
          </w:tcPr>
          <w:p>
            <w:pPr>
              <w:spacing w:after="0"/>
              <w:rPr>
                <w:sz w:val="15"/>
                <w:szCs w:val="15"/>
                <w:color w:val="auto"/>
              </w:rPr>
            </w:pPr>
          </w:p>
        </w:tc>
        <w:tc>
          <w:tcPr>
            <w:tcW w:w="1000" w:type="dxa"/>
            <w:vAlign w:val="bottom"/>
            <w:gridSpan w:val="3"/>
            <w:shd w:val="clear" w:color="auto" w:fill="CBDBD1"/>
          </w:tcPr>
          <w:p>
            <w:pPr>
              <w:jc w:val="right"/>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14</w:t>
              </w:r>
            </w:hyperlink>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shd w:val="clear" w:color="auto" w:fill="CBDBD1"/>
          </w:tcPr>
          <w:p>
            <w:pPr>
              <w:spacing w:after="0" w:line="20" w:lineRule="exact"/>
              <w:rPr>
                <w:sz w:val="1"/>
                <w:szCs w:val="1"/>
                <w:color w:val="auto"/>
              </w:rPr>
            </w:pPr>
          </w:p>
        </w:tc>
        <w:tc>
          <w:tcPr>
            <w:tcW w:w="220" w:type="dxa"/>
            <w:vAlign w:val="bottom"/>
            <w:tcBorders>
              <w:top w:val="single" w:sz="8" w:color="0000EE"/>
            </w:tcBorders>
            <w:shd w:val="clear" w:color="auto" w:fill="CBDBD1"/>
          </w:tcPr>
          <w:p>
            <w:pPr>
              <w:spacing w:after="0" w:line="20" w:lineRule="exact"/>
              <w:rPr>
                <w:sz w:val="1"/>
                <w:szCs w:val="1"/>
                <w:color w:val="auto"/>
              </w:rPr>
            </w:pPr>
          </w:p>
        </w:tc>
        <w:tc>
          <w:tcPr>
            <w:tcW w:w="640" w:type="dxa"/>
            <w:vAlign w:val="bottom"/>
            <w:tcBorders>
              <w:top w:val="single" w:sz="8" w:color="0000EE"/>
            </w:tcBorders>
            <w:shd w:val="clear" w:color="auto" w:fill="CBDBD1"/>
          </w:tcPr>
          <w:p>
            <w:pPr>
              <w:spacing w:after="0" w:line="20" w:lineRule="exact"/>
              <w:rPr>
                <w:sz w:val="1"/>
                <w:szCs w:val="1"/>
                <w:color w:val="auto"/>
              </w:rPr>
            </w:pPr>
          </w:p>
        </w:tc>
        <w:tc>
          <w:tcPr>
            <w:tcW w:w="900" w:type="dxa"/>
            <w:vAlign w:val="bottom"/>
            <w:tcBorders>
              <w:top w:val="single" w:sz="8" w:color="0000EE"/>
            </w:tcBorders>
            <w:shd w:val="clear" w:color="auto" w:fill="CBDBD1"/>
          </w:tcPr>
          <w:p>
            <w:pPr>
              <w:spacing w:after="0" w:line="20" w:lineRule="exact"/>
              <w:rPr>
                <w:sz w:val="1"/>
                <w:szCs w:val="1"/>
                <w:color w:val="auto"/>
              </w:rPr>
            </w:pPr>
          </w:p>
        </w:tc>
        <w:tc>
          <w:tcPr>
            <w:tcW w:w="400" w:type="dxa"/>
            <w:vAlign w:val="bottom"/>
            <w:tcBorders>
              <w:top w:val="single" w:sz="8" w:color="0000EE"/>
            </w:tcBorders>
            <w:shd w:val="clear" w:color="auto" w:fill="CBDBD1"/>
          </w:tcPr>
          <w:p>
            <w:pPr>
              <w:spacing w:after="0" w:line="20" w:lineRule="exact"/>
              <w:rPr>
                <w:sz w:val="1"/>
                <w:szCs w:val="1"/>
                <w:color w:val="auto"/>
              </w:rPr>
            </w:pPr>
          </w:p>
        </w:tc>
        <w:tc>
          <w:tcPr>
            <w:tcW w:w="140" w:type="dxa"/>
            <w:vAlign w:val="bottom"/>
            <w:tcBorders>
              <w:top w:val="single" w:sz="8" w:color="0000EE"/>
            </w:tcBorders>
            <w:shd w:val="clear" w:color="auto" w:fill="CBDBD1"/>
          </w:tcPr>
          <w:p>
            <w:pPr>
              <w:spacing w:after="0" w:line="20" w:lineRule="exact"/>
              <w:rPr>
                <w:sz w:val="1"/>
                <w:szCs w:val="1"/>
                <w:color w:val="auto"/>
              </w:rPr>
            </w:pPr>
          </w:p>
        </w:tc>
        <w:tc>
          <w:tcPr>
            <w:tcW w:w="140" w:type="dxa"/>
            <w:vAlign w:val="bottom"/>
            <w:tcBorders>
              <w:top w:val="single" w:sz="8" w:color="0000EE"/>
            </w:tcBorders>
            <w:shd w:val="clear" w:color="auto" w:fill="CBDBD1"/>
          </w:tcPr>
          <w:p>
            <w:pPr>
              <w:spacing w:after="0" w:line="20" w:lineRule="exact"/>
              <w:rPr>
                <w:sz w:val="1"/>
                <w:szCs w:val="1"/>
                <w:color w:val="auto"/>
              </w:rPr>
            </w:pPr>
          </w:p>
        </w:tc>
        <w:tc>
          <w:tcPr>
            <w:tcW w:w="40" w:type="dxa"/>
            <w:vAlign w:val="bottom"/>
            <w:tcBorders>
              <w:top w:val="single" w:sz="8" w:color="CBDBD1"/>
            </w:tcBorders>
            <w:shd w:val="clear" w:color="auto" w:fill="CBDBD1"/>
          </w:tcPr>
          <w:p>
            <w:pPr>
              <w:spacing w:after="0" w:line="20" w:lineRule="exact"/>
              <w:rPr>
                <w:sz w:val="1"/>
                <w:szCs w:val="1"/>
                <w:color w:val="auto"/>
              </w:rPr>
            </w:pPr>
          </w:p>
        </w:tc>
        <w:tc>
          <w:tcPr>
            <w:tcW w:w="260" w:type="dxa"/>
            <w:vAlign w:val="bottom"/>
            <w:tcBorders>
              <w:top w:val="single" w:sz="8" w:color="CBDBD1"/>
            </w:tcBorders>
            <w:shd w:val="clear" w:color="auto" w:fill="CBDBD1"/>
          </w:tcPr>
          <w:p>
            <w:pPr>
              <w:spacing w:after="0" w:line="20" w:lineRule="exact"/>
              <w:rPr>
                <w:sz w:val="1"/>
                <w:szCs w:val="1"/>
                <w:color w:val="auto"/>
              </w:rPr>
            </w:pPr>
          </w:p>
        </w:tc>
        <w:tc>
          <w:tcPr>
            <w:tcW w:w="80" w:type="dxa"/>
            <w:vAlign w:val="bottom"/>
            <w:tcBorders>
              <w:top w:val="single" w:sz="8" w:color="CBDBD1"/>
            </w:tcBorders>
            <w:shd w:val="clear" w:color="auto" w:fill="CBDBD1"/>
          </w:tcPr>
          <w:p>
            <w:pPr>
              <w:spacing w:after="0" w:line="20" w:lineRule="exact"/>
              <w:rPr>
                <w:sz w:val="1"/>
                <w:szCs w:val="1"/>
                <w:color w:val="auto"/>
              </w:rPr>
            </w:pPr>
          </w:p>
        </w:tc>
        <w:tc>
          <w:tcPr>
            <w:tcW w:w="60" w:type="dxa"/>
            <w:vAlign w:val="bottom"/>
            <w:tcBorders>
              <w:top w:val="single" w:sz="8" w:color="CBDBD1"/>
            </w:tcBorders>
            <w:shd w:val="clear" w:color="auto" w:fill="CBDBD1"/>
          </w:tcPr>
          <w:p>
            <w:pPr>
              <w:spacing w:after="0" w:line="20" w:lineRule="exact"/>
              <w:rPr>
                <w:sz w:val="1"/>
                <w:szCs w:val="1"/>
                <w:color w:val="auto"/>
              </w:rPr>
            </w:pPr>
          </w:p>
        </w:tc>
        <w:tc>
          <w:tcPr>
            <w:tcW w:w="60" w:type="dxa"/>
            <w:vAlign w:val="bottom"/>
            <w:tcBorders>
              <w:top w:val="single" w:sz="8" w:color="CBDBD1"/>
            </w:tcBorders>
            <w:shd w:val="clear" w:color="auto" w:fill="CBDBD1"/>
          </w:tcPr>
          <w:p>
            <w:pPr>
              <w:spacing w:after="0" w:line="20" w:lineRule="exact"/>
              <w:rPr>
                <w:sz w:val="1"/>
                <w:szCs w:val="1"/>
                <w:color w:val="auto"/>
              </w:rPr>
            </w:pPr>
          </w:p>
        </w:tc>
        <w:tc>
          <w:tcPr>
            <w:tcW w:w="280" w:type="dxa"/>
            <w:vAlign w:val="bottom"/>
            <w:tcBorders>
              <w:top w:val="single" w:sz="8" w:color="CBDBD1"/>
            </w:tcBorders>
            <w:shd w:val="clear" w:color="auto" w:fill="CBDBD1"/>
          </w:tcPr>
          <w:p>
            <w:pPr>
              <w:spacing w:after="0" w:line="20" w:lineRule="exact"/>
              <w:rPr>
                <w:sz w:val="1"/>
                <w:szCs w:val="1"/>
                <w:color w:val="auto"/>
              </w:rPr>
            </w:pPr>
          </w:p>
        </w:tc>
        <w:tc>
          <w:tcPr>
            <w:tcW w:w="3220" w:type="dxa"/>
            <w:vAlign w:val="bottom"/>
            <w:tcBorders>
              <w:top w:val="single" w:sz="8" w:color="CBDBD1"/>
            </w:tcBorders>
            <w:shd w:val="clear" w:color="auto" w:fill="CBDBD1"/>
          </w:tcPr>
          <w:p>
            <w:pPr>
              <w:spacing w:after="0" w:line="20" w:lineRule="exact"/>
              <w:rPr>
                <w:sz w:val="1"/>
                <w:szCs w:val="1"/>
                <w:color w:val="auto"/>
              </w:rPr>
            </w:pPr>
          </w:p>
        </w:tc>
        <w:tc>
          <w:tcPr>
            <w:tcW w:w="1460" w:type="dxa"/>
            <w:vAlign w:val="bottom"/>
            <w:tcBorders>
              <w:top w:val="single" w:sz="8" w:color="CBDBD1"/>
            </w:tcBorders>
            <w:shd w:val="clear" w:color="auto" w:fill="CBDBD1"/>
          </w:tcPr>
          <w:p>
            <w:pPr>
              <w:spacing w:after="0" w:line="20" w:lineRule="exact"/>
              <w:rPr>
                <w:sz w:val="1"/>
                <w:szCs w:val="1"/>
                <w:color w:val="auto"/>
              </w:rPr>
            </w:pPr>
          </w:p>
        </w:tc>
        <w:tc>
          <w:tcPr>
            <w:tcW w:w="820" w:type="dxa"/>
            <w:vAlign w:val="bottom"/>
            <w:tcBorders>
              <w:top w:val="single" w:sz="8" w:color="CBDBD1"/>
            </w:tcBorders>
            <w:shd w:val="clear" w:color="auto" w:fill="CBDBD1"/>
          </w:tcPr>
          <w:p>
            <w:pPr>
              <w:spacing w:after="0" w:line="20" w:lineRule="exact"/>
              <w:rPr>
                <w:sz w:val="1"/>
                <w:szCs w:val="1"/>
                <w:color w:val="auto"/>
              </w:rPr>
            </w:pPr>
          </w:p>
        </w:tc>
        <w:tc>
          <w:tcPr>
            <w:tcW w:w="80" w:type="dxa"/>
            <w:vAlign w:val="bottom"/>
            <w:tcBorders>
              <w:top w:val="single" w:sz="8" w:color="0000EE"/>
            </w:tcBorders>
            <w:shd w:val="clear" w:color="auto" w:fill="CBDBD1"/>
          </w:tcPr>
          <w:p>
            <w:pPr>
              <w:spacing w:after="0" w:line="20" w:lineRule="exact"/>
              <w:rPr>
                <w:sz w:val="1"/>
                <w:szCs w:val="1"/>
                <w:color w:val="auto"/>
              </w:rPr>
            </w:pPr>
          </w:p>
        </w:tc>
        <w:tc>
          <w:tcPr>
            <w:tcW w:w="100" w:type="dxa"/>
            <w:vAlign w:val="bottom"/>
            <w:tcBorders>
              <w:top w:val="single" w:sz="8" w:color="0000EE"/>
            </w:tcBorders>
            <w:shd w:val="clear" w:color="auto" w:fill="CBDBD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900" w:type="dxa"/>
            <w:vAlign w:val="bottom"/>
            <w:gridSpan w:val="14"/>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Unregistered Sales of Equity Securities</w:t>
              </w:r>
            </w:hyperlink>
          </w:p>
        </w:tc>
        <w:tc>
          <w:tcPr>
            <w:tcW w:w="1000" w:type="dxa"/>
            <w:vAlign w:val="bottom"/>
            <w:gridSpan w:val="3"/>
          </w:tcPr>
          <w:p>
            <w:pPr>
              <w:jc w:val="right"/>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14</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20" w:type="dxa"/>
            <w:vAlign w:val="bottom"/>
            <w:shd w:val="clear" w:color="auto" w:fill="CBDBD1"/>
          </w:tcPr>
          <w:p>
            <w:pPr>
              <w:spacing w:after="0"/>
              <w:rPr>
                <w:sz w:val="15"/>
                <w:szCs w:val="15"/>
                <w:color w:val="auto"/>
              </w:rPr>
            </w:pPr>
          </w:p>
        </w:tc>
        <w:tc>
          <w:tcPr>
            <w:tcW w:w="7900" w:type="dxa"/>
            <w:vAlign w:val="bottom"/>
            <w:gridSpan w:val="14"/>
            <w:shd w:val="clear" w:color="auto" w:fill="CBDBD1"/>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Exhibits and Reports on Form 8-K</w:t>
              </w:r>
            </w:hyperlink>
          </w:p>
        </w:tc>
        <w:tc>
          <w:tcPr>
            <w:tcW w:w="1000" w:type="dxa"/>
            <w:vAlign w:val="bottom"/>
            <w:gridSpan w:val="3"/>
            <w:shd w:val="clear" w:color="auto" w:fill="CBDBD1"/>
          </w:tcPr>
          <w:p>
            <w:pPr>
              <w:jc w:val="right"/>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14</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20" w:type="dxa"/>
            <w:vAlign w:val="bottom"/>
            <w:tcBorders>
              <w:top w:val="single" w:sz="8" w:color="CBDBD1"/>
            </w:tcBorders>
            <w:shd w:val="clear" w:color="auto" w:fill="CBDBD1"/>
          </w:tcPr>
          <w:p>
            <w:pPr>
              <w:spacing w:after="0" w:line="20" w:lineRule="exact"/>
              <w:rPr>
                <w:sz w:val="1"/>
                <w:szCs w:val="1"/>
                <w:color w:val="auto"/>
              </w:rPr>
            </w:pPr>
          </w:p>
        </w:tc>
        <w:tc>
          <w:tcPr>
            <w:tcW w:w="220" w:type="dxa"/>
            <w:vAlign w:val="bottom"/>
            <w:tcBorders>
              <w:top w:val="single" w:sz="8" w:color="0000EE"/>
            </w:tcBorders>
            <w:shd w:val="clear" w:color="auto" w:fill="CBDBD1"/>
          </w:tcPr>
          <w:p>
            <w:pPr>
              <w:spacing w:after="0" w:line="20" w:lineRule="exact"/>
              <w:rPr>
                <w:sz w:val="1"/>
                <w:szCs w:val="1"/>
                <w:color w:val="auto"/>
              </w:rPr>
            </w:pPr>
          </w:p>
        </w:tc>
        <w:tc>
          <w:tcPr>
            <w:tcW w:w="640" w:type="dxa"/>
            <w:vAlign w:val="bottom"/>
            <w:tcBorders>
              <w:top w:val="single" w:sz="8" w:color="0000EE"/>
            </w:tcBorders>
            <w:shd w:val="clear" w:color="auto" w:fill="CBDBD1"/>
          </w:tcPr>
          <w:p>
            <w:pPr>
              <w:spacing w:after="0" w:line="20" w:lineRule="exact"/>
              <w:rPr>
                <w:sz w:val="1"/>
                <w:szCs w:val="1"/>
                <w:color w:val="auto"/>
              </w:rPr>
            </w:pPr>
          </w:p>
        </w:tc>
        <w:tc>
          <w:tcPr>
            <w:tcW w:w="900" w:type="dxa"/>
            <w:vAlign w:val="bottom"/>
            <w:tcBorders>
              <w:top w:val="single" w:sz="8" w:color="0000EE"/>
            </w:tcBorders>
            <w:shd w:val="clear" w:color="auto" w:fill="CBDBD1"/>
          </w:tcPr>
          <w:p>
            <w:pPr>
              <w:spacing w:after="0" w:line="20" w:lineRule="exact"/>
              <w:rPr>
                <w:sz w:val="1"/>
                <w:szCs w:val="1"/>
                <w:color w:val="auto"/>
              </w:rPr>
            </w:pPr>
          </w:p>
        </w:tc>
        <w:tc>
          <w:tcPr>
            <w:tcW w:w="400" w:type="dxa"/>
            <w:vAlign w:val="bottom"/>
            <w:tcBorders>
              <w:top w:val="single" w:sz="8" w:color="0000EE"/>
            </w:tcBorders>
            <w:shd w:val="clear" w:color="auto" w:fill="CBDBD1"/>
          </w:tcPr>
          <w:p>
            <w:pPr>
              <w:spacing w:after="0" w:line="20" w:lineRule="exact"/>
              <w:rPr>
                <w:sz w:val="1"/>
                <w:szCs w:val="1"/>
                <w:color w:val="auto"/>
              </w:rPr>
            </w:pPr>
          </w:p>
        </w:tc>
        <w:tc>
          <w:tcPr>
            <w:tcW w:w="140" w:type="dxa"/>
            <w:vAlign w:val="bottom"/>
            <w:tcBorders>
              <w:top w:val="single" w:sz="8" w:color="0000EE"/>
            </w:tcBorders>
            <w:shd w:val="clear" w:color="auto" w:fill="CBDBD1"/>
          </w:tcPr>
          <w:p>
            <w:pPr>
              <w:spacing w:after="0" w:line="20" w:lineRule="exact"/>
              <w:rPr>
                <w:sz w:val="1"/>
                <w:szCs w:val="1"/>
                <w:color w:val="auto"/>
              </w:rPr>
            </w:pPr>
          </w:p>
        </w:tc>
        <w:tc>
          <w:tcPr>
            <w:tcW w:w="140" w:type="dxa"/>
            <w:vAlign w:val="bottom"/>
            <w:tcBorders>
              <w:top w:val="single" w:sz="8" w:color="0000EE"/>
            </w:tcBorders>
            <w:shd w:val="clear" w:color="auto" w:fill="CBDBD1"/>
          </w:tcPr>
          <w:p>
            <w:pPr>
              <w:spacing w:after="0" w:line="20" w:lineRule="exact"/>
              <w:rPr>
                <w:sz w:val="1"/>
                <w:szCs w:val="1"/>
                <w:color w:val="auto"/>
              </w:rPr>
            </w:pPr>
          </w:p>
        </w:tc>
        <w:tc>
          <w:tcPr>
            <w:tcW w:w="40" w:type="dxa"/>
            <w:vAlign w:val="bottom"/>
            <w:tcBorders>
              <w:top w:val="single" w:sz="8" w:color="0000EE"/>
            </w:tcBorders>
            <w:shd w:val="clear" w:color="auto" w:fill="CBDBD1"/>
          </w:tcPr>
          <w:p>
            <w:pPr>
              <w:spacing w:after="0" w:line="20" w:lineRule="exact"/>
              <w:rPr>
                <w:sz w:val="1"/>
                <w:szCs w:val="1"/>
                <w:color w:val="auto"/>
              </w:rPr>
            </w:pPr>
          </w:p>
        </w:tc>
        <w:tc>
          <w:tcPr>
            <w:tcW w:w="260" w:type="dxa"/>
            <w:vAlign w:val="bottom"/>
            <w:tcBorders>
              <w:top w:val="single" w:sz="8" w:color="CBDBD1"/>
            </w:tcBorders>
            <w:shd w:val="clear" w:color="auto" w:fill="CBDBD1"/>
          </w:tcPr>
          <w:p>
            <w:pPr>
              <w:spacing w:after="0" w:line="20" w:lineRule="exact"/>
              <w:rPr>
                <w:sz w:val="1"/>
                <w:szCs w:val="1"/>
                <w:color w:val="auto"/>
              </w:rPr>
            </w:pPr>
          </w:p>
        </w:tc>
        <w:tc>
          <w:tcPr>
            <w:tcW w:w="80" w:type="dxa"/>
            <w:vAlign w:val="bottom"/>
            <w:tcBorders>
              <w:top w:val="single" w:sz="8" w:color="CBDBD1"/>
            </w:tcBorders>
            <w:shd w:val="clear" w:color="auto" w:fill="CBDBD1"/>
          </w:tcPr>
          <w:p>
            <w:pPr>
              <w:spacing w:after="0" w:line="20" w:lineRule="exact"/>
              <w:rPr>
                <w:sz w:val="1"/>
                <w:szCs w:val="1"/>
                <w:color w:val="auto"/>
              </w:rPr>
            </w:pPr>
          </w:p>
        </w:tc>
        <w:tc>
          <w:tcPr>
            <w:tcW w:w="60" w:type="dxa"/>
            <w:vAlign w:val="bottom"/>
            <w:tcBorders>
              <w:top w:val="single" w:sz="8" w:color="CBDBD1"/>
            </w:tcBorders>
            <w:shd w:val="clear" w:color="auto" w:fill="CBDBD1"/>
          </w:tcPr>
          <w:p>
            <w:pPr>
              <w:spacing w:after="0" w:line="20" w:lineRule="exact"/>
              <w:rPr>
                <w:sz w:val="1"/>
                <w:szCs w:val="1"/>
                <w:color w:val="auto"/>
              </w:rPr>
            </w:pPr>
          </w:p>
        </w:tc>
        <w:tc>
          <w:tcPr>
            <w:tcW w:w="60" w:type="dxa"/>
            <w:vAlign w:val="bottom"/>
            <w:tcBorders>
              <w:top w:val="single" w:sz="8" w:color="CBDBD1"/>
            </w:tcBorders>
            <w:shd w:val="clear" w:color="auto" w:fill="CBDBD1"/>
          </w:tcPr>
          <w:p>
            <w:pPr>
              <w:spacing w:after="0" w:line="20" w:lineRule="exact"/>
              <w:rPr>
                <w:sz w:val="1"/>
                <w:szCs w:val="1"/>
                <w:color w:val="auto"/>
              </w:rPr>
            </w:pPr>
          </w:p>
        </w:tc>
        <w:tc>
          <w:tcPr>
            <w:tcW w:w="280" w:type="dxa"/>
            <w:vAlign w:val="bottom"/>
            <w:tcBorders>
              <w:top w:val="single" w:sz="8" w:color="CBDBD1"/>
            </w:tcBorders>
            <w:shd w:val="clear" w:color="auto" w:fill="CBDBD1"/>
          </w:tcPr>
          <w:p>
            <w:pPr>
              <w:spacing w:after="0" w:line="20" w:lineRule="exact"/>
              <w:rPr>
                <w:sz w:val="1"/>
                <w:szCs w:val="1"/>
                <w:color w:val="auto"/>
              </w:rPr>
            </w:pPr>
          </w:p>
        </w:tc>
        <w:tc>
          <w:tcPr>
            <w:tcW w:w="3220" w:type="dxa"/>
            <w:vAlign w:val="bottom"/>
            <w:tcBorders>
              <w:top w:val="single" w:sz="8" w:color="CBDBD1"/>
            </w:tcBorders>
            <w:shd w:val="clear" w:color="auto" w:fill="CBDBD1"/>
          </w:tcPr>
          <w:p>
            <w:pPr>
              <w:spacing w:after="0" w:line="20" w:lineRule="exact"/>
              <w:rPr>
                <w:sz w:val="1"/>
                <w:szCs w:val="1"/>
                <w:color w:val="auto"/>
              </w:rPr>
            </w:pPr>
          </w:p>
        </w:tc>
        <w:tc>
          <w:tcPr>
            <w:tcW w:w="1460" w:type="dxa"/>
            <w:vAlign w:val="bottom"/>
            <w:tcBorders>
              <w:top w:val="single" w:sz="8" w:color="CBDBD1"/>
            </w:tcBorders>
            <w:shd w:val="clear" w:color="auto" w:fill="CBDBD1"/>
          </w:tcPr>
          <w:p>
            <w:pPr>
              <w:spacing w:after="0" w:line="20" w:lineRule="exact"/>
              <w:rPr>
                <w:sz w:val="1"/>
                <w:szCs w:val="1"/>
                <w:color w:val="auto"/>
              </w:rPr>
            </w:pPr>
          </w:p>
        </w:tc>
        <w:tc>
          <w:tcPr>
            <w:tcW w:w="820" w:type="dxa"/>
            <w:vAlign w:val="bottom"/>
            <w:tcBorders>
              <w:top w:val="single" w:sz="8" w:color="CBDBD1"/>
            </w:tcBorders>
            <w:shd w:val="clear" w:color="auto" w:fill="CBDBD1"/>
          </w:tcPr>
          <w:p>
            <w:pPr>
              <w:spacing w:after="0" w:line="20" w:lineRule="exact"/>
              <w:rPr>
                <w:sz w:val="1"/>
                <w:szCs w:val="1"/>
                <w:color w:val="auto"/>
              </w:rPr>
            </w:pPr>
          </w:p>
        </w:tc>
        <w:tc>
          <w:tcPr>
            <w:tcW w:w="80" w:type="dxa"/>
            <w:vAlign w:val="bottom"/>
            <w:tcBorders>
              <w:top w:val="single" w:sz="8" w:color="0000EE"/>
            </w:tcBorders>
            <w:shd w:val="clear" w:color="auto" w:fill="CBDBD1"/>
          </w:tcPr>
          <w:p>
            <w:pPr>
              <w:spacing w:after="0" w:line="20" w:lineRule="exact"/>
              <w:rPr>
                <w:sz w:val="1"/>
                <w:szCs w:val="1"/>
                <w:color w:val="auto"/>
              </w:rPr>
            </w:pPr>
          </w:p>
        </w:tc>
        <w:tc>
          <w:tcPr>
            <w:tcW w:w="100" w:type="dxa"/>
            <w:vAlign w:val="bottom"/>
            <w:tcBorders>
              <w:top w:val="single" w:sz="8" w:color="0000EE"/>
            </w:tcBorders>
            <w:shd w:val="clear" w:color="auto" w:fill="CBDBD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120" w:type="dxa"/>
            <w:vAlign w:val="bottom"/>
            <w:gridSpan w:val="15"/>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SIGNATURES</w:t>
              </w:r>
            </w:hyperlink>
          </w:p>
        </w:tc>
        <w:tc>
          <w:tcPr>
            <w:tcW w:w="1000" w:type="dxa"/>
            <w:vAlign w:val="bottom"/>
            <w:gridSpan w:val="3"/>
          </w:tcPr>
          <w:p>
            <w:pPr>
              <w:jc w:val="right"/>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15</w:t>
              </w:r>
            </w:hyperlink>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513" w:right="13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Financial Statements</w:t>
      </w:r>
    </w:p>
    <w:p>
      <w:pPr>
        <w:spacing w:after="0" w:line="25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accompanying unaudited financial statements have been prepared in accordance with generally accepted accounting principles for interim financial reporting and pursuant to the rules and regulations of the Securities and Exchange Commission ("Commission"). While these statements reflect all normal recurring adjustments which are, in the opinion of management, necessary for fair presentation of the results of the interim period, they do not include all of the information and footnotes required by generally accepted accounting principles for complete financial statements. For further information, refer to the financial statements and footnotes thereto, which are included in the Company's Annual Report on Form 10-K, previously filed with the Commission on March 17,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Excaliber Enterprises, Ltd.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Balance Sheets</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June 30,</w:t>
            </w:r>
          </w:p>
        </w:tc>
        <w:tc>
          <w:tcPr>
            <w:tcW w:w="80" w:type="dxa"/>
            <w:vAlign w:val="bottom"/>
          </w:tcPr>
          <w:p>
            <w:pPr>
              <w:spacing w:after="0"/>
              <w:rPr>
                <w:sz w:val="18"/>
                <w:szCs w:val="18"/>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BDBD1"/>
          </w:tcPr>
          <w:p>
            <w:pPr>
              <w:spacing w:after="0"/>
              <w:rPr>
                <w:sz w:val="20"/>
                <w:szCs w:val="20"/>
                <w:color w:val="auto"/>
              </w:rPr>
            </w:pPr>
            <w:r>
              <w:rPr>
                <w:rFonts w:ascii="Arial" w:cs="Arial" w:eastAsia="Arial" w:hAnsi="Arial"/>
                <w:sz w:val="18"/>
                <w:szCs w:val="18"/>
                <w:b w:val="1"/>
                <w:bCs w:val="1"/>
                <w:color w:val="auto"/>
              </w:rPr>
              <w:t>Assets</w:t>
            </w:r>
          </w:p>
        </w:tc>
        <w:tc>
          <w:tcPr>
            <w:tcW w:w="1960" w:type="dxa"/>
            <w:vAlign w:val="bottom"/>
            <w:shd w:val="clear" w:color="auto" w:fill="CBDBD1"/>
          </w:tcPr>
          <w:p>
            <w:pPr>
              <w:spacing w:after="0"/>
              <w:rPr>
                <w:sz w:val="18"/>
                <w:szCs w:val="18"/>
                <w:color w:val="auto"/>
              </w:rPr>
            </w:pPr>
          </w:p>
        </w:tc>
        <w:tc>
          <w:tcPr>
            <w:tcW w:w="160" w:type="dxa"/>
            <w:vAlign w:val="bottom"/>
            <w:shd w:val="clear" w:color="auto" w:fill="CBDBD1"/>
          </w:tcPr>
          <w:p>
            <w:pPr>
              <w:spacing w:after="0"/>
              <w:rPr>
                <w:sz w:val="18"/>
                <w:szCs w:val="18"/>
                <w:color w:val="auto"/>
              </w:rPr>
            </w:pPr>
          </w:p>
        </w:tc>
        <w:tc>
          <w:tcPr>
            <w:tcW w:w="88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220" w:type="dxa"/>
            <w:vAlign w:val="bottom"/>
            <w:shd w:val="clear" w:color="auto" w:fill="CBDBD1"/>
          </w:tcPr>
          <w:p>
            <w:pPr>
              <w:spacing w:after="0"/>
              <w:rPr>
                <w:sz w:val="18"/>
                <w:szCs w:val="18"/>
                <w:color w:val="auto"/>
              </w:rPr>
            </w:pPr>
          </w:p>
        </w:tc>
        <w:tc>
          <w:tcPr>
            <w:tcW w:w="80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940" w:type="dxa"/>
            <w:vAlign w:val="bottom"/>
            <w:shd w:val="clear" w:color="auto" w:fill="CBDBD1"/>
          </w:tcPr>
          <w:p>
            <w:pPr>
              <w:spacing w:after="0"/>
              <w:rPr>
                <w:sz w:val="20"/>
                <w:szCs w:val="20"/>
                <w:color w:val="auto"/>
              </w:rPr>
            </w:pPr>
            <w:r>
              <w:rPr>
                <w:rFonts w:ascii="Arial" w:cs="Arial" w:eastAsia="Arial" w:hAnsi="Arial"/>
                <w:sz w:val="18"/>
                <w:szCs w:val="18"/>
                <w:color w:val="auto"/>
              </w:rPr>
              <w:t>Cash</w:t>
            </w:r>
          </w:p>
        </w:tc>
        <w:tc>
          <w:tcPr>
            <w:tcW w:w="212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1,889</w:t>
            </w:r>
          </w:p>
        </w:tc>
        <w:tc>
          <w:tcPr>
            <w:tcW w:w="120" w:type="dxa"/>
            <w:vAlign w:val="bottom"/>
            <w:shd w:val="clear" w:color="auto" w:fill="CBDBD1"/>
          </w:tcPr>
          <w:p>
            <w:pPr>
              <w:spacing w:after="0"/>
              <w:rPr>
                <w:sz w:val="19"/>
                <w:szCs w:val="19"/>
                <w:color w:val="auto"/>
              </w:rPr>
            </w:pPr>
          </w:p>
        </w:tc>
        <w:tc>
          <w:tcPr>
            <w:tcW w:w="300" w:type="dxa"/>
            <w:vAlign w:val="bottom"/>
            <w:gridSpan w:val="2"/>
            <w:shd w:val="clear" w:color="auto" w:fill="CBDBD1"/>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556</w:t>
            </w:r>
          </w:p>
        </w:tc>
        <w:tc>
          <w:tcPr>
            <w:tcW w:w="100" w:type="dxa"/>
            <w:vAlign w:val="bottom"/>
            <w:shd w:val="clear" w:color="auto" w:fill="CBDBD1"/>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BDBD1"/>
            </w:tcBorders>
          </w:tcPr>
          <w:p>
            <w:pPr>
              <w:ind w:left="120"/>
              <w:spacing w:after="0"/>
              <w:rPr>
                <w:sz w:val="20"/>
                <w:szCs w:val="20"/>
                <w:color w:val="auto"/>
              </w:rPr>
            </w:pPr>
            <w:r>
              <w:rPr>
                <w:rFonts w:ascii="Arial" w:cs="Arial" w:eastAsia="Arial" w:hAnsi="Arial"/>
                <w:sz w:val="18"/>
                <w:szCs w:val="18"/>
                <w:color w:val="auto"/>
              </w:rPr>
              <w:t>Total current assets</w:t>
            </w:r>
          </w:p>
        </w:tc>
        <w:tc>
          <w:tcPr>
            <w:tcW w:w="1960" w:type="dxa"/>
            <w:vAlign w:val="bottom"/>
            <w:tcBorders>
              <w:top w:val="single" w:sz="8" w:color="CBDBD1"/>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1,889</w:t>
            </w:r>
          </w:p>
        </w:tc>
        <w:tc>
          <w:tcPr>
            <w:tcW w:w="120" w:type="dxa"/>
            <w:vAlign w:val="bottom"/>
            <w:tcBorders>
              <w:top w:val="single" w:sz="8" w:color="CBDBD1"/>
            </w:tcBorders>
          </w:tcPr>
          <w:p>
            <w:pPr>
              <w:spacing w:after="0"/>
              <w:rPr>
                <w:sz w:val="19"/>
                <w:szCs w:val="19"/>
                <w:color w:val="auto"/>
              </w:rPr>
            </w:pPr>
          </w:p>
        </w:tc>
        <w:tc>
          <w:tcPr>
            <w:tcW w:w="80" w:type="dxa"/>
            <w:vAlign w:val="bottom"/>
            <w:tcBorders>
              <w:top w:val="single" w:sz="8" w:color="CBDBD1"/>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Borders>
              <w:top w:val="single" w:sz="8" w:color="CBDBD1"/>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shd w:val="clear" w:color="auto" w:fill="CBDBD1"/>
          </w:tcPr>
          <w:p>
            <w:pPr>
              <w:spacing w:after="0"/>
              <w:rPr>
                <w:sz w:val="18"/>
                <w:szCs w:val="18"/>
                <w:color w:val="auto"/>
              </w:rPr>
            </w:pPr>
          </w:p>
        </w:tc>
        <w:tc>
          <w:tcPr>
            <w:tcW w:w="1960" w:type="dxa"/>
            <w:vAlign w:val="bottom"/>
            <w:shd w:val="clear" w:color="auto" w:fill="CBDBD1"/>
          </w:tcPr>
          <w:p>
            <w:pPr>
              <w:spacing w:after="0"/>
              <w:rPr>
                <w:sz w:val="18"/>
                <w:szCs w:val="18"/>
                <w:color w:val="auto"/>
              </w:rPr>
            </w:pPr>
          </w:p>
        </w:tc>
        <w:tc>
          <w:tcPr>
            <w:tcW w:w="160" w:type="dxa"/>
            <w:vAlign w:val="bottom"/>
            <w:shd w:val="clear" w:color="auto" w:fill="CBDBD1"/>
          </w:tcPr>
          <w:p>
            <w:pPr>
              <w:spacing w:after="0"/>
              <w:rPr>
                <w:sz w:val="18"/>
                <w:szCs w:val="18"/>
                <w:color w:val="auto"/>
              </w:rPr>
            </w:pPr>
          </w:p>
        </w:tc>
        <w:tc>
          <w:tcPr>
            <w:tcW w:w="88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220" w:type="dxa"/>
            <w:vAlign w:val="bottom"/>
            <w:shd w:val="clear" w:color="auto" w:fill="CBDBD1"/>
          </w:tcPr>
          <w:p>
            <w:pPr>
              <w:spacing w:after="0"/>
              <w:rPr>
                <w:sz w:val="18"/>
                <w:szCs w:val="18"/>
                <w:color w:val="auto"/>
              </w:rPr>
            </w:pPr>
          </w:p>
        </w:tc>
        <w:tc>
          <w:tcPr>
            <w:tcW w:w="80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Fixed assets, net of accumulated depreciation of $678</w:t>
            </w: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BDBD1"/>
            </w:tcBorders>
            <w:shd w:val="clear" w:color="auto" w:fill="CBDBD1"/>
          </w:tcPr>
          <w:p>
            <w:pPr>
              <w:ind w:left="80"/>
              <w:spacing w:after="0"/>
              <w:rPr>
                <w:sz w:val="20"/>
                <w:szCs w:val="20"/>
                <w:color w:val="auto"/>
              </w:rPr>
            </w:pPr>
            <w:r>
              <w:rPr>
                <w:rFonts w:ascii="Arial" w:cs="Arial" w:eastAsia="Arial" w:hAnsi="Arial"/>
                <w:sz w:val="18"/>
                <w:szCs w:val="18"/>
                <w:color w:val="auto"/>
              </w:rPr>
              <w:t>and $464 as of 6/30/10 and 12/31/09, respectively</w:t>
            </w:r>
          </w:p>
        </w:tc>
        <w:tc>
          <w:tcPr>
            <w:tcW w:w="1960" w:type="dxa"/>
            <w:vAlign w:val="bottom"/>
            <w:tcBorders>
              <w:bottom w:val="single" w:sz="8" w:color="CBDBD1"/>
            </w:tcBorders>
            <w:shd w:val="clear" w:color="auto" w:fill="CBDBD1"/>
          </w:tcPr>
          <w:p>
            <w:pPr>
              <w:spacing w:after="0"/>
              <w:rPr>
                <w:sz w:val="19"/>
                <w:szCs w:val="19"/>
                <w:color w:val="auto"/>
              </w:rPr>
            </w:pPr>
          </w:p>
        </w:tc>
        <w:tc>
          <w:tcPr>
            <w:tcW w:w="160" w:type="dxa"/>
            <w:vAlign w:val="bottom"/>
            <w:tcBorders>
              <w:bottom w:val="single" w:sz="8" w:color="auto"/>
            </w:tcBorders>
            <w:shd w:val="clear" w:color="auto" w:fill="CBDBD1"/>
          </w:tcPr>
          <w:p>
            <w:pPr>
              <w:spacing w:after="0"/>
              <w:rPr>
                <w:sz w:val="19"/>
                <w:szCs w:val="19"/>
                <w:color w:val="auto"/>
              </w:rPr>
            </w:pPr>
          </w:p>
        </w:tc>
        <w:tc>
          <w:tcPr>
            <w:tcW w:w="88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606</w:t>
            </w:r>
          </w:p>
        </w:tc>
        <w:tc>
          <w:tcPr>
            <w:tcW w:w="120" w:type="dxa"/>
            <w:vAlign w:val="bottom"/>
            <w:tcBorders>
              <w:bottom w:val="single" w:sz="8" w:color="CBDBD1"/>
            </w:tcBorders>
            <w:shd w:val="clear" w:color="auto" w:fill="CBDBD1"/>
          </w:tcPr>
          <w:p>
            <w:pPr>
              <w:spacing w:after="0"/>
              <w:rPr>
                <w:sz w:val="19"/>
                <w:szCs w:val="19"/>
                <w:color w:val="auto"/>
              </w:rPr>
            </w:pPr>
          </w:p>
        </w:tc>
        <w:tc>
          <w:tcPr>
            <w:tcW w:w="80" w:type="dxa"/>
            <w:vAlign w:val="bottom"/>
            <w:tcBorders>
              <w:bottom w:val="single" w:sz="8" w:color="CBDBD1"/>
            </w:tcBorders>
            <w:shd w:val="clear" w:color="auto" w:fill="CBDBD1"/>
          </w:tcPr>
          <w:p>
            <w:pPr>
              <w:spacing w:after="0"/>
              <w:rPr>
                <w:sz w:val="19"/>
                <w:szCs w:val="19"/>
                <w:color w:val="auto"/>
              </w:rPr>
            </w:pPr>
          </w:p>
        </w:tc>
        <w:tc>
          <w:tcPr>
            <w:tcW w:w="220" w:type="dxa"/>
            <w:vAlign w:val="bottom"/>
            <w:tcBorders>
              <w:bottom w:val="single" w:sz="8" w:color="auto"/>
            </w:tcBorders>
            <w:shd w:val="clear" w:color="auto" w:fill="CBDBD1"/>
          </w:tcPr>
          <w:p>
            <w:pPr>
              <w:spacing w:after="0"/>
              <w:rPr>
                <w:sz w:val="19"/>
                <w:szCs w:val="19"/>
                <w:color w:val="auto"/>
              </w:rPr>
            </w:pPr>
          </w:p>
        </w:tc>
        <w:tc>
          <w:tcPr>
            <w:tcW w:w="80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Borders>
              <w:bottom w:val="single" w:sz="8" w:color="CBDBD1"/>
            </w:tcBorders>
            <w:shd w:val="clear" w:color="auto" w:fill="CBDBD1"/>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940" w:type="dxa"/>
            <w:vAlign w:val="bottom"/>
            <w:shd w:val="clear" w:color="auto" w:fill="CBDBD1"/>
          </w:tcPr>
          <w:p>
            <w:pPr>
              <w:spacing w:after="0"/>
              <w:rPr>
                <w:sz w:val="20"/>
                <w:szCs w:val="20"/>
                <w:color w:val="auto"/>
              </w:rPr>
            </w:pPr>
            <w:r>
              <w:rPr>
                <w:rFonts w:ascii="Arial" w:cs="Arial" w:eastAsia="Arial" w:hAnsi="Arial"/>
                <w:sz w:val="18"/>
                <w:szCs w:val="18"/>
                <w:color w:val="auto"/>
              </w:rPr>
              <w:t>Total assets</w:t>
            </w:r>
          </w:p>
        </w:tc>
        <w:tc>
          <w:tcPr>
            <w:tcW w:w="212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2,495</w:t>
            </w:r>
          </w:p>
        </w:tc>
        <w:tc>
          <w:tcPr>
            <w:tcW w:w="120" w:type="dxa"/>
            <w:vAlign w:val="bottom"/>
            <w:shd w:val="clear" w:color="auto" w:fill="CBDBD1"/>
          </w:tcPr>
          <w:p>
            <w:pPr>
              <w:spacing w:after="0"/>
              <w:rPr>
                <w:sz w:val="22"/>
                <w:szCs w:val="22"/>
                <w:color w:val="auto"/>
              </w:rPr>
            </w:pPr>
          </w:p>
        </w:tc>
        <w:tc>
          <w:tcPr>
            <w:tcW w:w="300" w:type="dxa"/>
            <w:vAlign w:val="bottom"/>
            <w:gridSpan w:val="2"/>
            <w:shd w:val="clear" w:color="auto" w:fill="CBDBD1"/>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1,376</w:t>
            </w:r>
          </w:p>
        </w:tc>
        <w:tc>
          <w:tcPr>
            <w:tcW w:w="100" w:type="dxa"/>
            <w:vAlign w:val="bottom"/>
            <w:shd w:val="clear" w:color="auto" w:fill="CBDBD1"/>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Borders>
              <w:top w:val="single" w:sz="8" w:color="CBDBD1"/>
            </w:tcBorders>
          </w:tcPr>
          <w:p>
            <w:pPr>
              <w:spacing w:after="0"/>
              <w:rPr>
                <w:sz w:val="18"/>
                <w:szCs w:val="18"/>
                <w:color w:val="auto"/>
              </w:rPr>
            </w:pPr>
          </w:p>
        </w:tc>
        <w:tc>
          <w:tcPr>
            <w:tcW w:w="1960" w:type="dxa"/>
            <w:vAlign w:val="bottom"/>
            <w:tcBorders>
              <w:top w:val="single" w:sz="8" w:color="CBDBD1"/>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BDBD1"/>
            </w:tcBorders>
          </w:tcPr>
          <w:p>
            <w:pPr>
              <w:spacing w:after="0"/>
              <w:rPr>
                <w:sz w:val="18"/>
                <w:szCs w:val="18"/>
                <w:color w:val="auto"/>
              </w:rPr>
            </w:pPr>
          </w:p>
        </w:tc>
        <w:tc>
          <w:tcPr>
            <w:tcW w:w="80" w:type="dxa"/>
            <w:vAlign w:val="bottom"/>
            <w:tcBorders>
              <w:top w:val="single" w:sz="8" w:color="CBDBD1"/>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BDBD1"/>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BDBD1"/>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960" w:type="dxa"/>
            <w:vAlign w:val="bottom"/>
            <w:shd w:val="clear" w:color="auto" w:fill="CBDBD1"/>
          </w:tcPr>
          <w:p>
            <w:pPr>
              <w:spacing w:after="0"/>
              <w:rPr>
                <w:sz w:val="18"/>
                <w:szCs w:val="18"/>
                <w:color w:val="auto"/>
              </w:rPr>
            </w:pPr>
          </w:p>
        </w:tc>
        <w:tc>
          <w:tcPr>
            <w:tcW w:w="160" w:type="dxa"/>
            <w:vAlign w:val="bottom"/>
            <w:shd w:val="clear" w:color="auto" w:fill="CBDBD1"/>
          </w:tcPr>
          <w:p>
            <w:pPr>
              <w:spacing w:after="0"/>
              <w:rPr>
                <w:sz w:val="18"/>
                <w:szCs w:val="18"/>
                <w:color w:val="auto"/>
              </w:rPr>
            </w:pPr>
          </w:p>
        </w:tc>
        <w:tc>
          <w:tcPr>
            <w:tcW w:w="88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220" w:type="dxa"/>
            <w:vAlign w:val="bottom"/>
            <w:shd w:val="clear" w:color="auto" w:fill="CBDBD1"/>
          </w:tcPr>
          <w:p>
            <w:pPr>
              <w:spacing w:after="0"/>
              <w:rPr>
                <w:sz w:val="18"/>
                <w:szCs w:val="18"/>
                <w:color w:val="auto"/>
              </w:rPr>
            </w:pPr>
          </w:p>
        </w:tc>
        <w:tc>
          <w:tcPr>
            <w:tcW w:w="80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BDBD1"/>
          </w:tcPr>
          <w:p>
            <w:pPr>
              <w:spacing w:after="0"/>
              <w:rPr>
                <w:sz w:val="20"/>
                <w:szCs w:val="20"/>
                <w:color w:val="auto"/>
              </w:rPr>
            </w:pPr>
            <w:r>
              <w:rPr>
                <w:rFonts w:ascii="Arial" w:cs="Arial" w:eastAsia="Arial" w:hAnsi="Arial"/>
                <w:sz w:val="18"/>
                <w:szCs w:val="18"/>
                <w:color w:val="auto"/>
              </w:rPr>
              <w:t>Current liabilities:</w:t>
            </w:r>
          </w:p>
        </w:tc>
        <w:tc>
          <w:tcPr>
            <w:tcW w:w="1960" w:type="dxa"/>
            <w:vAlign w:val="bottom"/>
            <w:shd w:val="clear" w:color="auto" w:fill="CBDBD1"/>
          </w:tcPr>
          <w:p>
            <w:pPr>
              <w:spacing w:after="0"/>
              <w:rPr>
                <w:sz w:val="18"/>
                <w:szCs w:val="18"/>
                <w:color w:val="auto"/>
              </w:rPr>
            </w:pPr>
          </w:p>
        </w:tc>
        <w:tc>
          <w:tcPr>
            <w:tcW w:w="160" w:type="dxa"/>
            <w:vAlign w:val="bottom"/>
            <w:shd w:val="clear" w:color="auto" w:fill="CBDBD1"/>
          </w:tcPr>
          <w:p>
            <w:pPr>
              <w:spacing w:after="0"/>
              <w:rPr>
                <w:sz w:val="18"/>
                <w:szCs w:val="18"/>
                <w:color w:val="auto"/>
              </w:rPr>
            </w:pPr>
          </w:p>
        </w:tc>
        <w:tc>
          <w:tcPr>
            <w:tcW w:w="88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220" w:type="dxa"/>
            <w:vAlign w:val="bottom"/>
            <w:shd w:val="clear" w:color="auto" w:fill="CBDBD1"/>
          </w:tcPr>
          <w:p>
            <w:pPr>
              <w:spacing w:after="0"/>
              <w:rPr>
                <w:sz w:val="18"/>
                <w:szCs w:val="18"/>
                <w:color w:val="auto"/>
              </w:rPr>
            </w:pPr>
          </w:p>
        </w:tc>
        <w:tc>
          <w:tcPr>
            <w:tcW w:w="80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00"/>
              <w:spacing w:after="0"/>
              <w:rPr>
                <w:sz w:val="20"/>
                <w:szCs w:val="20"/>
                <w:color w:val="auto"/>
              </w:rPr>
            </w:pPr>
            <w:r>
              <w:rPr>
                <w:rFonts w:ascii="Arial" w:cs="Arial" w:eastAsia="Arial" w:hAnsi="Arial"/>
                <w:sz w:val="18"/>
                <w:szCs w:val="18"/>
                <w:color w:val="auto"/>
              </w:rPr>
              <w:t>Accounts payable</w:t>
            </w:r>
          </w:p>
        </w:tc>
        <w:tc>
          <w:tcPr>
            <w:tcW w:w="2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BDBD1"/>
          </w:tcPr>
          <w:p>
            <w:pPr>
              <w:ind w:left="120"/>
              <w:spacing w:after="0"/>
              <w:rPr>
                <w:sz w:val="20"/>
                <w:szCs w:val="20"/>
                <w:color w:val="auto"/>
              </w:rPr>
            </w:pPr>
            <w:r>
              <w:rPr>
                <w:rFonts w:ascii="Arial" w:cs="Arial" w:eastAsia="Arial" w:hAnsi="Arial"/>
                <w:sz w:val="18"/>
                <w:szCs w:val="18"/>
                <w:color w:val="auto"/>
              </w:rPr>
              <w:t>Note payable</w:t>
            </w:r>
          </w:p>
        </w:tc>
        <w:tc>
          <w:tcPr>
            <w:tcW w:w="1960" w:type="dxa"/>
            <w:vAlign w:val="bottom"/>
            <w:shd w:val="clear" w:color="auto" w:fill="CBDBD1"/>
          </w:tcPr>
          <w:p>
            <w:pPr>
              <w:spacing w:after="0"/>
              <w:rPr>
                <w:sz w:val="18"/>
                <w:szCs w:val="18"/>
                <w:color w:val="auto"/>
              </w:rPr>
            </w:pPr>
          </w:p>
        </w:tc>
        <w:tc>
          <w:tcPr>
            <w:tcW w:w="160" w:type="dxa"/>
            <w:vAlign w:val="bottom"/>
            <w:shd w:val="clear" w:color="auto" w:fill="CBDBD1"/>
          </w:tcPr>
          <w:p>
            <w:pPr>
              <w:spacing w:after="0"/>
              <w:rPr>
                <w:sz w:val="18"/>
                <w:szCs w:val="18"/>
                <w:color w:val="auto"/>
              </w:rPr>
            </w:pPr>
          </w:p>
        </w:tc>
        <w:tc>
          <w:tcPr>
            <w:tcW w:w="8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220" w:type="dxa"/>
            <w:vAlign w:val="bottom"/>
            <w:shd w:val="clear" w:color="auto" w:fill="CBDBD1"/>
          </w:tcPr>
          <w:p>
            <w:pPr>
              <w:spacing w:after="0"/>
              <w:rPr>
                <w:sz w:val="18"/>
                <w:szCs w:val="18"/>
                <w:color w:val="auto"/>
              </w:rPr>
            </w:pPr>
          </w:p>
        </w:tc>
        <w:tc>
          <w:tcPr>
            <w:tcW w:w="8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120"/>
              <w:spacing w:after="0"/>
              <w:rPr>
                <w:sz w:val="20"/>
                <w:szCs w:val="20"/>
                <w:color w:val="auto"/>
              </w:rPr>
            </w:pPr>
            <w:r>
              <w:rPr>
                <w:rFonts w:ascii="Arial" w:cs="Arial" w:eastAsia="Arial" w:hAnsi="Arial"/>
                <w:sz w:val="18"/>
                <w:szCs w:val="18"/>
                <w:color w:val="auto"/>
              </w:rPr>
              <w:t>Note payable – related party</w:t>
            </w:r>
          </w:p>
        </w:tc>
        <w:tc>
          <w:tcPr>
            <w:tcW w:w="19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BDBD1"/>
            </w:tcBorders>
            <w:shd w:val="clear" w:color="auto" w:fill="CBDBD1"/>
          </w:tcPr>
          <w:p>
            <w:pPr>
              <w:ind w:left="240"/>
              <w:spacing w:after="0"/>
              <w:rPr>
                <w:sz w:val="20"/>
                <w:szCs w:val="20"/>
                <w:color w:val="auto"/>
              </w:rPr>
            </w:pPr>
            <w:r>
              <w:rPr>
                <w:rFonts w:ascii="Arial" w:cs="Arial" w:eastAsia="Arial" w:hAnsi="Arial"/>
                <w:sz w:val="18"/>
                <w:szCs w:val="18"/>
                <w:color w:val="auto"/>
              </w:rPr>
              <w:t>Total current liabilities</w:t>
            </w:r>
          </w:p>
        </w:tc>
        <w:tc>
          <w:tcPr>
            <w:tcW w:w="1960" w:type="dxa"/>
            <w:vAlign w:val="bottom"/>
            <w:tcBorders>
              <w:bottom w:val="single" w:sz="8" w:color="CBDBD1"/>
            </w:tcBorders>
            <w:shd w:val="clear" w:color="auto" w:fill="CBDBD1"/>
          </w:tcPr>
          <w:p>
            <w:pPr>
              <w:spacing w:after="0"/>
              <w:rPr>
                <w:sz w:val="19"/>
                <w:szCs w:val="19"/>
                <w:color w:val="auto"/>
              </w:rPr>
            </w:pPr>
          </w:p>
        </w:tc>
        <w:tc>
          <w:tcPr>
            <w:tcW w:w="160" w:type="dxa"/>
            <w:vAlign w:val="bottom"/>
            <w:tcBorders>
              <w:bottom w:val="single" w:sz="8" w:color="auto"/>
            </w:tcBorders>
            <w:shd w:val="clear" w:color="auto" w:fill="CBDBD1"/>
          </w:tcPr>
          <w:p>
            <w:pPr>
              <w:spacing w:after="0"/>
              <w:rPr>
                <w:sz w:val="19"/>
                <w:szCs w:val="19"/>
                <w:color w:val="auto"/>
              </w:rPr>
            </w:pPr>
          </w:p>
        </w:tc>
        <w:tc>
          <w:tcPr>
            <w:tcW w:w="88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1,530</w:t>
            </w:r>
          </w:p>
        </w:tc>
        <w:tc>
          <w:tcPr>
            <w:tcW w:w="120" w:type="dxa"/>
            <w:vAlign w:val="bottom"/>
            <w:tcBorders>
              <w:bottom w:val="single" w:sz="8" w:color="CBDBD1"/>
            </w:tcBorders>
            <w:shd w:val="clear" w:color="auto" w:fill="CBDBD1"/>
          </w:tcPr>
          <w:p>
            <w:pPr>
              <w:spacing w:after="0"/>
              <w:rPr>
                <w:sz w:val="19"/>
                <w:szCs w:val="19"/>
                <w:color w:val="auto"/>
              </w:rPr>
            </w:pPr>
          </w:p>
        </w:tc>
        <w:tc>
          <w:tcPr>
            <w:tcW w:w="80" w:type="dxa"/>
            <w:vAlign w:val="bottom"/>
            <w:tcBorders>
              <w:bottom w:val="single" w:sz="8" w:color="CBDBD1"/>
            </w:tcBorders>
            <w:shd w:val="clear" w:color="auto" w:fill="CBDBD1"/>
          </w:tcPr>
          <w:p>
            <w:pPr>
              <w:spacing w:after="0"/>
              <w:rPr>
                <w:sz w:val="19"/>
                <w:szCs w:val="19"/>
                <w:color w:val="auto"/>
              </w:rPr>
            </w:pPr>
          </w:p>
        </w:tc>
        <w:tc>
          <w:tcPr>
            <w:tcW w:w="220" w:type="dxa"/>
            <w:vAlign w:val="bottom"/>
            <w:tcBorders>
              <w:bottom w:val="single" w:sz="8" w:color="auto"/>
            </w:tcBorders>
            <w:shd w:val="clear" w:color="auto" w:fill="CBDBD1"/>
          </w:tcPr>
          <w:p>
            <w:pPr>
              <w:spacing w:after="0"/>
              <w:rPr>
                <w:sz w:val="19"/>
                <w:szCs w:val="19"/>
                <w:color w:val="auto"/>
              </w:rPr>
            </w:pPr>
          </w:p>
        </w:tc>
        <w:tc>
          <w:tcPr>
            <w:tcW w:w="80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BDBD1"/>
            </w:tcBorders>
            <w:shd w:val="clear" w:color="auto" w:fill="CBDBD1"/>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BDBD1"/>
          </w:tcPr>
          <w:p>
            <w:pPr>
              <w:spacing w:after="0"/>
              <w:rPr>
                <w:sz w:val="20"/>
                <w:szCs w:val="20"/>
                <w:color w:val="auto"/>
              </w:rPr>
            </w:pPr>
            <w:r>
              <w:rPr>
                <w:rFonts w:ascii="Arial" w:cs="Arial" w:eastAsia="Arial" w:hAnsi="Arial"/>
                <w:sz w:val="18"/>
                <w:szCs w:val="18"/>
                <w:color w:val="auto"/>
              </w:rPr>
              <w:t>Stockholders’ equity</w:t>
            </w:r>
          </w:p>
        </w:tc>
        <w:tc>
          <w:tcPr>
            <w:tcW w:w="1960" w:type="dxa"/>
            <w:vAlign w:val="bottom"/>
            <w:shd w:val="clear" w:color="auto" w:fill="CBDBD1"/>
          </w:tcPr>
          <w:p>
            <w:pPr>
              <w:spacing w:after="0"/>
              <w:rPr>
                <w:sz w:val="18"/>
                <w:szCs w:val="18"/>
                <w:color w:val="auto"/>
              </w:rPr>
            </w:pPr>
          </w:p>
        </w:tc>
        <w:tc>
          <w:tcPr>
            <w:tcW w:w="160" w:type="dxa"/>
            <w:vAlign w:val="bottom"/>
            <w:shd w:val="clear" w:color="auto" w:fill="CBDBD1"/>
          </w:tcPr>
          <w:p>
            <w:pPr>
              <w:spacing w:after="0"/>
              <w:rPr>
                <w:sz w:val="18"/>
                <w:szCs w:val="18"/>
                <w:color w:val="auto"/>
              </w:rPr>
            </w:pPr>
          </w:p>
        </w:tc>
        <w:tc>
          <w:tcPr>
            <w:tcW w:w="88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220" w:type="dxa"/>
            <w:vAlign w:val="bottom"/>
            <w:shd w:val="clear" w:color="auto" w:fill="CBDBD1"/>
          </w:tcPr>
          <w:p>
            <w:pPr>
              <w:spacing w:after="0"/>
              <w:rPr>
                <w:sz w:val="18"/>
                <w:szCs w:val="18"/>
                <w:color w:val="auto"/>
              </w:rPr>
            </w:pPr>
          </w:p>
        </w:tc>
        <w:tc>
          <w:tcPr>
            <w:tcW w:w="80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20"/>
              <w:spacing w:after="0"/>
              <w:rPr>
                <w:sz w:val="20"/>
                <w:szCs w:val="20"/>
                <w:color w:val="auto"/>
              </w:rPr>
            </w:pPr>
            <w:r>
              <w:rPr>
                <w:rFonts w:ascii="Arial" w:cs="Arial" w:eastAsia="Arial" w:hAnsi="Arial"/>
                <w:sz w:val="18"/>
                <w:szCs w:val="18"/>
                <w:color w:val="auto"/>
              </w:rPr>
              <w:t>Common stock, $0.001 par value, 200,000,000 shares</w:t>
            </w: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BDBD1"/>
          </w:tcPr>
          <w:p>
            <w:pPr>
              <w:ind w:left="260"/>
              <w:spacing w:after="0"/>
              <w:rPr>
                <w:sz w:val="20"/>
                <w:szCs w:val="20"/>
                <w:color w:val="auto"/>
              </w:rPr>
            </w:pPr>
            <w:r>
              <w:rPr>
                <w:rFonts w:ascii="Arial" w:cs="Arial" w:eastAsia="Arial" w:hAnsi="Arial"/>
                <w:sz w:val="18"/>
                <w:szCs w:val="18"/>
                <w:color w:val="auto"/>
              </w:rPr>
              <w:t>authorized, 5,848,707 shares issued and outstanding</w:t>
            </w:r>
          </w:p>
        </w:tc>
        <w:tc>
          <w:tcPr>
            <w:tcW w:w="1960" w:type="dxa"/>
            <w:vAlign w:val="bottom"/>
            <w:shd w:val="clear" w:color="auto" w:fill="CBDBD1"/>
          </w:tcPr>
          <w:p>
            <w:pPr>
              <w:spacing w:after="0"/>
              <w:rPr>
                <w:sz w:val="18"/>
                <w:szCs w:val="18"/>
                <w:color w:val="auto"/>
              </w:rPr>
            </w:pPr>
          </w:p>
        </w:tc>
        <w:tc>
          <w:tcPr>
            <w:tcW w:w="160" w:type="dxa"/>
            <w:vAlign w:val="bottom"/>
            <w:shd w:val="clear" w:color="auto" w:fill="CBDBD1"/>
          </w:tcPr>
          <w:p>
            <w:pPr>
              <w:spacing w:after="0"/>
              <w:rPr>
                <w:sz w:val="18"/>
                <w:szCs w:val="18"/>
                <w:color w:val="auto"/>
              </w:rPr>
            </w:pPr>
          </w:p>
        </w:tc>
        <w:tc>
          <w:tcPr>
            <w:tcW w:w="88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220" w:type="dxa"/>
            <w:vAlign w:val="bottom"/>
            <w:shd w:val="clear" w:color="auto" w:fill="CBDBD1"/>
          </w:tcPr>
          <w:p>
            <w:pPr>
              <w:spacing w:after="0"/>
              <w:rPr>
                <w:sz w:val="18"/>
                <w:szCs w:val="18"/>
                <w:color w:val="auto"/>
              </w:rPr>
            </w:pPr>
          </w:p>
        </w:tc>
        <w:tc>
          <w:tcPr>
            <w:tcW w:w="80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60"/>
              <w:spacing w:after="0"/>
              <w:rPr>
                <w:sz w:val="20"/>
                <w:szCs w:val="20"/>
                <w:color w:val="auto"/>
              </w:rPr>
            </w:pPr>
            <w:r>
              <w:rPr>
                <w:rFonts w:ascii="Arial" w:cs="Arial" w:eastAsia="Arial" w:hAnsi="Arial"/>
                <w:sz w:val="18"/>
                <w:szCs w:val="18"/>
                <w:color w:val="auto"/>
              </w:rPr>
              <w:t>as of 6/30/10 and 12/31/09, respectively</w:t>
            </w: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5,849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BDBD1"/>
          </w:tcPr>
          <w:p>
            <w:pPr>
              <w:ind w:left="100"/>
              <w:spacing w:after="0"/>
              <w:rPr>
                <w:sz w:val="20"/>
                <w:szCs w:val="20"/>
                <w:color w:val="auto"/>
              </w:rPr>
            </w:pPr>
            <w:r>
              <w:rPr>
                <w:rFonts w:ascii="Arial" w:cs="Arial" w:eastAsia="Arial" w:hAnsi="Arial"/>
                <w:sz w:val="18"/>
                <w:szCs w:val="18"/>
                <w:color w:val="auto"/>
              </w:rPr>
              <w:t>Additional paid-in capital</w:t>
            </w:r>
          </w:p>
        </w:tc>
        <w:tc>
          <w:tcPr>
            <w:tcW w:w="1960" w:type="dxa"/>
            <w:vAlign w:val="bottom"/>
            <w:shd w:val="clear" w:color="auto" w:fill="CBDBD1"/>
          </w:tcPr>
          <w:p>
            <w:pPr>
              <w:spacing w:after="0"/>
              <w:rPr>
                <w:sz w:val="18"/>
                <w:szCs w:val="18"/>
                <w:color w:val="auto"/>
              </w:rPr>
            </w:pPr>
          </w:p>
        </w:tc>
        <w:tc>
          <w:tcPr>
            <w:tcW w:w="160" w:type="dxa"/>
            <w:vAlign w:val="bottom"/>
            <w:shd w:val="clear" w:color="auto" w:fill="CBDBD1"/>
          </w:tcPr>
          <w:p>
            <w:pPr>
              <w:spacing w:after="0"/>
              <w:rPr>
                <w:sz w:val="18"/>
                <w:szCs w:val="18"/>
                <w:color w:val="auto"/>
              </w:rPr>
            </w:pPr>
          </w:p>
        </w:tc>
        <w:tc>
          <w:tcPr>
            <w:tcW w:w="8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48,686</w:t>
            </w:r>
          </w:p>
        </w:tc>
        <w:tc>
          <w:tcPr>
            <w:tcW w:w="12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220" w:type="dxa"/>
            <w:vAlign w:val="bottom"/>
            <w:shd w:val="clear" w:color="auto" w:fill="CBDBD1"/>
          </w:tcPr>
          <w:p>
            <w:pPr>
              <w:spacing w:after="0"/>
              <w:rPr>
                <w:sz w:val="18"/>
                <w:szCs w:val="18"/>
                <w:color w:val="auto"/>
              </w:rPr>
            </w:pPr>
          </w:p>
        </w:tc>
        <w:tc>
          <w:tcPr>
            <w:tcW w:w="8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42,686</w:t>
            </w:r>
          </w:p>
        </w:tc>
        <w:tc>
          <w:tcPr>
            <w:tcW w:w="10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20"/>
              <w:spacing w:after="0"/>
              <w:rPr>
                <w:sz w:val="20"/>
                <w:szCs w:val="20"/>
                <w:color w:val="auto"/>
              </w:rPr>
            </w:pPr>
            <w:r>
              <w:rPr>
                <w:rFonts w:ascii="Arial" w:cs="Arial" w:eastAsia="Arial" w:hAnsi="Arial"/>
                <w:sz w:val="18"/>
                <w:szCs w:val="18"/>
                <w:color w:val="auto"/>
              </w:rPr>
              <w:t>(Deficit) accumulated during development stage</w:t>
            </w: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(53,570)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(48,659)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shd w:val="clear" w:color="auto" w:fill="CBDBD1"/>
          </w:tcPr>
          <w:p>
            <w:pPr>
              <w:ind w:left="240"/>
              <w:spacing w:after="0"/>
              <w:rPr>
                <w:sz w:val="20"/>
                <w:szCs w:val="20"/>
                <w:color w:val="auto"/>
              </w:rPr>
            </w:pPr>
            <w:r>
              <w:rPr>
                <w:rFonts w:ascii="Arial" w:cs="Arial" w:eastAsia="Arial" w:hAnsi="Arial"/>
                <w:sz w:val="18"/>
                <w:szCs w:val="18"/>
                <w:color w:val="auto"/>
              </w:rPr>
              <w:t>Total stockholders’ equity</w:t>
            </w:r>
          </w:p>
        </w:tc>
        <w:tc>
          <w:tcPr>
            <w:tcW w:w="1960" w:type="dxa"/>
            <w:vAlign w:val="bottom"/>
            <w:shd w:val="clear" w:color="auto" w:fill="CBDBD1"/>
          </w:tcPr>
          <w:p>
            <w:pPr>
              <w:spacing w:after="0"/>
              <w:rPr>
                <w:sz w:val="19"/>
                <w:szCs w:val="19"/>
                <w:color w:val="auto"/>
              </w:rPr>
            </w:pPr>
          </w:p>
        </w:tc>
        <w:tc>
          <w:tcPr>
            <w:tcW w:w="160" w:type="dxa"/>
            <w:vAlign w:val="bottom"/>
            <w:shd w:val="clear" w:color="auto" w:fill="CBDBD1"/>
          </w:tcPr>
          <w:p>
            <w:pPr>
              <w:spacing w:after="0"/>
              <w:rPr>
                <w:sz w:val="19"/>
                <w:szCs w:val="19"/>
                <w:color w:val="auto"/>
              </w:rPr>
            </w:pPr>
          </w:p>
        </w:tc>
        <w:tc>
          <w:tcPr>
            <w:tcW w:w="8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965</w:t>
            </w:r>
          </w:p>
        </w:tc>
        <w:tc>
          <w:tcPr>
            <w:tcW w:w="120" w:type="dxa"/>
            <w:vAlign w:val="bottom"/>
            <w:shd w:val="clear" w:color="auto" w:fill="CBDBD1"/>
          </w:tcPr>
          <w:p>
            <w:pPr>
              <w:spacing w:after="0"/>
              <w:rPr>
                <w:sz w:val="19"/>
                <w:szCs w:val="19"/>
                <w:color w:val="auto"/>
              </w:rPr>
            </w:pPr>
          </w:p>
        </w:tc>
        <w:tc>
          <w:tcPr>
            <w:tcW w:w="80" w:type="dxa"/>
            <w:vAlign w:val="bottom"/>
            <w:shd w:val="clear" w:color="auto" w:fill="CBDBD1"/>
          </w:tcPr>
          <w:p>
            <w:pPr>
              <w:spacing w:after="0"/>
              <w:rPr>
                <w:sz w:val="19"/>
                <w:szCs w:val="19"/>
                <w:color w:val="auto"/>
              </w:rPr>
            </w:pPr>
          </w:p>
        </w:tc>
        <w:tc>
          <w:tcPr>
            <w:tcW w:w="220" w:type="dxa"/>
            <w:vAlign w:val="bottom"/>
            <w:shd w:val="clear" w:color="auto" w:fill="CBDBD1"/>
          </w:tcPr>
          <w:p>
            <w:pPr>
              <w:spacing w:after="0"/>
              <w:rPr>
                <w:sz w:val="19"/>
                <w:szCs w:val="19"/>
                <w:color w:val="auto"/>
              </w:rPr>
            </w:pPr>
          </w:p>
        </w:tc>
        <w:tc>
          <w:tcPr>
            <w:tcW w:w="900" w:type="dxa"/>
            <w:vAlign w:val="bottom"/>
            <w:gridSpan w:val="2"/>
            <w:shd w:val="clear" w:color="auto" w:fill="CBDBD1"/>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Borders>
              <w:top w:val="single" w:sz="8" w:color="CBDBD1"/>
            </w:tcBorders>
          </w:tcPr>
          <w:p>
            <w:pPr>
              <w:spacing w:after="0"/>
              <w:rPr>
                <w:sz w:val="18"/>
                <w:szCs w:val="18"/>
                <w:color w:val="auto"/>
              </w:rPr>
            </w:pPr>
          </w:p>
        </w:tc>
        <w:tc>
          <w:tcPr>
            <w:tcW w:w="1960" w:type="dxa"/>
            <w:vAlign w:val="bottom"/>
            <w:tcBorders>
              <w:top w:val="single" w:sz="8" w:color="CBDBD1"/>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BDBD1"/>
            </w:tcBorders>
          </w:tcPr>
          <w:p>
            <w:pPr>
              <w:spacing w:after="0"/>
              <w:rPr>
                <w:sz w:val="18"/>
                <w:szCs w:val="18"/>
                <w:color w:val="auto"/>
              </w:rPr>
            </w:pPr>
          </w:p>
        </w:tc>
        <w:tc>
          <w:tcPr>
            <w:tcW w:w="80" w:type="dxa"/>
            <w:vAlign w:val="bottom"/>
            <w:tcBorders>
              <w:top w:val="single" w:sz="8" w:color="CBDBD1"/>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BDBD1"/>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940" w:type="dxa"/>
            <w:vAlign w:val="bottom"/>
            <w:shd w:val="clear" w:color="auto" w:fill="CBDBD1"/>
          </w:tcPr>
          <w:p>
            <w:pPr>
              <w:spacing w:after="0"/>
              <w:rPr>
                <w:sz w:val="20"/>
                <w:szCs w:val="20"/>
                <w:color w:val="auto"/>
              </w:rPr>
            </w:pPr>
            <w:r>
              <w:rPr>
                <w:rFonts w:ascii="Arial" w:cs="Arial" w:eastAsia="Arial" w:hAnsi="Arial"/>
                <w:sz w:val="18"/>
                <w:szCs w:val="18"/>
                <w:color w:val="auto"/>
              </w:rPr>
              <w:t>Total liabilities and stockholders’ equity</w:t>
            </w:r>
          </w:p>
        </w:tc>
        <w:tc>
          <w:tcPr>
            <w:tcW w:w="212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2,495</w:t>
            </w:r>
          </w:p>
        </w:tc>
        <w:tc>
          <w:tcPr>
            <w:tcW w:w="120" w:type="dxa"/>
            <w:vAlign w:val="bottom"/>
            <w:shd w:val="clear" w:color="auto" w:fill="CBDBD1"/>
          </w:tcPr>
          <w:p>
            <w:pPr>
              <w:spacing w:after="0"/>
              <w:rPr>
                <w:sz w:val="20"/>
                <w:szCs w:val="20"/>
                <w:color w:val="auto"/>
              </w:rPr>
            </w:pPr>
          </w:p>
        </w:tc>
        <w:tc>
          <w:tcPr>
            <w:tcW w:w="300" w:type="dxa"/>
            <w:vAlign w:val="bottom"/>
            <w:gridSpan w:val="2"/>
            <w:shd w:val="clear" w:color="auto" w:fill="CBDBD1"/>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1,376</w:t>
            </w:r>
          </w:p>
        </w:tc>
        <w:tc>
          <w:tcPr>
            <w:tcW w:w="100" w:type="dxa"/>
            <w:vAlign w:val="bottom"/>
            <w:shd w:val="clear" w:color="auto" w:fill="CBDBD1"/>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BDBD1"/>
            </w:tcBorders>
            <w:shd w:val="clear" w:color="auto" w:fill="CBDBD1"/>
          </w:tcPr>
          <w:p>
            <w:pPr>
              <w:spacing w:after="0" w:line="20" w:lineRule="exact"/>
              <w:rPr>
                <w:sz w:val="1"/>
                <w:szCs w:val="1"/>
                <w:color w:val="auto"/>
              </w:rPr>
            </w:pPr>
          </w:p>
        </w:tc>
        <w:tc>
          <w:tcPr>
            <w:tcW w:w="1960" w:type="dxa"/>
            <w:vAlign w:val="bottom"/>
            <w:tcBorders>
              <w:top w:val="single" w:sz="8" w:color="CBDBD1"/>
            </w:tcBorders>
            <w:shd w:val="clear" w:color="auto" w:fill="CBDBD1"/>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BDBD1"/>
            </w:tcBorders>
            <w:shd w:val="clear" w:color="auto" w:fill="CBDBD1"/>
          </w:tcPr>
          <w:p>
            <w:pPr>
              <w:spacing w:after="0" w:line="20" w:lineRule="exact"/>
              <w:rPr>
                <w:sz w:val="1"/>
                <w:szCs w:val="1"/>
                <w:color w:val="auto"/>
              </w:rPr>
            </w:pPr>
          </w:p>
        </w:tc>
        <w:tc>
          <w:tcPr>
            <w:tcW w:w="80" w:type="dxa"/>
            <w:vAlign w:val="bottom"/>
            <w:tcBorders>
              <w:top w:val="single" w:sz="8" w:color="CBDBD1"/>
            </w:tcBorders>
            <w:shd w:val="clear" w:color="auto" w:fill="CBDBD1"/>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BDBD1"/>
            </w:tcBorders>
            <w:shd w:val="clear" w:color="auto" w:fill="CBDBD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820" w:top="513" w:right="79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t>Excaliber Enterprises, Ltd.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Statements of Operations</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October 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gridSpan w:val="6"/>
          </w:tcPr>
          <w:p>
            <w:pPr>
              <w:jc w:val="right"/>
              <w:ind w:right="520"/>
              <w:spacing w:after="0"/>
              <w:rPr>
                <w:sz w:val="20"/>
                <w:szCs w:val="20"/>
                <w:color w:val="auto"/>
              </w:rPr>
            </w:pPr>
            <w:r>
              <w:rPr>
                <w:rFonts w:ascii="Arial" w:cs="Arial" w:eastAsia="Arial" w:hAnsi="Arial"/>
                <w:sz w:val="18"/>
                <w:szCs w:val="18"/>
                <w:color w:val="auto"/>
                <w:w w:val="99"/>
              </w:rPr>
              <w:t>Three Months Ended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gridSpan w:val="6"/>
          </w:tcPr>
          <w:p>
            <w:pPr>
              <w:jc w:val="right"/>
              <w:ind w:right="580"/>
              <w:spacing w:after="0"/>
              <w:rPr>
                <w:sz w:val="20"/>
                <w:szCs w:val="20"/>
                <w:color w:val="auto"/>
              </w:rPr>
            </w:pPr>
            <w:r>
              <w:rPr>
                <w:rFonts w:ascii="Arial" w:cs="Arial" w:eastAsia="Arial" w:hAnsi="Arial"/>
                <w:sz w:val="18"/>
                <w:szCs w:val="18"/>
                <w:color w:val="auto"/>
              </w:rPr>
              <w:t>Six Months Ended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4"/>
          </w:tcPr>
          <w:p>
            <w:pPr>
              <w:jc w:val="right"/>
              <w:ind w:right="60"/>
              <w:spacing w:after="0"/>
              <w:rPr>
                <w:sz w:val="20"/>
                <w:szCs w:val="20"/>
                <w:color w:val="auto"/>
              </w:rPr>
            </w:pPr>
            <w:r>
              <w:rPr>
                <w:rFonts w:ascii="Arial" w:cs="Arial" w:eastAsia="Arial" w:hAnsi="Arial"/>
                <w:sz w:val="18"/>
                <w:szCs w:val="18"/>
                <w:color w:val="auto"/>
              </w:rPr>
              <w:t>June 30,</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4"/>
          </w:tcPr>
          <w:p>
            <w:pPr>
              <w:jc w:val="right"/>
              <w:ind w:right="40"/>
              <w:spacing w:after="0"/>
              <w:rPr>
                <w:sz w:val="20"/>
                <w:szCs w:val="20"/>
                <w:color w:val="auto"/>
              </w:rPr>
            </w:pPr>
            <w:r>
              <w:rPr>
                <w:rFonts w:ascii="Arial" w:cs="Arial" w:eastAsia="Arial" w:hAnsi="Arial"/>
                <w:sz w:val="18"/>
                <w:szCs w:val="18"/>
                <w:color w:val="auto"/>
              </w:rPr>
              <w:t>June 30,</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3"/>
          </w:tcPr>
          <w:p>
            <w:pPr>
              <w:ind w:left="20"/>
              <w:spacing w:after="0"/>
              <w:rPr>
                <w:sz w:val="20"/>
                <w:szCs w:val="20"/>
                <w:color w:val="auto"/>
              </w:rPr>
            </w:pPr>
            <w:r>
              <w:rPr>
                <w:rFonts w:ascii="Arial" w:cs="Arial" w:eastAsia="Arial" w:hAnsi="Arial"/>
                <w:sz w:val="18"/>
                <w:szCs w:val="18"/>
                <w:color w:val="auto"/>
              </w:rPr>
              <w:t>(Inception) to</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Arial" w:cs="Arial" w:eastAsia="Arial" w:hAnsi="Arial"/>
                <w:sz w:val="18"/>
                <w:szCs w:val="18"/>
                <w:color w:val="auto"/>
              </w:rPr>
              <w:t>2009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2009</w:t>
            </w:r>
          </w:p>
        </w:tc>
        <w:tc>
          <w:tcPr>
            <w:tcW w:w="120" w:type="dxa"/>
            <w:vAlign w:val="bottom"/>
          </w:tcPr>
          <w:p>
            <w:pPr>
              <w:spacing w:after="0"/>
              <w:rPr>
                <w:sz w:val="20"/>
                <w:szCs w:val="20"/>
                <w:color w:val="auto"/>
              </w:rPr>
            </w:pPr>
          </w:p>
        </w:tc>
        <w:tc>
          <w:tcPr>
            <w:tcW w:w="1180" w:type="dxa"/>
            <w:vAlign w:val="bottom"/>
            <w:gridSpan w:val="4"/>
          </w:tcPr>
          <w:p>
            <w:pPr>
              <w:ind w:left="60"/>
              <w:spacing w:after="0"/>
              <w:rPr>
                <w:sz w:val="20"/>
                <w:szCs w:val="20"/>
                <w:color w:val="auto"/>
              </w:rPr>
            </w:pPr>
            <w:r>
              <w:rPr>
                <w:rFonts w:ascii="Arial" w:cs="Arial" w:eastAsia="Arial" w:hAnsi="Arial"/>
                <w:sz w:val="18"/>
                <w:szCs w:val="18"/>
                <w:color w:val="auto"/>
                <w:w w:val="96"/>
              </w:rPr>
              <w:t>June 30, 2010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200" w:type="dxa"/>
            <w:vAlign w:val="bottom"/>
            <w:shd w:val="clear" w:color="auto" w:fill="CBDBD1"/>
          </w:tcPr>
          <w:p>
            <w:pPr>
              <w:spacing w:after="0"/>
              <w:rPr>
                <w:sz w:val="20"/>
                <w:szCs w:val="20"/>
                <w:color w:val="auto"/>
              </w:rPr>
            </w:pPr>
            <w:r>
              <w:rPr>
                <w:rFonts w:ascii="Arial" w:cs="Arial" w:eastAsia="Arial" w:hAnsi="Arial"/>
                <w:sz w:val="18"/>
                <w:szCs w:val="18"/>
                <w:color w:val="auto"/>
              </w:rPr>
              <w:t>Revenue</w:t>
            </w:r>
          </w:p>
        </w:tc>
        <w:tc>
          <w:tcPr>
            <w:tcW w:w="220" w:type="dxa"/>
            <w:vAlign w:val="bottom"/>
            <w:gridSpan w:val="2"/>
            <w:shd w:val="clear" w:color="auto" w:fill="CBDBD1"/>
          </w:tcPr>
          <w:p>
            <w:pPr>
              <w:jc w:val="right"/>
              <w:ind w:right="12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BDBD1"/>
          </w:tcPr>
          <w:p>
            <w:pPr>
              <w:spacing w:after="0"/>
              <w:rPr>
                <w:sz w:val="19"/>
                <w:szCs w:val="19"/>
                <w:color w:val="auto"/>
              </w:rPr>
            </w:pPr>
          </w:p>
        </w:tc>
        <w:tc>
          <w:tcPr>
            <w:tcW w:w="340" w:type="dxa"/>
            <w:vAlign w:val="bottom"/>
            <w:gridSpan w:val="2"/>
            <w:shd w:val="clear" w:color="auto" w:fill="CBDBD1"/>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BDBD1"/>
          </w:tcPr>
          <w:p>
            <w:pPr>
              <w:spacing w:after="0"/>
              <w:rPr>
                <w:sz w:val="19"/>
                <w:szCs w:val="19"/>
                <w:color w:val="auto"/>
              </w:rPr>
            </w:pPr>
          </w:p>
        </w:tc>
        <w:tc>
          <w:tcPr>
            <w:tcW w:w="280" w:type="dxa"/>
            <w:vAlign w:val="bottom"/>
            <w:gridSpan w:val="2"/>
            <w:shd w:val="clear" w:color="auto" w:fill="CBDBD1"/>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BDBD1"/>
          </w:tcPr>
          <w:p>
            <w:pPr>
              <w:spacing w:after="0"/>
              <w:rPr>
                <w:sz w:val="19"/>
                <w:szCs w:val="19"/>
                <w:color w:val="auto"/>
              </w:rPr>
            </w:pPr>
          </w:p>
        </w:tc>
        <w:tc>
          <w:tcPr>
            <w:tcW w:w="300" w:type="dxa"/>
            <w:vAlign w:val="bottom"/>
            <w:gridSpan w:val="2"/>
            <w:shd w:val="clear" w:color="auto" w:fill="CBDBD1"/>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BDBD1"/>
          </w:tcPr>
          <w:p>
            <w:pPr>
              <w:spacing w:after="0"/>
              <w:rPr>
                <w:sz w:val="19"/>
                <w:szCs w:val="19"/>
                <w:color w:val="auto"/>
              </w:rPr>
            </w:pPr>
          </w:p>
        </w:tc>
        <w:tc>
          <w:tcPr>
            <w:tcW w:w="160" w:type="dxa"/>
            <w:vAlign w:val="bottom"/>
            <w:gridSpan w:val="2"/>
            <w:shd w:val="clear" w:color="auto" w:fill="CBDBD1"/>
          </w:tcPr>
          <w:p>
            <w:pPr>
              <w:ind w:left="6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DBD1"/>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0" w:type="dxa"/>
            <w:vAlign w:val="bottom"/>
            <w:tcBorders>
              <w:top w:val="single" w:sz="8" w:color="CBDBD1"/>
            </w:tcBorders>
          </w:tcPr>
          <w:p>
            <w:pPr>
              <w:spacing w:after="0"/>
              <w:rPr>
                <w:sz w:val="18"/>
                <w:szCs w:val="18"/>
                <w:color w:val="auto"/>
              </w:rPr>
            </w:pPr>
          </w:p>
        </w:tc>
        <w:tc>
          <w:tcPr>
            <w:tcW w:w="20" w:type="dxa"/>
            <w:vAlign w:val="bottom"/>
            <w:tcBorders>
              <w:top w:val="single" w:sz="8" w:color="CBDBD1"/>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BDBD1"/>
            </w:tcBorders>
          </w:tcPr>
          <w:p>
            <w:pPr>
              <w:spacing w:after="0"/>
              <w:rPr>
                <w:sz w:val="18"/>
                <w:szCs w:val="18"/>
                <w:color w:val="auto"/>
              </w:rPr>
            </w:pPr>
          </w:p>
        </w:tc>
        <w:tc>
          <w:tcPr>
            <w:tcW w:w="100" w:type="dxa"/>
            <w:vAlign w:val="bottom"/>
            <w:tcBorders>
              <w:top w:val="single" w:sz="8" w:color="CBDBD1"/>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BDBD1"/>
            </w:tcBorders>
          </w:tcPr>
          <w:p>
            <w:pPr>
              <w:spacing w:after="0"/>
              <w:rPr>
                <w:sz w:val="18"/>
                <w:szCs w:val="18"/>
                <w:color w:val="auto"/>
              </w:rPr>
            </w:pPr>
          </w:p>
        </w:tc>
        <w:tc>
          <w:tcPr>
            <w:tcW w:w="80" w:type="dxa"/>
            <w:vAlign w:val="bottom"/>
            <w:tcBorders>
              <w:top w:val="single" w:sz="8" w:color="CBDBD1"/>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BDBD1"/>
            </w:tcBorders>
          </w:tcPr>
          <w:p>
            <w:pPr>
              <w:spacing w:after="0"/>
              <w:rPr>
                <w:sz w:val="18"/>
                <w:szCs w:val="18"/>
                <w:color w:val="auto"/>
              </w:rPr>
            </w:pPr>
          </w:p>
        </w:tc>
        <w:tc>
          <w:tcPr>
            <w:tcW w:w="60" w:type="dxa"/>
            <w:vAlign w:val="bottom"/>
            <w:tcBorders>
              <w:top w:val="single" w:sz="8" w:color="CBDBD1"/>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BDBD1"/>
            </w:tcBorders>
          </w:tcPr>
          <w:p>
            <w:pPr>
              <w:spacing w:after="0"/>
              <w:rPr>
                <w:sz w:val="18"/>
                <w:szCs w:val="18"/>
                <w:color w:val="auto"/>
              </w:rPr>
            </w:pPr>
          </w:p>
        </w:tc>
        <w:tc>
          <w:tcPr>
            <w:tcW w:w="60" w:type="dxa"/>
            <w:vAlign w:val="bottom"/>
            <w:tcBorders>
              <w:top w:val="single" w:sz="8" w:color="CBDBD1"/>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BDBD1"/>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BDBD1"/>
          </w:tcPr>
          <w:p>
            <w:pPr>
              <w:spacing w:after="0"/>
              <w:rPr>
                <w:sz w:val="20"/>
                <w:szCs w:val="20"/>
                <w:color w:val="auto"/>
              </w:rPr>
            </w:pPr>
            <w:r>
              <w:rPr>
                <w:rFonts w:ascii="Arial" w:cs="Arial" w:eastAsia="Arial" w:hAnsi="Arial"/>
                <w:sz w:val="18"/>
                <w:szCs w:val="18"/>
                <w:color w:val="auto"/>
              </w:rPr>
              <w:t>Expenses:</w:t>
            </w:r>
          </w:p>
        </w:tc>
        <w:tc>
          <w:tcPr>
            <w:tcW w:w="20" w:type="dxa"/>
            <w:vAlign w:val="bottom"/>
            <w:shd w:val="clear" w:color="auto" w:fill="CBDBD1"/>
          </w:tcPr>
          <w:p>
            <w:pPr>
              <w:spacing w:after="0"/>
              <w:rPr>
                <w:sz w:val="18"/>
                <w:szCs w:val="18"/>
                <w:color w:val="auto"/>
              </w:rPr>
            </w:pPr>
          </w:p>
        </w:tc>
        <w:tc>
          <w:tcPr>
            <w:tcW w:w="200" w:type="dxa"/>
            <w:vAlign w:val="bottom"/>
            <w:shd w:val="clear" w:color="auto" w:fill="CBDBD1"/>
          </w:tcPr>
          <w:p>
            <w:pPr>
              <w:spacing w:after="0"/>
              <w:rPr>
                <w:sz w:val="18"/>
                <w:szCs w:val="18"/>
                <w:color w:val="auto"/>
              </w:rPr>
            </w:pPr>
          </w:p>
        </w:tc>
        <w:tc>
          <w:tcPr>
            <w:tcW w:w="84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240" w:type="dxa"/>
            <w:vAlign w:val="bottom"/>
            <w:shd w:val="clear" w:color="auto" w:fill="CBDBD1"/>
          </w:tcPr>
          <w:p>
            <w:pPr>
              <w:spacing w:after="0"/>
              <w:rPr>
                <w:sz w:val="18"/>
                <w:szCs w:val="18"/>
                <w:color w:val="auto"/>
              </w:rPr>
            </w:pPr>
          </w:p>
        </w:tc>
        <w:tc>
          <w:tcPr>
            <w:tcW w:w="8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200" w:type="dxa"/>
            <w:vAlign w:val="bottom"/>
            <w:shd w:val="clear" w:color="auto" w:fill="CBDBD1"/>
          </w:tcPr>
          <w:p>
            <w:pPr>
              <w:spacing w:after="0"/>
              <w:rPr>
                <w:sz w:val="18"/>
                <w:szCs w:val="18"/>
                <w:color w:val="auto"/>
              </w:rPr>
            </w:pPr>
          </w:p>
        </w:tc>
        <w:tc>
          <w:tcPr>
            <w:tcW w:w="84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60" w:type="dxa"/>
            <w:vAlign w:val="bottom"/>
            <w:shd w:val="clear" w:color="auto" w:fill="CBDBD1"/>
          </w:tcPr>
          <w:p>
            <w:pPr>
              <w:spacing w:after="0"/>
              <w:rPr>
                <w:sz w:val="18"/>
                <w:szCs w:val="18"/>
                <w:color w:val="auto"/>
              </w:rPr>
            </w:pPr>
          </w:p>
        </w:tc>
        <w:tc>
          <w:tcPr>
            <w:tcW w:w="240" w:type="dxa"/>
            <w:vAlign w:val="bottom"/>
            <w:shd w:val="clear" w:color="auto" w:fill="CBDBD1"/>
          </w:tcPr>
          <w:p>
            <w:pPr>
              <w:spacing w:after="0"/>
              <w:rPr>
                <w:sz w:val="18"/>
                <w:szCs w:val="18"/>
                <w:color w:val="auto"/>
              </w:rPr>
            </w:pPr>
          </w:p>
        </w:tc>
        <w:tc>
          <w:tcPr>
            <w:tcW w:w="78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6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92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20"/>
              <w:spacing w:after="0"/>
              <w:rPr>
                <w:sz w:val="20"/>
                <w:szCs w:val="20"/>
                <w:color w:val="auto"/>
              </w:rPr>
            </w:pPr>
            <w:r>
              <w:rPr>
                <w:rFonts w:ascii="Arial" w:cs="Arial" w:eastAsia="Arial" w:hAnsi="Arial"/>
                <w:sz w:val="18"/>
                <w:szCs w:val="18"/>
                <w:color w:val="auto"/>
              </w:rPr>
              <w:t>Depreciation expense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BDBD1"/>
          </w:tcPr>
          <w:p>
            <w:pPr>
              <w:ind w:left="120"/>
              <w:spacing w:after="0"/>
              <w:rPr>
                <w:sz w:val="20"/>
                <w:szCs w:val="20"/>
                <w:color w:val="auto"/>
              </w:rPr>
            </w:pPr>
            <w:r>
              <w:rPr>
                <w:rFonts w:ascii="Arial" w:cs="Arial" w:eastAsia="Arial" w:hAnsi="Arial"/>
                <w:sz w:val="18"/>
                <w:szCs w:val="18"/>
                <w:color w:val="auto"/>
              </w:rPr>
              <w:t>Executive compensation</w:t>
            </w:r>
          </w:p>
        </w:tc>
        <w:tc>
          <w:tcPr>
            <w:tcW w:w="20" w:type="dxa"/>
            <w:vAlign w:val="bottom"/>
            <w:shd w:val="clear" w:color="auto" w:fill="CBDBD1"/>
          </w:tcPr>
          <w:p>
            <w:pPr>
              <w:spacing w:after="0"/>
              <w:rPr>
                <w:sz w:val="18"/>
                <w:szCs w:val="18"/>
                <w:color w:val="auto"/>
              </w:rPr>
            </w:pPr>
          </w:p>
        </w:tc>
        <w:tc>
          <w:tcPr>
            <w:tcW w:w="200" w:type="dxa"/>
            <w:vAlign w:val="bottom"/>
            <w:shd w:val="clear" w:color="auto" w:fill="CBDBD1"/>
          </w:tcPr>
          <w:p>
            <w:pPr>
              <w:spacing w:after="0"/>
              <w:rPr>
                <w:sz w:val="18"/>
                <w:szCs w:val="18"/>
                <w:color w:val="auto"/>
              </w:rPr>
            </w:pPr>
          </w:p>
        </w:tc>
        <w:tc>
          <w:tcPr>
            <w:tcW w:w="8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240" w:type="dxa"/>
            <w:vAlign w:val="bottom"/>
            <w:shd w:val="clear" w:color="auto" w:fill="CBDBD1"/>
          </w:tcPr>
          <w:p>
            <w:pPr>
              <w:spacing w:after="0"/>
              <w:rPr>
                <w:sz w:val="18"/>
                <w:szCs w:val="18"/>
                <w:color w:val="auto"/>
              </w:rPr>
            </w:pPr>
          </w:p>
        </w:tc>
        <w:tc>
          <w:tcPr>
            <w:tcW w:w="8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200" w:type="dxa"/>
            <w:vAlign w:val="bottom"/>
            <w:shd w:val="clear" w:color="auto" w:fill="CBDBD1"/>
          </w:tcPr>
          <w:p>
            <w:pPr>
              <w:spacing w:after="0"/>
              <w:rPr>
                <w:sz w:val="18"/>
                <w:szCs w:val="18"/>
                <w:color w:val="auto"/>
              </w:rPr>
            </w:pPr>
          </w:p>
        </w:tc>
        <w:tc>
          <w:tcPr>
            <w:tcW w:w="8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BDBD1"/>
          </w:tcPr>
          <w:p>
            <w:pPr>
              <w:spacing w:after="0"/>
              <w:rPr>
                <w:sz w:val="18"/>
                <w:szCs w:val="18"/>
                <w:color w:val="auto"/>
              </w:rPr>
            </w:pPr>
          </w:p>
        </w:tc>
        <w:tc>
          <w:tcPr>
            <w:tcW w:w="60" w:type="dxa"/>
            <w:vAlign w:val="bottom"/>
            <w:shd w:val="clear" w:color="auto" w:fill="CBDBD1"/>
          </w:tcPr>
          <w:p>
            <w:pPr>
              <w:spacing w:after="0"/>
              <w:rPr>
                <w:sz w:val="18"/>
                <w:szCs w:val="18"/>
                <w:color w:val="auto"/>
              </w:rPr>
            </w:pPr>
          </w:p>
        </w:tc>
        <w:tc>
          <w:tcPr>
            <w:tcW w:w="240" w:type="dxa"/>
            <w:vAlign w:val="bottom"/>
            <w:shd w:val="clear" w:color="auto" w:fill="CBDBD1"/>
          </w:tcPr>
          <w:p>
            <w:pPr>
              <w:spacing w:after="0"/>
              <w:rPr>
                <w:sz w:val="18"/>
                <w:szCs w:val="18"/>
                <w:color w:val="auto"/>
              </w:rPr>
            </w:pPr>
          </w:p>
        </w:tc>
        <w:tc>
          <w:tcPr>
            <w:tcW w:w="7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BDBD1"/>
          </w:tcPr>
          <w:p>
            <w:pPr>
              <w:spacing w:after="0"/>
              <w:rPr>
                <w:sz w:val="18"/>
                <w:szCs w:val="18"/>
                <w:color w:val="auto"/>
              </w:rPr>
            </w:pPr>
          </w:p>
        </w:tc>
        <w:tc>
          <w:tcPr>
            <w:tcW w:w="6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9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ind w:left="120"/>
              <w:spacing w:after="0"/>
              <w:rPr>
                <w:sz w:val="20"/>
                <w:szCs w:val="20"/>
                <w:color w:val="auto"/>
              </w:rPr>
            </w:pPr>
            <w:r>
              <w:rPr>
                <w:rFonts w:ascii="Arial" w:cs="Arial" w:eastAsia="Arial" w:hAnsi="Arial"/>
                <w:sz w:val="18"/>
                <w:szCs w:val="18"/>
                <w:color w:val="auto"/>
              </w:rPr>
              <w:t>General and administrative expenses</w:t>
            </w: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19,054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Borders>
              <w:bottom w:val="single" w:sz="8" w:color="CBDBD1"/>
            </w:tcBorders>
            <w:shd w:val="clear" w:color="auto" w:fill="CBDBD1"/>
          </w:tcPr>
          <w:p>
            <w:pPr>
              <w:ind w:left="240"/>
              <w:spacing w:after="0"/>
              <w:rPr>
                <w:sz w:val="20"/>
                <w:szCs w:val="20"/>
                <w:color w:val="auto"/>
              </w:rPr>
            </w:pPr>
            <w:r>
              <w:rPr>
                <w:rFonts w:ascii="Arial" w:cs="Arial" w:eastAsia="Arial" w:hAnsi="Arial"/>
                <w:sz w:val="18"/>
                <w:szCs w:val="18"/>
                <w:color w:val="auto"/>
              </w:rPr>
              <w:t>Total expenses</w:t>
            </w:r>
          </w:p>
        </w:tc>
        <w:tc>
          <w:tcPr>
            <w:tcW w:w="20" w:type="dxa"/>
            <w:vAlign w:val="bottom"/>
            <w:tcBorders>
              <w:bottom w:val="single" w:sz="8" w:color="CBDBD1"/>
            </w:tcBorders>
            <w:shd w:val="clear" w:color="auto" w:fill="CBDBD1"/>
          </w:tcPr>
          <w:p>
            <w:pPr>
              <w:spacing w:after="0"/>
              <w:rPr>
                <w:sz w:val="19"/>
                <w:szCs w:val="19"/>
                <w:color w:val="auto"/>
              </w:rPr>
            </w:pPr>
          </w:p>
        </w:tc>
        <w:tc>
          <w:tcPr>
            <w:tcW w:w="200" w:type="dxa"/>
            <w:vAlign w:val="bottom"/>
            <w:tcBorders>
              <w:bottom w:val="single" w:sz="8" w:color="auto"/>
            </w:tcBorders>
            <w:shd w:val="clear" w:color="auto" w:fill="CBDBD1"/>
          </w:tcPr>
          <w:p>
            <w:pPr>
              <w:spacing w:after="0"/>
              <w:rPr>
                <w:sz w:val="19"/>
                <w:szCs w:val="19"/>
                <w:color w:val="auto"/>
              </w:rPr>
            </w:pPr>
          </w:p>
        </w:tc>
        <w:tc>
          <w:tcPr>
            <w:tcW w:w="84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2,107</w:t>
            </w:r>
          </w:p>
        </w:tc>
        <w:tc>
          <w:tcPr>
            <w:tcW w:w="120" w:type="dxa"/>
            <w:vAlign w:val="bottom"/>
            <w:tcBorders>
              <w:bottom w:val="single" w:sz="8" w:color="CBDBD1"/>
            </w:tcBorders>
            <w:shd w:val="clear" w:color="auto" w:fill="CBDBD1"/>
          </w:tcPr>
          <w:p>
            <w:pPr>
              <w:spacing w:after="0"/>
              <w:rPr>
                <w:sz w:val="19"/>
                <w:szCs w:val="19"/>
                <w:color w:val="auto"/>
              </w:rPr>
            </w:pPr>
          </w:p>
        </w:tc>
        <w:tc>
          <w:tcPr>
            <w:tcW w:w="100" w:type="dxa"/>
            <w:vAlign w:val="bottom"/>
            <w:tcBorders>
              <w:bottom w:val="single" w:sz="8" w:color="CBDBD1"/>
            </w:tcBorders>
            <w:shd w:val="clear" w:color="auto" w:fill="CBDBD1"/>
          </w:tcPr>
          <w:p>
            <w:pPr>
              <w:spacing w:after="0"/>
              <w:rPr>
                <w:sz w:val="19"/>
                <w:szCs w:val="19"/>
                <w:color w:val="auto"/>
              </w:rPr>
            </w:pPr>
          </w:p>
        </w:tc>
        <w:tc>
          <w:tcPr>
            <w:tcW w:w="240" w:type="dxa"/>
            <w:vAlign w:val="bottom"/>
            <w:tcBorders>
              <w:bottom w:val="single" w:sz="8" w:color="auto"/>
            </w:tcBorders>
            <w:shd w:val="clear" w:color="auto" w:fill="CBDBD1"/>
          </w:tcPr>
          <w:p>
            <w:pPr>
              <w:spacing w:after="0"/>
              <w:rPr>
                <w:sz w:val="19"/>
                <w:szCs w:val="19"/>
                <w:color w:val="auto"/>
              </w:rPr>
            </w:pPr>
          </w:p>
        </w:tc>
        <w:tc>
          <w:tcPr>
            <w:tcW w:w="80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2,079</w:t>
            </w:r>
          </w:p>
        </w:tc>
        <w:tc>
          <w:tcPr>
            <w:tcW w:w="120" w:type="dxa"/>
            <w:vAlign w:val="bottom"/>
            <w:tcBorders>
              <w:bottom w:val="single" w:sz="8" w:color="CBDBD1"/>
            </w:tcBorders>
            <w:shd w:val="clear" w:color="auto" w:fill="CBDBD1"/>
          </w:tcPr>
          <w:p>
            <w:pPr>
              <w:spacing w:after="0"/>
              <w:rPr>
                <w:sz w:val="19"/>
                <w:szCs w:val="19"/>
                <w:color w:val="auto"/>
              </w:rPr>
            </w:pPr>
          </w:p>
        </w:tc>
        <w:tc>
          <w:tcPr>
            <w:tcW w:w="80" w:type="dxa"/>
            <w:vAlign w:val="bottom"/>
            <w:tcBorders>
              <w:bottom w:val="single" w:sz="8" w:color="CBDBD1"/>
            </w:tcBorders>
            <w:shd w:val="clear" w:color="auto" w:fill="CBDBD1"/>
          </w:tcPr>
          <w:p>
            <w:pPr>
              <w:spacing w:after="0"/>
              <w:rPr>
                <w:sz w:val="19"/>
                <w:szCs w:val="19"/>
                <w:color w:val="auto"/>
              </w:rPr>
            </w:pPr>
          </w:p>
        </w:tc>
        <w:tc>
          <w:tcPr>
            <w:tcW w:w="200" w:type="dxa"/>
            <w:vAlign w:val="bottom"/>
            <w:tcBorders>
              <w:bottom w:val="single" w:sz="8" w:color="auto"/>
            </w:tcBorders>
            <w:shd w:val="clear" w:color="auto" w:fill="CBDBD1"/>
          </w:tcPr>
          <w:p>
            <w:pPr>
              <w:spacing w:after="0"/>
              <w:rPr>
                <w:sz w:val="19"/>
                <w:szCs w:val="19"/>
                <w:color w:val="auto"/>
              </w:rPr>
            </w:pPr>
          </w:p>
        </w:tc>
        <w:tc>
          <w:tcPr>
            <w:tcW w:w="84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4,881</w:t>
            </w:r>
          </w:p>
        </w:tc>
        <w:tc>
          <w:tcPr>
            <w:tcW w:w="120" w:type="dxa"/>
            <w:vAlign w:val="bottom"/>
            <w:tcBorders>
              <w:bottom w:val="single" w:sz="8" w:color="CBDBD1"/>
            </w:tcBorders>
            <w:shd w:val="clear" w:color="auto" w:fill="CBDBD1"/>
          </w:tcPr>
          <w:p>
            <w:pPr>
              <w:spacing w:after="0"/>
              <w:rPr>
                <w:sz w:val="19"/>
                <w:szCs w:val="19"/>
                <w:color w:val="auto"/>
              </w:rPr>
            </w:pPr>
          </w:p>
        </w:tc>
        <w:tc>
          <w:tcPr>
            <w:tcW w:w="60" w:type="dxa"/>
            <w:vAlign w:val="bottom"/>
            <w:tcBorders>
              <w:bottom w:val="single" w:sz="8" w:color="CBDBD1"/>
            </w:tcBorders>
            <w:shd w:val="clear" w:color="auto" w:fill="CBDBD1"/>
          </w:tcPr>
          <w:p>
            <w:pPr>
              <w:spacing w:after="0"/>
              <w:rPr>
                <w:sz w:val="19"/>
                <w:szCs w:val="19"/>
                <w:color w:val="auto"/>
              </w:rPr>
            </w:pPr>
          </w:p>
        </w:tc>
        <w:tc>
          <w:tcPr>
            <w:tcW w:w="240" w:type="dxa"/>
            <w:vAlign w:val="bottom"/>
            <w:tcBorders>
              <w:bottom w:val="single" w:sz="8" w:color="auto"/>
            </w:tcBorders>
            <w:shd w:val="clear" w:color="auto" w:fill="CBDBD1"/>
          </w:tcPr>
          <w:p>
            <w:pPr>
              <w:spacing w:after="0"/>
              <w:rPr>
                <w:sz w:val="19"/>
                <w:szCs w:val="19"/>
                <w:color w:val="auto"/>
              </w:rPr>
            </w:pPr>
          </w:p>
        </w:tc>
        <w:tc>
          <w:tcPr>
            <w:tcW w:w="78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19,268</w:t>
            </w:r>
          </w:p>
        </w:tc>
        <w:tc>
          <w:tcPr>
            <w:tcW w:w="120" w:type="dxa"/>
            <w:vAlign w:val="bottom"/>
            <w:tcBorders>
              <w:bottom w:val="single" w:sz="8" w:color="CBDBD1"/>
            </w:tcBorders>
            <w:shd w:val="clear" w:color="auto" w:fill="CBDBD1"/>
          </w:tcPr>
          <w:p>
            <w:pPr>
              <w:spacing w:after="0"/>
              <w:rPr>
                <w:sz w:val="19"/>
                <w:szCs w:val="19"/>
                <w:color w:val="auto"/>
              </w:rPr>
            </w:pPr>
          </w:p>
        </w:tc>
        <w:tc>
          <w:tcPr>
            <w:tcW w:w="60" w:type="dxa"/>
            <w:vAlign w:val="bottom"/>
            <w:tcBorders>
              <w:bottom w:val="single" w:sz="8" w:color="CBDBD1"/>
            </w:tcBorders>
            <w:shd w:val="clear" w:color="auto" w:fill="CBDBD1"/>
          </w:tcPr>
          <w:p>
            <w:pPr>
              <w:spacing w:after="0"/>
              <w:rPr>
                <w:sz w:val="19"/>
                <w:szCs w:val="19"/>
                <w:color w:val="auto"/>
              </w:rPr>
            </w:pPr>
          </w:p>
        </w:tc>
        <w:tc>
          <w:tcPr>
            <w:tcW w:w="100" w:type="dxa"/>
            <w:vAlign w:val="bottom"/>
            <w:tcBorders>
              <w:bottom w:val="single" w:sz="8" w:color="auto"/>
            </w:tcBorders>
            <w:shd w:val="clear" w:color="auto" w:fill="CBDBD1"/>
          </w:tcPr>
          <w:p>
            <w:pPr>
              <w:spacing w:after="0"/>
              <w:rPr>
                <w:sz w:val="19"/>
                <w:szCs w:val="19"/>
                <w:color w:val="auto"/>
              </w:rPr>
            </w:pPr>
          </w:p>
        </w:tc>
        <w:tc>
          <w:tcPr>
            <w:tcW w:w="92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53,450</w:t>
            </w:r>
          </w:p>
        </w:tc>
        <w:tc>
          <w:tcPr>
            <w:tcW w:w="100" w:type="dxa"/>
            <w:vAlign w:val="bottom"/>
            <w:tcBorders>
              <w:bottom w:val="single" w:sz="8" w:color="CBDBD1"/>
            </w:tcBorders>
            <w:shd w:val="clear" w:color="auto" w:fill="CBDBD1"/>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200" w:type="dxa"/>
            <w:vAlign w:val="bottom"/>
            <w:shd w:val="clear" w:color="auto" w:fill="CBDBD1"/>
          </w:tcPr>
          <w:p>
            <w:pPr>
              <w:spacing w:after="0"/>
              <w:rPr>
                <w:sz w:val="20"/>
                <w:szCs w:val="20"/>
                <w:color w:val="auto"/>
              </w:rPr>
            </w:pPr>
            <w:r>
              <w:rPr>
                <w:rFonts w:ascii="Arial" w:cs="Arial" w:eastAsia="Arial" w:hAnsi="Arial"/>
                <w:sz w:val="18"/>
                <w:szCs w:val="18"/>
                <w:color w:val="auto"/>
              </w:rPr>
              <w:t>(Loss) before provision for income taxes</w:t>
            </w:r>
          </w:p>
        </w:tc>
        <w:tc>
          <w:tcPr>
            <w:tcW w:w="20" w:type="dxa"/>
            <w:vAlign w:val="bottom"/>
            <w:shd w:val="clear" w:color="auto" w:fill="CBDBD1"/>
          </w:tcPr>
          <w:p>
            <w:pPr>
              <w:spacing w:after="0"/>
              <w:rPr>
                <w:sz w:val="19"/>
                <w:szCs w:val="19"/>
                <w:color w:val="auto"/>
              </w:rPr>
            </w:pPr>
          </w:p>
        </w:tc>
        <w:tc>
          <w:tcPr>
            <w:tcW w:w="200" w:type="dxa"/>
            <w:vAlign w:val="bottom"/>
            <w:shd w:val="clear" w:color="auto" w:fill="CBDBD1"/>
          </w:tcPr>
          <w:p>
            <w:pPr>
              <w:spacing w:after="0"/>
              <w:rPr>
                <w:sz w:val="19"/>
                <w:szCs w:val="19"/>
                <w:color w:val="auto"/>
              </w:rPr>
            </w:pPr>
          </w:p>
        </w:tc>
        <w:tc>
          <w:tcPr>
            <w:tcW w:w="96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(2,107)</w:t>
            </w:r>
          </w:p>
        </w:tc>
        <w:tc>
          <w:tcPr>
            <w:tcW w:w="100" w:type="dxa"/>
            <w:vAlign w:val="bottom"/>
            <w:shd w:val="clear" w:color="auto" w:fill="CBDBD1"/>
          </w:tcPr>
          <w:p>
            <w:pPr>
              <w:spacing w:after="0"/>
              <w:rPr>
                <w:sz w:val="19"/>
                <w:szCs w:val="19"/>
                <w:color w:val="auto"/>
              </w:rPr>
            </w:pPr>
          </w:p>
        </w:tc>
        <w:tc>
          <w:tcPr>
            <w:tcW w:w="240" w:type="dxa"/>
            <w:vAlign w:val="bottom"/>
            <w:shd w:val="clear" w:color="auto" w:fill="CBDBD1"/>
          </w:tcPr>
          <w:p>
            <w:pPr>
              <w:spacing w:after="0"/>
              <w:rPr>
                <w:sz w:val="19"/>
                <w:szCs w:val="19"/>
                <w:color w:val="auto"/>
              </w:rPr>
            </w:pPr>
          </w:p>
        </w:tc>
        <w:tc>
          <w:tcPr>
            <w:tcW w:w="92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(2,079)</w:t>
            </w:r>
          </w:p>
        </w:tc>
        <w:tc>
          <w:tcPr>
            <w:tcW w:w="80" w:type="dxa"/>
            <w:vAlign w:val="bottom"/>
            <w:shd w:val="clear" w:color="auto" w:fill="CBDBD1"/>
          </w:tcPr>
          <w:p>
            <w:pPr>
              <w:spacing w:after="0"/>
              <w:rPr>
                <w:sz w:val="19"/>
                <w:szCs w:val="19"/>
                <w:color w:val="auto"/>
              </w:rPr>
            </w:pPr>
          </w:p>
        </w:tc>
        <w:tc>
          <w:tcPr>
            <w:tcW w:w="200" w:type="dxa"/>
            <w:vAlign w:val="bottom"/>
            <w:shd w:val="clear" w:color="auto" w:fill="CBDBD1"/>
          </w:tcPr>
          <w:p>
            <w:pPr>
              <w:spacing w:after="0"/>
              <w:rPr>
                <w:sz w:val="19"/>
                <w:szCs w:val="19"/>
                <w:color w:val="auto"/>
              </w:rPr>
            </w:pPr>
          </w:p>
        </w:tc>
        <w:tc>
          <w:tcPr>
            <w:tcW w:w="96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(4,881)</w:t>
            </w:r>
          </w:p>
        </w:tc>
        <w:tc>
          <w:tcPr>
            <w:tcW w:w="60" w:type="dxa"/>
            <w:vAlign w:val="bottom"/>
            <w:shd w:val="clear" w:color="auto" w:fill="CBDBD1"/>
          </w:tcPr>
          <w:p>
            <w:pPr>
              <w:spacing w:after="0"/>
              <w:rPr>
                <w:sz w:val="19"/>
                <w:szCs w:val="19"/>
                <w:color w:val="auto"/>
              </w:rPr>
            </w:pPr>
          </w:p>
        </w:tc>
        <w:tc>
          <w:tcPr>
            <w:tcW w:w="240" w:type="dxa"/>
            <w:vAlign w:val="bottom"/>
            <w:shd w:val="clear" w:color="auto" w:fill="CBDBD1"/>
          </w:tcPr>
          <w:p>
            <w:pPr>
              <w:spacing w:after="0"/>
              <w:rPr>
                <w:sz w:val="19"/>
                <w:szCs w:val="19"/>
                <w:color w:val="auto"/>
              </w:rPr>
            </w:pPr>
          </w:p>
        </w:tc>
        <w:tc>
          <w:tcPr>
            <w:tcW w:w="90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(19,268)</w:t>
            </w:r>
          </w:p>
        </w:tc>
        <w:tc>
          <w:tcPr>
            <w:tcW w:w="60" w:type="dxa"/>
            <w:vAlign w:val="bottom"/>
            <w:shd w:val="clear" w:color="auto" w:fill="CBDBD1"/>
          </w:tcPr>
          <w:p>
            <w:pPr>
              <w:spacing w:after="0"/>
              <w:rPr>
                <w:sz w:val="19"/>
                <w:szCs w:val="19"/>
                <w:color w:val="auto"/>
              </w:rPr>
            </w:pPr>
          </w:p>
        </w:tc>
        <w:tc>
          <w:tcPr>
            <w:tcW w:w="100" w:type="dxa"/>
            <w:vAlign w:val="bottom"/>
            <w:shd w:val="clear" w:color="auto" w:fill="CBDBD1"/>
          </w:tcPr>
          <w:p>
            <w:pPr>
              <w:spacing w:after="0"/>
              <w:rPr>
                <w:sz w:val="19"/>
                <w:szCs w:val="19"/>
                <w:color w:val="auto"/>
              </w:rPr>
            </w:pPr>
          </w:p>
        </w:tc>
        <w:tc>
          <w:tcPr>
            <w:tcW w:w="1020" w:type="dxa"/>
            <w:vAlign w:val="bottom"/>
            <w:gridSpan w:val="2"/>
            <w:shd w:val="clear" w:color="auto" w:fill="CBDBD1"/>
          </w:tcPr>
          <w:p>
            <w:pPr>
              <w:jc w:val="right"/>
              <w:ind w:right="40"/>
              <w:spacing w:after="0"/>
              <w:rPr>
                <w:sz w:val="20"/>
                <w:szCs w:val="20"/>
                <w:color w:val="auto"/>
              </w:rPr>
            </w:pPr>
            <w:r>
              <w:rPr>
                <w:rFonts w:ascii="Arial" w:cs="Arial" w:eastAsia="Arial" w:hAnsi="Arial"/>
                <w:sz w:val="18"/>
                <w:szCs w:val="18"/>
                <w:color w:val="auto"/>
              </w:rPr>
              <w:t>(53,450)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0" w:type="dxa"/>
            <w:vAlign w:val="bottom"/>
            <w:tcBorders>
              <w:top w:val="single" w:sz="8" w:color="CBDBD1"/>
            </w:tcBorders>
          </w:tcPr>
          <w:p>
            <w:pPr>
              <w:spacing w:after="0"/>
              <w:rPr>
                <w:sz w:val="18"/>
                <w:szCs w:val="18"/>
                <w:color w:val="auto"/>
              </w:rPr>
            </w:pPr>
          </w:p>
        </w:tc>
        <w:tc>
          <w:tcPr>
            <w:tcW w:w="20" w:type="dxa"/>
            <w:vAlign w:val="bottom"/>
            <w:tcBorders>
              <w:top w:val="single" w:sz="8" w:color="CBDBD1"/>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BDBD1"/>
            </w:tcBorders>
          </w:tcPr>
          <w:p>
            <w:pPr>
              <w:spacing w:after="0"/>
              <w:rPr>
                <w:sz w:val="18"/>
                <w:szCs w:val="18"/>
                <w:color w:val="auto"/>
              </w:rPr>
            </w:pPr>
          </w:p>
        </w:tc>
        <w:tc>
          <w:tcPr>
            <w:tcW w:w="100" w:type="dxa"/>
            <w:vAlign w:val="bottom"/>
            <w:tcBorders>
              <w:top w:val="single" w:sz="8" w:color="CBDBD1"/>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BDBD1"/>
            </w:tcBorders>
          </w:tcPr>
          <w:p>
            <w:pPr>
              <w:spacing w:after="0"/>
              <w:rPr>
                <w:sz w:val="18"/>
                <w:szCs w:val="18"/>
                <w:color w:val="auto"/>
              </w:rPr>
            </w:pPr>
          </w:p>
        </w:tc>
        <w:tc>
          <w:tcPr>
            <w:tcW w:w="80" w:type="dxa"/>
            <w:vAlign w:val="bottom"/>
            <w:tcBorders>
              <w:top w:val="single" w:sz="8" w:color="CBDBD1"/>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BDBD1"/>
            </w:tcBorders>
          </w:tcPr>
          <w:p>
            <w:pPr>
              <w:spacing w:after="0"/>
              <w:rPr>
                <w:sz w:val="18"/>
                <w:szCs w:val="18"/>
                <w:color w:val="auto"/>
              </w:rPr>
            </w:pPr>
          </w:p>
        </w:tc>
        <w:tc>
          <w:tcPr>
            <w:tcW w:w="60" w:type="dxa"/>
            <w:vAlign w:val="bottom"/>
            <w:tcBorders>
              <w:top w:val="single" w:sz="8" w:color="CBDBD1"/>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BDBD1"/>
            </w:tcBorders>
          </w:tcPr>
          <w:p>
            <w:pPr>
              <w:spacing w:after="0"/>
              <w:rPr>
                <w:sz w:val="18"/>
                <w:szCs w:val="18"/>
                <w:color w:val="auto"/>
              </w:rPr>
            </w:pPr>
          </w:p>
        </w:tc>
        <w:tc>
          <w:tcPr>
            <w:tcW w:w="60" w:type="dxa"/>
            <w:vAlign w:val="bottom"/>
            <w:tcBorders>
              <w:top w:val="single" w:sz="8" w:color="CBDBD1"/>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BDBD1"/>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BDBD1"/>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shd w:val="clear" w:color="auto" w:fill="CBDBD1"/>
          </w:tcPr>
          <w:p>
            <w:pPr>
              <w:spacing w:after="0"/>
              <w:rPr>
                <w:sz w:val="18"/>
                <w:szCs w:val="18"/>
                <w:color w:val="auto"/>
              </w:rPr>
            </w:pPr>
          </w:p>
        </w:tc>
        <w:tc>
          <w:tcPr>
            <w:tcW w:w="200" w:type="dxa"/>
            <w:vAlign w:val="bottom"/>
            <w:shd w:val="clear" w:color="auto" w:fill="CBDBD1"/>
          </w:tcPr>
          <w:p>
            <w:pPr>
              <w:spacing w:after="0"/>
              <w:rPr>
                <w:sz w:val="18"/>
                <w:szCs w:val="18"/>
                <w:color w:val="auto"/>
              </w:rPr>
            </w:pPr>
          </w:p>
        </w:tc>
        <w:tc>
          <w:tcPr>
            <w:tcW w:w="8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240" w:type="dxa"/>
            <w:vAlign w:val="bottom"/>
            <w:shd w:val="clear" w:color="auto" w:fill="CBDBD1"/>
          </w:tcPr>
          <w:p>
            <w:pPr>
              <w:spacing w:after="0"/>
              <w:rPr>
                <w:sz w:val="18"/>
                <w:szCs w:val="18"/>
                <w:color w:val="auto"/>
              </w:rPr>
            </w:pPr>
          </w:p>
        </w:tc>
        <w:tc>
          <w:tcPr>
            <w:tcW w:w="8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200" w:type="dxa"/>
            <w:vAlign w:val="bottom"/>
            <w:shd w:val="clear" w:color="auto" w:fill="CBDBD1"/>
          </w:tcPr>
          <w:p>
            <w:pPr>
              <w:spacing w:after="0"/>
              <w:rPr>
                <w:sz w:val="18"/>
                <w:szCs w:val="18"/>
                <w:color w:val="auto"/>
              </w:rPr>
            </w:pPr>
          </w:p>
        </w:tc>
        <w:tc>
          <w:tcPr>
            <w:tcW w:w="96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(30)</w:t>
            </w:r>
          </w:p>
        </w:tc>
        <w:tc>
          <w:tcPr>
            <w:tcW w:w="60" w:type="dxa"/>
            <w:vAlign w:val="bottom"/>
            <w:shd w:val="clear" w:color="auto" w:fill="CBDBD1"/>
          </w:tcPr>
          <w:p>
            <w:pPr>
              <w:spacing w:after="0"/>
              <w:rPr>
                <w:sz w:val="18"/>
                <w:szCs w:val="18"/>
                <w:color w:val="auto"/>
              </w:rPr>
            </w:pPr>
          </w:p>
        </w:tc>
        <w:tc>
          <w:tcPr>
            <w:tcW w:w="240" w:type="dxa"/>
            <w:vAlign w:val="bottom"/>
            <w:shd w:val="clear" w:color="auto" w:fill="CBDBD1"/>
          </w:tcPr>
          <w:p>
            <w:pPr>
              <w:spacing w:after="0"/>
              <w:rPr>
                <w:sz w:val="18"/>
                <w:szCs w:val="18"/>
                <w:color w:val="auto"/>
              </w:rPr>
            </w:pPr>
          </w:p>
        </w:tc>
        <w:tc>
          <w:tcPr>
            <w:tcW w:w="90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(30)</w:t>
            </w:r>
          </w:p>
        </w:tc>
        <w:tc>
          <w:tcPr>
            <w:tcW w:w="6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020" w:type="dxa"/>
            <w:vAlign w:val="bottom"/>
            <w:gridSpan w:val="2"/>
            <w:shd w:val="clear" w:color="auto" w:fill="CBDBD1"/>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200" w:type="dxa"/>
            <w:vAlign w:val="bottom"/>
            <w:shd w:val="clear" w:color="auto" w:fill="CBDBD1"/>
          </w:tcPr>
          <w:p>
            <w:pPr>
              <w:spacing w:after="0"/>
              <w:rPr>
                <w:sz w:val="20"/>
                <w:szCs w:val="20"/>
                <w:color w:val="auto"/>
              </w:rPr>
            </w:pPr>
            <w:r>
              <w:rPr>
                <w:rFonts w:ascii="Arial" w:cs="Arial" w:eastAsia="Arial" w:hAnsi="Arial"/>
                <w:sz w:val="18"/>
                <w:szCs w:val="18"/>
                <w:color w:val="auto"/>
              </w:rPr>
              <w:t>Net (loss)</w:t>
            </w:r>
          </w:p>
        </w:tc>
        <w:tc>
          <w:tcPr>
            <w:tcW w:w="220" w:type="dxa"/>
            <w:vAlign w:val="bottom"/>
            <w:gridSpan w:val="2"/>
            <w:shd w:val="clear" w:color="auto" w:fill="CBDBD1"/>
          </w:tcPr>
          <w:p>
            <w:pPr>
              <w:jc w:val="right"/>
              <w:ind w:right="12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(2,107)</w:t>
            </w:r>
          </w:p>
        </w:tc>
        <w:tc>
          <w:tcPr>
            <w:tcW w:w="340" w:type="dxa"/>
            <w:vAlign w:val="bottom"/>
            <w:gridSpan w:val="2"/>
            <w:shd w:val="clear" w:color="auto" w:fill="CBDBD1"/>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(2,079)</w:t>
            </w:r>
          </w:p>
        </w:tc>
        <w:tc>
          <w:tcPr>
            <w:tcW w:w="280" w:type="dxa"/>
            <w:vAlign w:val="bottom"/>
            <w:gridSpan w:val="2"/>
            <w:shd w:val="clear" w:color="auto" w:fill="CBDBD1"/>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(4,911)</w:t>
            </w:r>
          </w:p>
        </w:tc>
        <w:tc>
          <w:tcPr>
            <w:tcW w:w="300" w:type="dxa"/>
            <w:vAlign w:val="bottom"/>
            <w:gridSpan w:val="2"/>
            <w:shd w:val="clear" w:color="auto" w:fill="CBDBD1"/>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(19,298)</w:t>
            </w:r>
          </w:p>
        </w:tc>
        <w:tc>
          <w:tcPr>
            <w:tcW w:w="160" w:type="dxa"/>
            <w:vAlign w:val="bottom"/>
            <w:gridSpan w:val="2"/>
            <w:shd w:val="clear" w:color="auto" w:fill="CBDBD1"/>
          </w:tcPr>
          <w:p>
            <w:pPr>
              <w:ind w:left="6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BDBD1"/>
          </w:tcPr>
          <w:p>
            <w:pPr>
              <w:jc w:val="right"/>
              <w:ind w:right="40"/>
              <w:spacing w:after="0"/>
              <w:rPr>
                <w:sz w:val="20"/>
                <w:szCs w:val="20"/>
                <w:color w:val="auto"/>
              </w:rPr>
            </w:pPr>
            <w:r>
              <w:rPr>
                <w:rFonts w:ascii="Arial" w:cs="Arial" w:eastAsia="Arial" w:hAnsi="Arial"/>
                <w:sz w:val="18"/>
                <w:szCs w:val="18"/>
                <w:color w:val="auto"/>
              </w:rPr>
              <w:t>(53,570)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0" w:type="dxa"/>
            <w:vAlign w:val="bottom"/>
            <w:tcBorders>
              <w:top w:val="single" w:sz="8" w:color="CBDBD1"/>
            </w:tcBorders>
          </w:tcPr>
          <w:p>
            <w:pPr>
              <w:spacing w:after="0"/>
              <w:rPr>
                <w:sz w:val="18"/>
                <w:szCs w:val="18"/>
                <w:color w:val="auto"/>
              </w:rPr>
            </w:pPr>
          </w:p>
        </w:tc>
        <w:tc>
          <w:tcPr>
            <w:tcW w:w="20" w:type="dxa"/>
            <w:vAlign w:val="bottom"/>
            <w:tcBorders>
              <w:top w:val="single" w:sz="8" w:color="CBDBD1"/>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BDBD1"/>
            </w:tcBorders>
          </w:tcPr>
          <w:p>
            <w:pPr>
              <w:spacing w:after="0"/>
              <w:rPr>
                <w:sz w:val="18"/>
                <w:szCs w:val="18"/>
                <w:color w:val="auto"/>
              </w:rPr>
            </w:pPr>
          </w:p>
        </w:tc>
        <w:tc>
          <w:tcPr>
            <w:tcW w:w="100" w:type="dxa"/>
            <w:vAlign w:val="bottom"/>
            <w:tcBorders>
              <w:top w:val="single" w:sz="8" w:color="CBDBD1"/>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BDBD1"/>
            </w:tcBorders>
          </w:tcPr>
          <w:p>
            <w:pPr>
              <w:spacing w:after="0"/>
              <w:rPr>
                <w:sz w:val="18"/>
                <w:szCs w:val="18"/>
                <w:color w:val="auto"/>
              </w:rPr>
            </w:pPr>
          </w:p>
        </w:tc>
        <w:tc>
          <w:tcPr>
            <w:tcW w:w="80" w:type="dxa"/>
            <w:vAlign w:val="bottom"/>
            <w:tcBorders>
              <w:top w:val="single" w:sz="8" w:color="CBDBD1"/>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BDBD1"/>
            </w:tcBorders>
          </w:tcPr>
          <w:p>
            <w:pPr>
              <w:spacing w:after="0"/>
              <w:rPr>
                <w:sz w:val="18"/>
                <w:szCs w:val="18"/>
                <w:color w:val="auto"/>
              </w:rPr>
            </w:pPr>
          </w:p>
        </w:tc>
        <w:tc>
          <w:tcPr>
            <w:tcW w:w="60" w:type="dxa"/>
            <w:vAlign w:val="bottom"/>
            <w:tcBorders>
              <w:top w:val="single" w:sz="8" w:color="CBDBD1"/>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BDBD1"/>
            </w:tcBorders>
          </w:tcPr>
          <w:p>
            <w:pPr>
              <w:spacing w:after="0"/>
              <w:rPr>
                <w:sz w:val="18"/>
                <w:szCs w:val="18"/>
                <w:color w:val="auto"/>
              </w:rPr>
            </w:pPr>
          </w:p>
        </w:tc>
        <w:tc>
          <w:tcPr>
            <w:tcW w:w="60" w:type="dxa"/>
            <w:vAlign w:val="bottom"/>
            <w:tcBorders>
              <w:top w:val="single" w:sz="8" w:color="CBDBD1"/>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BDBD1"/>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BDBD1"/>
          </w:tcPr>
          <w:p>
            <w:pPr>
              <w:spacing w:after="0"/>
              <w:rPr>
                <w:sz w:val="20"/>
                <w:szCs w:val="20"/>
                <w:color w:val="auto"/>
              </w:rPr>
            </w:pPr>
            <w:r>
              <w:rPr>
                <w:rFonts w:ascii="Arial" w:cs="Arial" w:eastAsia="Arial" w:hAnsi="Arial"/>
                <w:sz w:val="18"/>
                <w:szCs w:val="18"/>
                <w:color w:val="auto"/>
              </w:rPr>
              <w:t>Weighted average number of</w:t>
            </w:r>
          </w:p>
        </w:tc>
        <w:tc>
          <w:tcPr>
            <w:tcW w:w="20" w:type="dxa"/>
            <w:vAlign w:val="bottom"/>
            <w:shd w:val="clear" w:color="auto" w:fill="CBDBD1"/>
          </w:tcPr>
          <w:p>
            <w:pPr>
              <w:spacing w:after="0"/>
              <w:rPr>
                <w:sz w:val="18"/>
                <w:szCs w:val="18"/>
                <w:color w:val="auto"/>
              </w:rPr>
            </w:pPr>
          </w:p>
        </w:tc>
        <w:tc>
          <w:tcPr>
            <w:tcW w:w="200" w:type="dxa"/>
            <w:vAlign w:val="bottom"/>
            <w:shd w:val="clear" w:color="auto" w:fill="CBDBD1"/>
          </w:tcPr>
          <w:p>
            <w:pPr>
              <w:spacing w:after="0"/>
              <w:rPr>
                <w:sz w:val="18"/>
                <w:szCs w:val="18"/>
                <w:color w:val="auto"/>
              </w:rPr>
            </w:pPr>
          </w:p>
        </w:tc>
        <w:tc>
          <w:tcPr>
            <w:tcW w:w="84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240" w:type="dxa"/>
            <w:vAlign w:val="bottom"/>
            <w:shd w:val="clear" w:color="auto" w:fill="CBDBD1"/>
          </w:tcPr>
          <w:p>
            <w:pPr>
              <w:spacing w:after="0"/>
              <w:rPr>
                <w:sz w:val="18"/>
                <w:szCs w:val="18"/>
                <w:color w:val="auto"/>
              </w:rPr>
            </w:pPr>
          </w:p>
        </w:tc>
        <w:tc>
          <w:tcPr>
            <w:tcW w:w="8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200" w:type="dxa"/>
            <w:vAlign w:val="bottom"/>
            <w:shd w:val="clear" w:color="auto" w:fill="CBDBD1"/>
          </w:tcPr>
          <w:p>
            <w:pPr>
              <w:spacing w:after="0"/>
              <w:rPr>
                <w:sz w:val="18"/>
                <w:szCs w:val="18"/>
                <w:color w:val="auto"/>
              </w:rPr>
            </w:pPr>
          </w:p>
        </w:tc>
        <w:tc>
          <w:tcPr>
            <w:tcW w:w="84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60" w:type="dxa"/>
            <w:vAlign w:val="bottom"/>
            <w:shd w:val="clear" w:color="auto" w:fill="CBDBD1"/>
          </w:tcPr>
          <w:p>
            <w:pPr>
              <w:spacing w:after="0"/>
              <w:rPr>
                <w:sz w:val="18"/>
                <w:szCs w:val="18"/>
                <w:color w:val="auto"/>
              </w:rPr>
            </w:pPr>
          </w:p>
        </w:tc>
        <w:tc>
          <w:tcPr>
            <w:tcW w:w="240" w:type="dxa"/>
            <w:vAlign w:val="bottom"/>
            <w:shd w:val="clear" w:color="auto" w:fill="CBDBD1"/>
          </w:tcPr>
          <w:p>
            <w:pPr>
              <w:spacing w:after="0"/>
              <w:rPr>
                <w:sz w:val="18"/>
                <w:szCs w:val="18"/>
                <w:color w:val="auto"/>
              </w:rPr>
            </w:pPr>
          </w:p>
        </w:tc>
        <w:tc>
          <w:tcPr>
            <w:tcW w:w="78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6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92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20"/>
              <w:spacing w:after="0"/>
              <w:rPr>
                <w:sz w:val="20"/>
                <w:szCs w:val="20"/>
                <w:color w:val="auto"/>
              </w:rPr>
            </w:pPr>
            <w:r>
              <w:rPr>
                <w:rFonts w:ascii="Arial" w:cs="Arial" w:eastAsia="Arial" w:hAnsi="Arial"/>
                <w:sz w:val="18"/>
                <w:szCs w:val="18"/>
                <w:color w:val="auto"/>
                <w:w w:val="97"/>
              </w:rPr>
              <w:t>common shares outstanding – basic and fully diluted</w:t>
            </w: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5,848,707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5,848,707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5,848,707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5,848,707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0" w:type="dxa"/>
            <w:vAlign w:val="bottom"/>
            <w:shd w:val="clear" w:color="auto" w:fill="CBDBD1"/>
          </w:tcPr>
          <w:p>
            <w:pPr>
              <w:spacing w:after="0"/>
              <w:rPr>
                <w:sz w:val="18"/>
                <w:szCs w:val="18"/>
                <w:color w:val="auto"/>
              </w:rPr>
            </w:pPr>
          </w:p>
        </w:tc>
        <w:tc>
          <w:tcPr>
            <w:tcW w:w="20" w:type="dxa"/>
            <w:vAlign w:val="bottom"/>
            <w:shd w:val="clear" w:color="auto" w:fill="CBDBD1"/>
          </w:tcPr>
          <w:p>
            <w:pPr>
              <w:spacing w:after="0"/>
              <w:rPr>
                <w:sz w:val="18"/>
                <w:szCs w:val="18"/>
                <w:color w:val="auto"/>
              </w:rPr>
            </w:pPr>
          </w:p>
        </w:tc>
        <w:tc>
          <w:tcPr>
            <w:tcW w:w="200" w:type="dxa"/>
            <w:vAlign w:val="bottom"/>
            <w:shd w:val="clear" w:color="auto" w:fill="CBDBD1"/>
          </w:tcPr>
          <w:p>
            <w:pPr>
              <w:spacing w:after="0"/>
              <w:rPr>
                <w:sz w:val="18"/>
                <w:szCs w:val="18"/>
                <w:color w:val="auto"/>
              </w:rPr>
            </w:pPr>
          </w:p>
        </w:tc>
        <w:tc>
          <w:tcPr>
            <w:tcW w:w="84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240" w:type="dxa"/>
            <w:vAlign w:val="bottom"/>
            <w:shd w:val="clear" w:color="auto" w:fill="CBDBD1"/>
          </w:tcPr>
          <w:p>
            <w:pPr>
              <w:spacing w:after="0"/>
              <w:rPr>
                <w:sz w:val="18"/>
                <w:szCs w:val="18"/>
                <w:color w:val="auto"/>
              </w:rPr>
            </w:pPr>
          </w:p>
        </w:tc>
        <w:tc>
          <w:tcPr>
            <w:tcW w:w="8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200" w:type="dxa"/>
            <w:vAlign w:val="bottom"/>
            <w:shd w:val="clear" w:color="auto" w:fill="CBDBD1"/>
          </w:tcPr>
          <w:p>
            <w:pPr>
              <w:spacing w:after="0"/>
              <w:rPr>
                <w:sz w:val="18"/>
                <w:szCs w:val="18"/>
                <w:color w:val="auto"/>
              </w:rPr>
            </w:pPr>
          </w:p>
        </w:tc>
        <w:tc>
          <w:tcPr>
            <w:tcW w:w="84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60" w:type="dxa"/>
            <w:vAlign w:val="bottom"/>
            <w:shd w:val="clear" w:color="auto" w:fill="CBDBD1"/>
          </w:tcPr>
          <w:p>
            <w:pPr>
              <w:spacing w:after="0"/>
              <w:rPr>
                <w:sz w:val="18"/>
                <w:szCs w:val="18"/>
                <w:color w:val="auto"/>
              </w:rPr>
            </w:pPr>
          </w:p>
        </w:tc>
        <w:tc>
          <w:tcPr>
            <w:tcW w:w="240" w:type="dxa"/>
            <w:vAlign w:val="bottom"/>
            <w:shd w:val="clear" w:color="auto" w:fill="CBDBD1"/>
          </w:tcPr>
          <w:p>
            <w:pPr>
              <w:spacing w:after="0"/>
              <w:rPr>
                <w:sz w:val="18"/>
                <w:szCs w:val="18"/>
                <w:color w:val="auto"/>
              </w:rPr>
            </w:pPr>
          </w:p>
        </w:tc>
        <w:tc>
          <w:tcPr>
            <w:tcW w:w="78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6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92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Net (loss) per share – basic and fully diluted</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(0.00)</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(0.00)</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(0.00)</w:t>
            </w: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820" w:top="513" w:right="79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Excaliber Enterprises, Ltd.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Statements of Cash Flows</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October 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00" w:type="dxa"/>
            <w:vAlign w:val="bottom"/>
            <w:gridSpan w:val="6"/>
          </w:tcPr>
          <w:p>
            <w:pPr>
              <w:jc w:val="right"/>
              <w:ind w:right="380"/>
              <w:spacing w:after="0"/>
              <w:rPr>
                <w:sz w:val="20"/>
                <w:szCs w:val="20"/>
                <w:color w:val="auto"/>
              </w:rPr>
            </w:pPr>
            <w:r>
              <w:rPr>
                <w:rFonts w:ascii="Arial" w:cs="Arial" w:eastAsia="Arial" w:hAnsi="Arial"/>
                <w:sz w:val="18"/>
                <w:szCs w:val="18"/>
                <w:color w:val="auto"/>
                <w:w w:val="93"/>
              </w:rPr>
              <w:t>For the six months ended</w:t>
            </w: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2005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4"/>
          </w:tcPr>
          <w:p>
            <w:pPr>
              <w:jc w:val="right"/>
              <w:ind w:right="80"/>
              <w:spacing w:after="0"/>
              <w:rPr>
                <w:sz w:val="20"/>
                <w:szCs w:val="20"/>
                <w:color w:val="auto"/>
              </w:rPr>
            </w:pPr>
            <w:r>
              <w:rPr>
                <w:rFonts w:ascii="Arial" w:cs="Arial" w:eastAsia="Arial" w:hAnsi="Arial"/>
                <w:sz w:val="18"/>
                <w:szCs w:val="18"/>
                <w:color w:val="auto"/>
              </w:rPr>
              <w:t>June 30,</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center"/>
              <w:ind w:right="60"/>
              <w:spacing w:after="0"/>
              <w:rPr>
                <w:sz w:val="20"/>
                <w:szCs w:val="20"/>
                <w:color w:val="auto"/>
              </w:rPr>
            </w:pPr>
            <w:r>
              <w:rPr>
                <w:rFonts w:ascii="Arial" w:cs="Arial" w:eastAsia="Arial" w:hAnsi="Arial"/>
                <w:sz w:val="18"/>
                <w:szCs w:val="18"/>
                <w:color w:val="auto"/>
                <w:w w:val="93"/>
              </w:rPr>
              <w:t>(Inception) to</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ind w:right="230"/>
              <w:spacing w:after="0"/>
              <w:rPr>
                <w:sz w:val="20"/>
                <w:szCs w:val="20"/>
                <w:color w:val="auto"/>
              </w:rPr>
            </w:pPr>
            <w:r>
              <w:rPr>
                <w:rFonts w:ascii="Arial" w:cs="Arial" w:eastAsia="Arial" w:hAnsi="Arial"/>
                <w:sz w:val="18"/>
                <w:szCs w:val="18"/>
                <w:color w:val="auto"/>
                <w:w w:val="99"/>
              </w:rPr>
              <w:t>2009</w:t>
            </w:r>
          </w:p>
        </w:tc>
        <w:tc>
          <w:tcPr>
            <w:tcW w:w="180" w:type="dxa"/>
            <w:vAlign w:val="bottom"/>
          </w:tcPr>
          <w:p>
            <w:pPr>
              <w:spacing w:after="0"/>
              <w:rPr>
                <w:sz w:val="20"/>
                <w:szCs w:val="20"/>
                <w:color w:val="auto"/>
              </w:rPr>
            </w:pPr>
          </w:p>
        </w:tc>
        <w:tc>
          <w:tcPr>
            <w:tcW w:w="1120" w:type="dxa"/>
            <w:vAlign w:val="bottom"/>
            <w:gridSpan w:val="3"/>
          </w:tcPr>
          <w:p>
            <w:pPr>
              <w:jc w:val="center"/>
              <w:ind w:right="40"/>
              <w:spacing w:after="0"/>
              <w:rPr>
                <w:sz w:val="20"/>
                <w:szCs w:val="20"/>
                <w:color w:val="auto"/>
              </w:rPr>
            </w:pPr>
            <w:r>
              <w:rPr>
                <w:rFonts w:ascii="Arial" w:cs="Arial" w:eastAsia="Arial" w:hAnsi="Arial"/>
                <w:sz w:val="18"/>
                <w:szCs w:val="18"/>
                <w:color w:val="auto"/>
                <w:w w:val="87"/>
              </w:rPr>
              <w:t>June 30, 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BDBD1"/>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380" w:type="dxa"/>
            <w:vAlign w:val="bottom"/>
            <w:shd w:val="clear" w:color="auto" w:fill="CBDBD1"/>
          </w:tcPr>
          <w:p>
            <w:pPr>
              <w:spacing w:after="0"/>
              <w:rPr>
                <w:sz w:val="18"/>
                <w:szCs w:val="18"/>
                <w:color w:val="auto"/>
              </w:rPr>
            </w:pPr>
          </w:p>
        </w:tc>
        <w:tc>
          <w:tcPr>
            <w:tcW w:w="160" w:type="dxa"/>
            <w:vAlign w:val="bottom"/>
            <w:tcBorders>
              <w:top w:val="single" w:sz="8" w:color="auto"/>
            </w:tcBorders>
            <w:shd w:val="clear" w:color="auto" w:fill="CBDBD1"/>
          </w:tcPr>
          <w:p>
            <w:pPr>
              <w:spacing w:after="0"/>
              <w:rPr>
                <w:sz w:val="18"/>
                <w:szCs w:val="18"/>
                <w:color w:val="auto"/>
              </w:rPr>
            </w:pPr>
          </w:p>
        </w:tc>
        <w:tc>
          <w:tcPr>
            <w:tcW w:w="880" w:type="dxa"/>
            <w:vAlign w:val="bottom"/>
            <w:tcBorders>
              <w:top w:val="single" w:sz="8" w:color="auto"/>
            </w:tcBorders>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300" w:type="dxa"/>
            <w:vAlign w:val="bottom"/>
            <w:tcBorders>
              <w:top w:val="single" w:sz="8" w:color="auto"/>
            </w:tcBorders>
            <w:shd w:val="clear" w:color="auto" w:fill="CBDBD1"/>
          </w:tcPr>
          <w:p>
            <w:pPr>
              <w:spacing w:after="0"/>
              <w:rPr>
                <w:sz w:val="18"/>
                <w:szCs w:val="18"/>
                <w:color w:val="auto"/>
              </w:rPr>
            </w:pPr>
          </w:p>
        </w:tc>
        <w:tc>
          <w:tcPr>
            <w:tcW w:w="740" w:type="dxa"/>
            <w:vAlign w:val="bottom"/>
            <w:tcBorders>
              <w:top w:val="single" w:sz="8" w:color="auto"/>
            </w:tcBorders>
            <w:shd w:val="clear" w:color="auto" w:fill="CBDBD1"/>
          </w:tcPr>
          <w:p>
            <w:pPr>
              <w:spacing w:after="0"/>
              <w:rPr>
                <w:sz w:val="18"/>
                <w:szCs w:val="18"/>
                <w:color w:val="auto"/>
              </w:rPr>
            </w:pPr>
          </w:p>
        </w:tc>
        <w:tc>
          <w:tcPr>
            <w:tcW w:w="180" w:type="dxa"/>
            <w:vAlign w:val="bottom"/>
            <w:tcBorders>
              <w:right w:val="single" w:sz="8" w:color="CBDBD1"/>
            </w:tcBorders>
            <w:shd w:val="clear" w:color="auto" w:fill="CBDBD1"/>
          </w:tcPr>
          <w:p>
            <w:pPr>
              <w:spacing w:after="0"/>
              <w:rPr>
                <w:sz w:val="18"/>
                <w:szCs w:val="18"/>
                <w:color w:val="auto"/>
              </w:rPr>
            </w:pPr>
          </w:p>
        </w:tc>
        <w:tc>
          <w:tcPr>
            <w:tcW w:w="120" w:type="dxa"/>
            <w:vAlign w:val="bottom"/>
            <w:tcBorders>
              <w:top w:val="single" w:sz="8" w:color="auto"/>
            </w:tcBorders>
            <w:shd w:val="clear" w:color="auto" w:fill="CBDBD1"/>
          </w:tcPr>
          <w:p>
            <w:pPr>
              <w:spacing w:after="0"/>
              <w:rPr>
                <w:sz w:val="18"/>
                <w:szCs w:val="18"/>
                <w:color w:val="auto"/>
              </w:rPr>
            </w:pPr>
          </w:p>
        </w:tc>
        <w:tc>
          <w:tcPr>
            <w:tcW w:w="900" w:type="dxa"/>
            <w:vAlign w:val="bottom"/>
            <w:tcBorders>
              <w:top w:val="single" w:sz="8" w:color="auto"/>
            </w:tcBorders>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Net (loss)</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(4,911)</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(19,298)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(53,570)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BDBD1"/>
          </w:tcPr>
          <w:p>
            <w:pPr>
              <w:spacing w:after="0"/>
              <w:rPr>
                <w:sz w:val="20"/>
                <w:szCs w:val="20"/>
                <w:color w:val="auto"/>
              </w:rPr>
            </w:pPr>
            <w:r>
              <w:rPr>
                <w:rFonts w:ascii="Arial" w:cs="Arial" w:eastAsia="Arial" w:hAnsi="Arial"/>
                <w:sz w:val="18"/>
                <w:szCs w:val="18"/>
                <w:color w:val="auto"/>
              </w:rPr>
              <w:t>Adjustments to reconcile net (loss) to</w:t>
            </w:r>
          </w:p>
        </w:tc>
        <w:tc>
          <w:tcPr>
            <w:tcW w:w="1380" w:type="dxa"/>
            <w:vAlign w:val="bottom"/>
            <w:shd w:val="clear" w:color="auto" w:fill="CBDBD1"/>
          </w:tcPr>
          <w:p>
            <w:pPr>
              <w:spacing w:after="0"/>
              <w:rPr>
                <w:sz w:val="18"/>
                <w:szCs w:val="18"/>
                <w:color w:val="auto"/>
              </w:rPr>
            </w:pPr>
          </w:p>
        </w:tc>
        <w:tc>
          <w:tcPr>
            <w:tcW w:w="160" w:type="dxa"/>
            <w:vAlign w:val="bottom"/>
            <w:shd w:val="clear" w:color="auto" w:fill="CBDBD1"/>
          </w:tcPr>
          <w:p>
            <w:pPr>
              <w:spacing w:after="0"/>
              <w:rPr>
                <w:sz w:val="18"/>
                <w:szCs w:val="18"/>
                <w:color w:val="auto"/>
              </w:rPr>
            </w:pPr>
          </w:p>
        </w:tc>
        <w:tc>
          <w:tcPr>
            <w:tcW w:w="88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300" w:type="dxa"/>
            <w:vAlign w:val="bottom"/>
            <w:shd w:val="clear" w:color="auto" w:fill="CBDBD1"/>
          </w:tcPr>
          <w:p>
            <w:pPr>
              <w:spacing w:after="0"/>
              <w:rPr>
                <w:sz w:val="18"/>
                <w:szCs w:val="18"/>
                <w:color w:val="auto"/>
              </w:rPr>
            </w:pPr>
          </w:p>
        </w:tc>
        <w:tc>
          <w:tcPr>
            <w:tcW w:w="740" w:type="dxa"/>
            <w:vAlign w:val="bottom"/>
            <w:shd w:val="clear" w:color="auto" w:fill="CBDBD1"/>
          </w:tcPr>
          <w:p>
            <w:pPr>
              <w:spacing w:after="0"/>
              <w:rPr>
                <w:sz w:val="18"/>
                <w:szCs w:val="18"/>
                <w:color w:val="auto"/>
              </w:rPr>
            </w:pPr>
          </w:p>
        </w:tc>
        <w:tc>
          <w:tcPr>
            <w:tcW w:w="180" w:type="dxa"/>
            <w:vAlign w:val="bottom"/>
            <w:tcBorders>
              <w:right w:val="single" w:sz="8" w:color="CBDBD1"/>
            </w:tcBorders>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90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80"/>
              <w:spacing w:after="0"/>
              <w:rPr>
                <w:sz w:val="20"/>
                <w:szCs w:val="20"/>
                <w:color w:val="auto"/>
              </w:rPr>
            </w:pPr>
            <w:r>
              <w:rPr>
                <w:rFonts w:ascii="Arial" w:cs="Arial" w:eastAsia="Arial" w:hAnsi="Arial"/>
                <w:sz w:val="18"/>
                <w:szCs w:val="18"/>
                <w:color w:val="auto"/>
              </w:rPr>
              <w:t>net cash (used) by operating activities:</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BDBD1"/>
          </w:tcPr>
          <w:p>
            <w:pPr>
              <w:ind w:left="260"/>
              <w:spacing w:after="0"/>
              <w:rPr>
                <w:sz w:val="20"/>
                <w:szCs w:val="20"/>
                <w:color w:val="auto"/>
              </w:rPr>
            </w:pPr>
            <w:r>
              <w:rPr>
                <w:rFonts w:ascii="Arial" w:cs="Arial" w:eastAsia="Arial" w:hAnsi="Arial"/>
                <w:sz w:val="18"/>
                <w:szCs w:val="18"/>
                <w:color w:val="auto"/>
              </w:rPr>
              <w:t>Shares issued for executive compensation</w:t>
            </w:r>
          </w:p>
        </w:tc>
        <w:tc>
          <w:tcPr>
            <w:tcW w:w="1380" w:type="dxa"/>
            <w:vAlign w:val="bottom"/>
            <w:shd w:val="clear" w:color="auto" w:fill="CBDBD1"/>
          </w:tcPr>
          <w:p>
            <w:pPr>
              <w:spacing w:after="0"/>
              <w:rPr>
                <w:sz w:val="18"/>
                <w:szCs w:val="18"/>
                <w:color w:val="auto"/>
              </w:rPr>
            </w:pPr>
          </w:p>
        </w:tc>
        <w:tc>
          <w:tcPr>
            <w:tcW w:w="160" w:type="dxa"/>
            <w:vAlign w:val="bottom"/>
            <w:shd w:val="clear" w:color="auto" w:fill="CBDBD1"/>
          </w:tcPr>
          <w:p>
            <w:pPr>
              <w:spacing w:after="0"/>
              <w:rPr>
                <w:sz w:val="18"/>
                <w:szCs w:val="18"/>
                <w:color w:val="auto"/>
              </w:rPr>
            </w:pPr>
          </w:p>
        </w:tc>
        <w:tc>
          <w:tcPr>
            <w:tcW w:w="8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300" w:type="dxa"/>
            <w:vAlign w:val="bottom"/>
            <w:shd w:val="clear" w:color="auto" w:fill="CBDBD1"/>
          </w:tcPr>
          <w:p>
            <w:pPr>
              <w:spacing w:after="0"/>
              <w:rPr>
                <w:sz w:val="18"/>
                <w:szCs w:val="18"/>
                <w:color w:val="auto"/>
              </w:rPr>
            </w:pPr>
          </w:p>
        </w:tc>
        <w:tc>
          <w:tcPr>
            <w:tcW w:w="7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BDBD1"/>
            </w:tcBorders>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9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60"/>
              <w:spacing w:after="0"/>
              <w:rPr>
                <w:sz w:val="20"/>
                <w:szCs w:val="20"/>
                <w:color w:val="auto"/>
              </w:rPr>
            </w:pPr>
            <w:r>
              <w:rPr>
                <w:rFonts w:ascii="Arial" w:cs="Arial" w:eastAsia="Arial" w:hAnsi="Arial"/>
                <w:sz w:val="18"/>
                <w:szCs w:val="18"/>
                <w:color w:val="auto"/>
              </w:rPr>
              <w:t>Depreciation</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BDBD1"/>
          </w:tcPr>
          <w:p>
            <w:pPr>
              <w:spacing w:after="0"/>
              <w:rPr>
                <w:sz w:val="20"/>
                <w:szCs w:val="20"/>
                <w:color w:val="auto"/>
              </w:rPr>
            </w:pPr>
            <w:r>
              <w:rPr>
                <w:rFonts w:ascii="Arial" w:cs="Arial" w:eastAsia="Arial" w:hAnsi="Arial"/>
                <w:sz w:val="18"/>
                <w:szCs w:val="18"/>
                <w:color w:val="auto"/>
              </w:rPr>
              <w:t>Changes in operating assets and liabilities:</w:t>
            </w:r>
          </w:p>
        </w:tc>
        <w:tc>
          <w:tcPr>
            <w:tcW w:w="1380" w:type="dxa"/>
            <w:vAlign w:val="bottom"/>
            <w:shd w:val="clear" w:color="auto" w:fill="CBDBD1"/>
          </w:tcPr>
          <w:p>
            <w:pPr>
              <w:spacing w:after="0"/>
              <w:rPr>
                <w:sz w:val="18"/>
                <w:szCs w:val="18"/>
                <w:color w:val="auto"/>
              </w:rPr>
            </w:pPr>
          </w:p>
        </w:tc>
        <w:tc>
          <w:tcPr>
            <w:tcW w:w="160" w:type="dxa"/>
            <w:vAlign w:val="bottom"/>
            <w:shd w:val="clear" w:color="auto" w:fill="CBDBD1"/>
          </w:tcPr>
          <w:p>
            <w:pPr>
              <w:spacing w:after="0"/>
              <w:rPr>
                <w:sz w:val="18"/>
                <w:szCs w:val="18"/>
                <w:color w:val="auto"/>
              </w:rPr>
            </w:pPr>
          </w:p>
        </w:tc>
        <w:tc>
          <w:tcPr>
            <w:tcW w:w="88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300" w:type="dxa"/>
            <w:vAlign w:val="bottom"/>
            <w:shd w:val="clear" w:color="auto" w:fill="CBDBD1"/>
          </w:tcPr>
          <w:p>
            <w:pPr>
              <w:spacing w:after="0"/>
              <w:rPr>
                <w:sz w:val="18"/>
                <w:szCs w:val="18"/>
                <w:color w:val="auto"/>
              </w:rPr>
            </w:pPr>
          </w:p>
        </w:tc>
        <w:tc>
          <w:tcPr>
            <w:tcW w:w="740" w:type="dxa"/>
            <w:vAlign w:val="bottom"/>
            <w:shd w:val="clear" w:color="auto" w:fill="CBDBD1"/>
          </w:tcPr>
          <w:p>
            <w:pPr>
              <w:spacing w:after="0"/>
              <w:rPr>
                <w:sz w:val="18"/>
                <w:szCs w:val="18"/>
                <w:color w:val="auto"/>
              </w:rPr>
            </w:pPr>
          </w:p>
        </w:tc>
        <w:tc>
          <w:tcPr>
            <w:tcW w:w="180" w:type="dxa"/>
            <w:vAlign w:val="bottom"/>
            <w:tcBorders>
              <w:right w:val="single" w:sz="8" w:color="CBDBD1"/>
            </w:tcBorders>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90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60"/>
              <w:spacing w:after="0"/>
              <w:rPr>
                <w:sz w:val="20"/>
                <w:szCs w:val="20"/>
                <w:color w:val="auto"/>
              </w:rPr>
            </w:pPr>
            <w:r>
              <w:rPr>
                <w:rFonts w:ascii="Arial" w:cs="Arial" w:eastAsia="Arial" w:hAnsi="Arial"/>
                <w:sz w:val="18"/>
                <w:szCs w:val="18"/>
                <w:color w:val="auto"/>
              </w:rPr>
              <w:t>(Decrease) increase in accounts payable</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(1,186)</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300" w:type="dxa"/>
            <w:vAlign w:val="bottom"/>
            <w:shd w:val="clear" w:color="auto" w:fill="CBDBD1"/>
          </w:tcPr>
          <w:p>
            <w:pPr>
              <w:spacing w:after="0"/>
              <w:rPr>
                <w:sz w:val="20"/>
                <w:szCs w:val="20"/>
                <w:color w:val="auto"/>
              </w:rPr>
            </w:pPr>
            <w:r>
              <w:rPr>
                <w:rFonts w:ascii="Arial" w:cs="Arial" w:eastAsia="Arial" w:hAnsi="Arial"/>
                <w:sz w:val="18"/>
                <w:szCs w:val="18"/>
                <w:color w:val="auto"/>
              </w:rPr>
              <w:t>Net cash (used) by operating activities</w:t>
            </w:r>
          </w:p>
        </w:tc>
        <w:tc>
          <w:tcPr>
            <w:tcW w:w="1380" w:type="dxa"/>
            <w:vAlign w:val="bottom"/>
            <w:shd w:val="clear" w:color="auto" w:fill="CBDBD1"/>
          </w:tcPr>
          <w:p>
            <w:pPr>
              <w:spacing w:after="0"/>
              <w:rPr>
                <w:sz w:val="19"/>
                <w:szCs w:val="19"/>
                <w:color w:val="auto"/>
              </w:rPr>
            </w:pPr>
          </w:p>
        </w:tc>
        <w:tc>
          <w:tcPr>
            <w:tcW w:w="160" w:type="dxa"/>
            <w:vAlign w:val="bottom"/>
            <w:shd w:val="clear" w:color="auto" w:fill="CBDBD1"/>
          </w:tcPr>
          <w:p>
            <w:pPr>
              <w:spacing w:after="0"/>
              <w:rPr>
                <w:sz w:val="19"/>
                <w:szCs w:val="19"/>
                <w:color w:val="auto"/>
              </w:rPr>
            </w:pPr>
          </w:p>
        </w:tc>
        <w:tc>
          <w:tcPr>
            <w:tcW w:w="100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(4,697)</w:t>
            </w:r>
          </w:p>
        </w:tc>
        <w:tc>
          <w:tcPr>
            <w:tcW w:w="80" w:type="dxa"/>
            <w:vAlign w:val="bottom"/>
            <w:shd w:val="clear" w:color="auto" w:fill="CBDBD1"/>
          </w:tcPr>
          <w:p>
            <w:pPr>
              <w:spacing w:after="0"/>
              <w:rPr>
                <w:sz w:val="19"/>
                <w:szCs w:val="19"/>
                <w:color w:val="auto"/>
              </w:rPr>
            </w:pPr>
          </w:p>
        </w:tc>
        <w:tc>
          <w:tcPr>
            <w:tcW w:w="300" w:type="dxa"/>
            <w:vAlign w:val="bottom"/>
            <w:shd w:val="clear" w:color="auto" w:fill="CBDBD1"/>
          </w:tcPr>
          <w:p>
            <w:pPr>
              <w:spacing w:after="0"/>
              <w:rPr>
                <w:sz w:val="19"/>
                <w:szCs w:val="19"/>
                <w:color w:val="auto"/>
              </w:rPr>
            </w:pPr>
          </w:p>
        </w:tc>
        <w:tc>
          <w:tcPr>
            <w:tcW w:w="920" w:type="dxa"/>
            <w:vAlign w:val="bottom"/>
            <w:tcBorders>
              <w:right w:val="single" w:sz="8" w:color="CBDBD1"/>
            </w:tcBorders>
            <w:gridSpan w:val="2"/>
            <w:shd w:val="clear" w:color="auto" w:fill="CBDBD1"/>
          </w:tcPr>
          <w:p>
            <w:pPr>
              <w:jc w:val="right"/>
              <w:ind w:right="140"/>
              <w:spacing w:after="0"/>
              <w:rPr>
                <w:sz w:val="20"/>
                <w:szCs w:val="20"/>
                <w:color w:val="auto"/>
              </w:rPr>
            </w:pPr>
            <w:r>
              <w:rPr>
                <w:rFonts w:ascii="Arial" w:cs="Arial" w:eastAsia="Arial" w:hAnsi="Arial"/>
                <w:sz w:val="18"/>
                <w:szCs w:val="18"/>
                <w:color w:val="auto"/>
              </w:rPr>
              <w:t>(20,270)</w:t>
            </w:r>
          </w:p>
        </w:tc>
        <w:tc>
          <w:tcPr>
            <w:tcW w:w="120" w:type="dxa"/>
            <w:vAlign w:val="bottom"/>
            <w:shd w:val="clear" w:color="auto" w:fill="CBDBD1"/>
          </w:tcPr>
          <w:p>
            <w:pPr>
              <w:spacing w:after="0"/>
              <w:rPr>
                <w:sz w:val="19"/>
                <w:szCs w:val="19"/>
                <w:color w:val="auto"/>
              </w:rPr>
            </w:pPr>
          </w:p>
        </w:tc>
        <w:tc>
          <w:tcPr>
            <w:tcW w:w="1000" w:type="dxa"/>
            <w:vAlign w:val="bottom"/>
            <w:gridSpan w:val="2"/>
            <w:shd w:val="clear" w:color="auto" w:fill="CBDBD1"/>
          </w:tcPr>
          <w:p>
            <w:pPr>
              <w:jc w:val="right"/>
              <w:ind w:right="40"/>
              <w:spacing w:after="0"/>
              <w:rPr>
                <w:sz w:val="20"/>
                <w:szCs w:val="20"/>
                <w:color w:val="auto"/>
              </w:rPr>
            </w:pPr>
            <w:r>
              <w:rPr>
                <w:rFonts w:ascii="Arial" w:cs="Arial" w:eastAsia="Arial" w:hAnsi="Arial"/>
                <w:sz w:val="18"/>
                <w:szCs w:val="18"/>
                <w:color w:val="auto"/>
              </w:rPr>
              <w:t>(46,892)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tcBorders>
              <w:top w:val="single" w:sz="8" w:color="CBDBD1"/>
            </w:tcBorders>
          </w:tcPr>
          <w:p>
            <w:pPr>
              <w:spacing w:after="0"/>
              <w:rPr>
                <w:sz w:val="18"/>
                <w:szCs w:val="18"/>
                <w:color w:val="auto"/>
              </w:rPr>
            </w:pPr>
          </w:p>
        </w:tc>
        <w:tc>
          <w:tcPr>
            <w:tcW w:w="1380" w:type="dxa"/>
            <w:vAlign w:val="bottom"/>
            <w:tcBorders>
              <w:top w:val="single" w:sz="8" w:color="CBDBD1"/>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BDBD1"/>
            </w:tcBorders>
          </w:tcPr>
          <w:p>
            <w:pPr>
              <w:spacing w:after="0"/>
              <w:rPr>
                <w:sz w:val="18"/>
                <w:szCs w:val="18"/>
                <w:color w:val="auto"/>
              </w:rPr>
            </w:pPr>
          </w:p>
        </w:tc>
        <w:tc>
          <w:tcPr>
            <w:tcW w:w="80" w:type="dxa"/>
            <w:vAlign w:val="bottom"/>
            <w:tcBorders>
              <w:top w:val="single" w:sz="8" w:color="CBDBD1"/>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Borders>
              <w:top w:val="single" w:sz="8" w:color="CBDBD1"/>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BDBD1"/>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BDBD1"/>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380" w:type="dxa"/>
            <w:vAlign w:val="bottom"/>
            <w:shd w:val="clear" w:color="auto" w:fill="CBDBD1"/>
          </w:tcPr>
          <w:p>
            <w:pPr>
              <w:spacing w:after="0"/>
              <w:rPr>
                <w:sz w:val="18"/>
                <w:szCs w:val="18"/>
                <w:color w:val="auto"/>
              </w:rPr>
            </w:pPr>
          </w:p>
        </w:tc>
        <w:tc>
          <w:tcPr>
            <w:tcW w:w="160" w:type="dxa"/>
            <w:vAlign w:val="bottom"/>
            <w:shd w:val="clear" w:color="auto" w:fill="CBDBD1"/>
          </w:tcPr>
          <w:p>
            <w:pPr>
              <w:spacing w:after="0"/>
              <w:rPr>
                <w:sz w:val="18"/>
                <w:szCs w:val="18"/>
                <w:color w:val="auto"/>
              </w:rPr>
            </w:pPr>
          </w:p>
        </w:tc>
        <w:tc>
          <w:tcPr>
            <w:tcW w:w="88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300" w:type="dxa"/>
            <w:vAlign w:val="bottom"/>
            <w:shd w:val="clear" w:color="auto" w:fill="CBDBD1"/>
          </w:tcPr>
          <w:p>
            <w:pPr>
              <w:spacing w:after="0"/>
              <w:rPr>
                <w:sz w:val="18"/>
                <w:szCs w:val="18"/>
                <w:color w:val="auto"/>
              </w:rPr>
            </w:pPr>
          </w:p>
        </w:tc>
        <w:tc>
          <w:tcPr>
            <w:tcW w:w="740" w:type="dxa"/>
            <w:vAlign w:val="bottom"/>
            <w:shd w:val="clear" w:color="auto" w:fill="CBDBD1"/>
          </w:tcPr>
          <w:p>
            <w:pPr>
              <w:spacing w:after="0"/>
              <w:rPr>
                <w:sz w:val="18"/>
                <w:szCs w:val="18"/>
                <w:color w:val="auto"/>
              </w:rPr>
            </w:pPr>
          </w:p>
        </w:tc>
        <w:tc>
          <w:tcPr>
            <w:tcW w:w="180" w:type="dxa"/>
            <w:vAlign w:val="bottom"/>
            <w:tcBorders>
              <w:right w:val="single" w:sz="8" w:color="CBDBD1"/>
            </w:tcBorders>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90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Purchase of fixed assets</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300" w:type="dxa"/>
            <w:vAlign w:val="bottom"/>
            <w:shd w:val="clear" w:color="auto" w:fill="CBDBD1"/>
          </w:tcPr>
          <w:p>
            <w:pPr>
              <w:spacing w:after="0"/>
              <w:rPr>
                <w:sz w:val="20"/>
                <w:szCs w:val="20"/>
                <w:color w:val="auto"/>
              </w:rPr>
            </w:pPr>
            <w:r>
              <w:rPr>
                <w:rFonts w:ascii="Arial" w:cs="Arial" w:eastAsia="Arial" w:hAnsi="Arial"/>
                <w:sz w:val="18"/>
                <w:szCs w:val="18"/>
                <w:color w:val="auto"/>
              </w:rPr>
              <w:t>Net cash (used) by investing activities</w:t>
            </w:r>
          </w:p>
        </w:tc>
        <w:tc>
          <w:tcPr>
            <w:tcW w:w="1380" w:type="dxa"/>
            <w:vAlign w:val="bottom"/>
            <w:shd w:val="clear" w:color="auto" w:fill="CBDBD1"/>
          </w:tcPr>
          <w:p>
            <w:pPr>
              <w:spacing w:after="0"/>
              <w:rPr>
                <w:sz w:val="19"/>
                <w:szCs w:val="19"/>
                <w:color w:val="auto"/>
              </w:rPr>
            </w:pPr>
          </w:p>
        </w:tc>
        <w:tc>
          <w:tcPr>
            <w:tcW w:w="160" w:type="dxa"/>
            <w:vAlign w:val="bottom"/>
            <w:shd w:val="clear" w:color="auto" w:fill="CBDBD1"/>
          </w:tcPr>
          <w:p>
            <w:pPr>
              <w:spacing w:after="0"/>
              <w:rPr>
                <w:sz w:val="19"/>
                <w:szCs w:val="19"/>
                <w:color w:val="auto"/>
              </w:rPr>
            </w:pPr>
          </w:p>
        </w:tc>
        <w:tc>
          <w:tcPr>
            <w:tcW w:w="8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BDBD1"/>
          </w:tcPr>
          <w:p>
            <w:pPr>
              <w:spacing w:after="0"/>
              <w:rPr>
                <w:sz w:val="19"/>
                <w:szCs w:val="19"/>
                <w:color w:val="auto"/>
              </w:rPr>
            </w:pPr>
          </w:p>
        </w:tc>
        <w:tc>
          <w:tcPr>
            <w:tcW w:w="80" w:type="dxa"/>
            <w:vAlign w:val="bottom"/>
            <w:shd w:val="clear" w:color="auto" w:fill="CBDBD1"/>
          </w:tcPr>
          <w:p>
            <w:pPr>
              <w:spacing w:after="0"/>
              <w:rPr>
                <w:sz w:val="19"/>
                <w:szCs w:val="19"/>
                <w:color w:val="auto"/>
              </w:rPr>
            </w:pPr>
          </w:p>
        </w:tc>
        <w:tc>
          <w:tcPr>
            <w:tcW w:w="300" w:type="dxa"/>
            <w:vAlign w:val="bottom"/>
            <w:shd w:val="clear" w:color="auto" w:fill="CBDBD1"/>
          </w:tcPr>
          <w:p>
            <w:pPr>
              <w:spacing w:after="0"/>
              <w:rPr>
                <w:sz w:val="19"/>
                <w:szCs w:val="19"/>
                <w:color w:val="auto"/>
              </w:rPr>
            </w:pPr>
          </w:p>
        </w:tc>
        <w:tc>
          <w:tcPr>
            <w:tcW w:w="7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BDBD1"/>
            </w:tcBorders>
            <w:shd w:val="clear" w:color="auto" w:fill="CBDBD1"/>
          </w:tcPr>
          <w:p>
            <w:pPr>
              <w:spacing w:after="0"/>
              <w:rPr>
                <w:sz w:val="19"/>
                <w:szCs w:val="19"/>
                <w:color w:val="auto"/>
              </w:rPr>
            </w:pPr>
          </w:p>
        </w:tc>
        <w:tc>
          <w:tcPr>
            <w:tcW w:w="120" w:type="dxa"/>
            <w:vAlign w:val="bottom"/>
            <w:shd w:val="clear" w:color="auto" w:fill="CBDBD1"/>
          </w:tcPr>
          <w:p>
            <w:pPr>
              <w:spacing w:after="0"/>
              <w:rPr>
                <w:sz w:val="19"/>
                <w:szCs w:val="19"/>
                <w:color w:val="auto"/>
              </w:rPr>
            </w:pPr>
          </w:p>
        </w:tc>
        <w:tc>
          <w:tcPr>
            <w:tcW w:w="1000" w:type="dxa"/>
            <w:vAlign w:val="bottom"/>
            <w:gridSpan w:val="2"/>
            <w:shd w:val="clear" w:color="auto" w:fill="CBDBD1"/>
          </w:tcPr>
          <w:p>
            <w:pPr>
              <w:jc w:val="right"/>
              <w:ind w:right="40"/>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tcBorders>
              <w:top w:val="single" w:sz="8" w:color="CBDBD1"/>
            </w:tcBorders>
          </w:tcPr>
          <w:p>
            <w:pPr>
              <w:spacing w:after="0"/>
              <w:rPr>
                <w:sz w:val="18"/>
                <w:szCs w:val="18"/>
                <w:color w:val="auto"/>
              </w:rPr>
            </w:pPr>
          </w:p>
        </w:tc>
        <w:tc>
          <w:tcPr>
            <w:tcW w:w="1380" w:type="dxa"/>
            <w:vAlign w:val="bottom"/>
            <w:tcBorders>
              <w:top w:val="single" w:sz="8" w:color="CBDBD1"/>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BDBD1"/>
            </w:tcBorders>
          </w:tcPr>
          <w:p>
            <w:pPr>
              <w:spacing w:after="0"/>
              <w:rPr>
                <w:sz w:val="18"/>
                <w:szCs w:val="18"/>
                <w:color w:val="auto"/>
              </w:rPr>
            </w:pPr>
          </w:p>
        </w:tc>
        <w:tc>
          <w:tcPr>
            <w:tcW w:w="80" w:type="dxa"/>
            <w:vAlign w:val="bottom"/>
            <w:tcBorders>
              <w:top w:val="single" w:sz="8" w:color="CBDBD1"/>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Borders>
              <w:top w:val="single" w:sz="8" w:color="CBDBD1"/>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BDBD1"/>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BDBD1"/>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380" w:type="dxa"/>
            <w:vAlign w:val="bottom"/>
            <w:shd w:val="clear" w:color="auto" w:fill="CBDBD1"/>
          </w:tcPr>
          <w:p>
            <w:pPr>
              <w:spacing w:after="0"/>
              <w:rPr>
                <w:sz w:val="18"/>
                <w:szCs w:val="18"/>
                <w:color w:val="auto"/>
              </w:rPr>
            </w:pPr>
          </w:p>
        </w:tc>
        <w:tc>
          <w:tcPr>
            <w:tcW w:w="160" w:type="dxa"/>
            <w:vAlign w:val="bottom"/>
            <w:shd w:val="clear" w:color="auto" w:fill="CBDBD1"/>
          </w:tcPr>
          <w:p>
            <w:pPr>
              <w:spacing w:after="0"/>
              <w:rPr>
                <w:sz w:val="18"/>
                <w:szCs w:val="18"/>
                <w:color w:val="auto"/>
              </w:rPr>
            </w:pPr>
          </w:p>
        </w:tc>
        <w:tc>
          <w:tcPr>
            <w:tcW w:w="88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300" w:type="dxa"/>
            <w:vAlign w:val="bottom"/>
            <w:shd w:val="clear" w:color="auto" w:fill="CBDBD1"/>
          </w:tcPr>
          <w:p>
            <w:pPr>
              <w:spacing w:after="0"/>
              <w:rPr>
                <w:sz w:val="18"/>
                <w:szCs w:val="18"/>
                <w:color w:val="auto"/>
              </w:rPr>
            </w:pPr>
          </w:p>
        </w:tc>
        <w:tc>
          <w:tcPr>
            <w:tcW w:w="740" w:type="dxa"/>
            <w:vAlign w:val="bottom"/>
            <w:shd w:val="clear" w:color="auto" w:fill="CBDBD1"/>
          </w:tcPr>
          <w:p>
            <w:pPr>
              <w:spacing w:after="0"/>
              <w:rPr>
                <w:sz w:val="18"/>
                <w:szCs w:val="18"/>
                <w:color w:val="auto"/>
              </w:rPr>
            </w:pPr>
          </w:p>
        </w:tc>
        <w:tc>
          <w:tcPr>
            <w:tcW w:w="180" w:type="dxa"/>
            <w:vAlign w:val="bottom"/>
            <w:tcBorders>
              <w:right w:val="single" w:sz="8" w:color="CBDBD1"/>
            </w:tcBorders>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90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Proceeds from note payable</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BDBD1"/>
          </w:tcPr>
          <w:p>
            <w:pPr>
              <w:ind w:left="120"/>
              <w:spacing w:after="0"/>
              <w:rPr>
                <w:sz w:val="20"/>
                <w:szCs w:val="20"/>
                <w:color w:val="auto"/>
              </w:rPr>
            </w:pPr>
            <w:r>
              <w:rPr>
                <w:rFonts w:ascii="Arial" w:cs="Arial" w:eastAsia="Arial" w:hAnsi="Arial"/>
                <w:sz w:val="18"/>
                <w:szCs w:val="18"/>
                <w:color w:val="auto"/>
              </w:rPr>
              <w:t>Proceeds from note payable – related party</w:t>
            </w:r>
          </w:p>
        </w:tc>
        <w:tc>
          <w:tcPr>
            <w:tcW w:w="1380" w:type="dxa"/>
            <w:vAlign w:val="bottom"/>
            <w:shd w:val="clear" w:color="auto" w:fill="CBDBD1"/>
          </w:tcPr>
          <w:p>
            <w:pPr>
              <w:spacing w:after="0"/>
              <w:rPr>
                <w:sz w:val="18"/>
                <w:szCs w:val="18"/>
                <w:color w:val="auto"/>
              </w:rPr>
            </w:pPr>
          </w:p>
        </w:tc>
        <w:tc>
          <w:tcPr>
            <w:tcW w:w="160" w:type="dxa"/>
            <w:vAlign w:val="bottom"/>
            <w:shd w:val="clear" w:color="auto" w:fill="CBDBD1"/>
          </w:tcPr>
          <w:p>
            <w:pPr>
              <w:spacing w:after="0"/>
              <w:rPr>
                <w:sz w:val="18"/>
                <w:szCs w:val="18"/>
                <w:color w:val="auto"/>
              </w:rPr>
            </w:pPr>
          </w:p>
        </w:tc>
        <w:tc>
          <w:tcPr>
            <w:tcW w:w="8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300" w:type="dxa"/>
            <w:vAlign w:val="bottom"/>
            <w:shd w:val="clear" w:color="auto" w:fill="CBDBD1"/>
          </w:tcPr>
          <w:p>
            <w:pPr>
              <w:spacing w:after="0"/>
              <w:rPr>
                <w:sz w:val="18"/>
                <w:szCs w:val="18"/>
                <w:color w:val="auto"/>
              </w:rPr>
            </w:pPr>
          </w:p>
        </w:tc>
        <w:tc>
          <w:tcPr>
            <w:tcW w:w="7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BDBD1"/>
            </w:tcBorders>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9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Donated capital</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Borders>
              <w:bottom w:val="single" w:sz="8" w:color="CBDBD1"/>
            </w:tcBorders>
            <w:shd w:val="clear" w:color="auto" w:fill="CBDBD1"/>
          </w:tcPr>
          <w:p>
            <w:pPr>
              <w:ind w:left="120"/>
              <w:spacing w:after="0"/>
              <w:rPr>
                <w:sz w:val="20"/>
                <w:szCs w:val="20"/>
                <w:color w:val="auto"/>
              </w:rPr>
            </w:pPr>
            <w:r>
              <w:rPr>
                <w:rFonts w:ascii="Arial" w:cs="Arial" w:eastAsia="Arial" w:hAnsi="Arial"/>
                <w:sz w:val="18"/>
                <w:szCs w:val="18"/>
                <w:color w:val="auto"/>
              </w:rPr>
              <w:t>Issuances of common stock</w:t>
            </w:r>
          </w:p>
        </w:tc>
        <w:tc>
          <w:tcPr>
            <w:tcW w:w="1380" w:type="dxa"/>
            <w:vAlign w:val="bottom"/>
            <w:tcBorders>
              <w:bottom w:val="single" w:sz="8" w:color="CBDBD1"/>
            </w:tcBorders>
            <w:shd w:val="clear" w:color="auto" w:fill="CBDBD1"/>
          </w:tcPr>
          <w:p>
            <w:pPr>
              <w:spacing w:after="0"/>
              <w:rPr>
                <w:sz w:val="19"/>
                <w:szCs w:val="19"/>
                <w:color w:val="auto"/>
              </w:rPr>
            </w:pPr>
          </w:p>
        </w:tc>
        <w:tc>
          <w:tcPr>
            <w:tcW w:w="160" w:type="dxa"/>
            <w:vAlign w:val="bottom"/>
            <w:tcBorders>
              <w:bottom w:val="single" w:sz="8" w:color="auto"/>
            </w:tcBorders>
            <w:shd w:val="clear" w:color="auto" w:fill="CBDBD1"/>
          </w:tcPr>
          <w:p>
            <w:pPr>
              <w:spacing w:after="0"/>
              <w:rPr>
                <w:sz w:val="19"/>
                <w:szCs w:val="19"/>
                <w:color w:val="auto"/>
              </w:rPr>
            </w:pPr>
          </w:p>
        </w:tc>
        <w:tc>
          <w:tcPr>
            <w:tcW w:w="88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BDBD1"/>
            </w:tcBorders>
            <w:shd w:val="clear" w:color="auto" w:fill="CBDBD1"/>
          </w:tcPr>
          <w:p>
            <w:pPr>
              <w:spacing w:after="0"/>
              <w:rPr>
                <w:sz w:val="19"/>
                <w:szCs w:val="19"/>
                <w:color w:val="auto"/>
              </w:rPr>
            </w:pPr>
          </w:p>
        </w:tc>
        <w:tc>
          <w:tcPr>
            <w:tcW w:w="80" w:type="dxa"/>
            <w:vAlign w:val="bottom"/>
            <w:tcBorders>
              <w:bottom w:val="single" w:sz="8" w:color="CBDBD1"/>
            </w:tcBorders>
            <w:shd w:val="clear" w:color="auto" w:fill="CBDBD1"/>
          </w:tcPr>
          <w:p>
            <w:pPr>
              <w:spacing w:after="0"/>
              <w:rPr>
                <w:sz w:val="19"/>
                <w:szCs w:val="19"/>
                <w:color w:val="auto"/>
              </w:rPr>
            </w:pPr>
          </w:p>
        </w:tc>
        <w:tc>
          <w:tcPr>
            <w:tcW w:w="300" w:type="dxa"/>
            <w:vAlign w:val="bottom"/>
            <w:tcBorders>
              <w:bottom w:val="single" w:sz="8" w:color="auto"/>
            </w:tcBorders>
            <w:shd w:val="clear" w:color="auto" w:fill="CBDBD1"/>
          </w:tcPr>
          <w:p>
            <w:pPr>
              <w:spacing w:after="0"/>
              <w:rPr>
                <w:sz w:val="19"/>
                <w:szCs w:val="19"/>
                <w:color w:val="auto"/>
              </w:rPr>
            </w:pPr>
          </w:p>
        </w:tc>
        <w:tc>
          <w:tcPr>
            <w:tcW w:w="74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BDBD1"/>
              <w:right w:val="single" w:sz="8" w:color="CBDBD1"/>
            </w:tcBorders>
            <w:shd w:val="clear" w:color="auto" w:fill="CBDBD1"/>
          </w:tcPr>
          <w:p>
            <w:pPr>
              <w:spacing w:after="0"/>
              <w:rPr>
                <w:sz w:val="19"/>
                <w:szCs w:val="19"/>
                <w:color w:val="auto"/>
              </w:rPr>
            </w:pPr>
          </w:p>
        </w:tc>
        <w:tc>
          <w:tcPr>
            <w:tcW w:w="120" w:type="dxa"/>
            <w:vAlign w:val="bottom"/>
            <w:tcBorders>
              <w:bottom w:val="single" w:sz="8" w:color="auto"/>
            </w:tcBorders>
            <w:shd w:val="clear" w:color="auto" w:fill="CBDBD1"/>
          </w:tcPr>
          <w:p>
            <w:pPr>
              <w:spacing w:after="0"/>
              <w:rPr>
                <w:sz w:val="19"/>
                <w:szCs w:val="19"/>
                <w:color w:val="auto"/>
              </w:rPr>
            </w:pPr>
          </w:p>
        </w:tc>
        <w:tc>
          <w:tcPr>
            <w:tcW w:w="90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41,935</w:t>
            </w:r>
          </w:p>
        </w:tc>
        <w:tc>
          <w:tcPr>
            <w:tcW w:w="100" w:type="dxa"/>
            <w:vAlign w:val="bottom"/>
            <w:tcBorders>
              <w:bottom w:val="single" w:sz="8" w:color="CBDBD1"/>
            </w:tcBorders>
            <w:shd w:val="clear" w:color="auto" w:fill="CBDBD1"/>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1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shd w:val="clear" w:color="auto" w:fill="CBDBD1"/>
          </w:tcPr>
          <w:p>
            <w:pPr>
              <w:spacing w:after="0"/>
              <w:rPr>
                <w:sz w:val="18"/>
                <w:szCs w:val="18"/>
                <w:color w:val="auto"/>
              </w:rPr>
            </w:pPr>
          </w:p>
        </w:tc>
        <w:tc>
          <w:tcPr>
            <w:tcW w:w="1380" w:type="dxa"/>
            <w:vAlign w:val="bottom"/>
            <w:shd w:val="clear" w:color="auto" w:fill="CBDBD1"/>
          </w:tcPr>
          <w:p>
            <w:pPr>
              <w:spacing w:after="0"/>
              <w:rPr>
                <w:sz w:val="18"/>
                <w:szCs w:val="18"/>
                <w:color w:val="auto"/>
              </w:rPr>
            </w:pPr>
          </w:p>
        </w:tc>
        <w:tc>
          <w:tcPr>
            <w:tcW w:w="160" w:type="dxa"/>
            <w:vAlign w:val="bottom"/>
            <w:shd w:val="clear" w:color="auto" w:fill="CBDBD1"/>
          </w:tcPr>
          <w:p>
            <w:pPr>
              <w:spacing w:after="0"/>
              <w:rPr>
                <w:sz w:val="18"/>
                <w:szCs w:val="18"/>
                <w:color w:val="auto"/>
              </w:rPr>
            </w:pPr>
          </w:p>
        </w:tc>
        <w:tc>
          <w:tcPr>
            <w:tcW w:w="88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300" w:type="dxa"/>
            <w:vAlign w:val="bottom"/>
            <w:shd w:val="clear" w:color="auto" w:fill="CBDBD1"/>
          </w:tcPr>
          <w:p>
            <w:pPr>
              <w:spacing w:after="0"/>
              <w:rPr>
                <w:sz w:val="18"/>
                <w:szCs w:val="18"/>
                <w:color w:val="auto"/>
              </w:rPr>
            </w:pPr>
          </w:p>
        </w:tc>
        <w:tc>
          <w:tcPr>
            <w:tcW w:w="740" w:type="dxa"/>
            <w:vAlign w:val="bottom"/>
            <w:shd w:val="clear" w:color="auto" w:fill="CBDBD1"/>
          </w:tcPr>
          <w:p>
            <w:pPr>
              <w:spacing w:after="0"/>
              <w:rPr>
                <w:sz w:val="18"/>
                <w:szCs w:val="18"/>
                <w:color w:val="auto"/>
              </w:rPr>
            </w:pPr>
          </w:p>
        </w:tc>
        <w:tc>
          <w:tcPr>
            <w:tcW w:w="180" w:type="dxa"/>
            <w:vAlign w:val="bottom"/>
            <w:tcBorders>
              <w:right w:val="single" w:sz="8" w:color="CBDBD1"/>
            </w:tcBorders>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90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Net increase (decrease) in cash</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1,333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(20,270)</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Borders>
              <w:bottom w:val="single" w:sz="8" w:color="CBDBD1"/>
            </w:tcBorders>
            <w:shd w:val="clear" w:color="auto" w:fill="CBDBD1"/>
          </w:tcPr>
          <w:p>
            <w:pPr>
              <w:spacing w:after="0"/>
              <w:rPr>
                <w:sz w:val="20"/>
                <w:szCs w:val="20"/>
                <w:color w:val="auto"/>
              </w:rPr>
            </w:pPr>
            <w:r>
              <w:rPr>
                <w:rFonts w:ascii="Arial" w:cs="Arial" w:eastAsia="Arial" w:hAnsi="Arial"/>
                <w:sz w:val="18"/>
                <w:szCs w:val="18"/>
                <w:color w:val="auto"/>
              </w:rPr>
              <w:t>Cash – beginning</w:t>
            </w:r>
          </w:p>
        </w:tc>
        <w:tc>
          <w:tcPr>
            <w:tcW w:w="1380" w:type="dxa"/>
            <w:vAlign w:val="bottom"/>
            <w:tcBorders>
              <w:bottom w:val="single" w:sz="8" w:color="CBDBD1"/>
            </w:tcBorders>
            <w:shd w:val="clear" w:color="auto" w:fill="CBDBD1"/>
          </w:tcPr>
          <w:p>
            <w:pPr>
              <w:spacing w:after="0"/>
              <w:rPr>
                <w:sz w:val="19"/>
                <w:szCs w:val="19"/>
                <w:color w:val="auto"/>
              </w:rPr>
            </w:pPr>
          </w:p>
        </w:tc>
        <w:tc>
          <w:tcPr>
            <w:tcW w:w="160" w:type="dxa"/>
            <w:vAlign w:val="bottom"/>
            <w:tcBorders>
              <w:bottom w:val="single" w:sz="8" w:color="auto"/>
            </w:tcBorders>
            <w:shd w:val="clear" w:color="auto" w:fill="CBDBD1"/>
          </w:tcPr>
          <w:p>
            <w:pPr>
              <w:spacing w:after="0"/>
              <w:rPr>
                <w:sz w:val="19"/>
                <w:szCs w:val="19"/>
                <w:color w:val="auto"/>
              </w:rPr>
            </w:pPr>
          </w:p>
        </w:tc>
        <w:tc>
          <w:tcPr>
            <w:tcW w:w="88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556</w:t>
            </w:r>
          </w:p>
        </w:tc>
        <w:tc>
          <w:tcPr>
            <w:tcW w:w="120" w:type="dxa"/>
            <w:vAlign w:val="bottom"/>
            <w:tcBorders>
              <w:bottom w:val="single" w:sz="8" w:color="CBDBD1"/>
            </w:tcBorders>
            <w:shd w:val="clear" w:color="auto" w:fill="CBDBD1"/>
          </w:tcPr>
          <w:p>
            <w:pPr>
              <w:spacing w:after="0"/>
              <w:rPr>
                <w:sz w:val="19"/>
                <w:szCs w:val="19"/>
                <w:color w:val="auto"/>
              </w:rPr>
            </w:pPr>
          </w:p>
        </w:tc>
        <w:tc>
          <w:tcPr>
            <w:tcW w:w="80" w:type="dxa"/>
            <w:vAlign w:val="bottom"/>
            <w:tcBorders>
              <w:bottom w:val="single" w:sz="8" w:color="CBDBD1"/>
            </w:tcBorders>
            <w:shd w:val="clear" w:color="auto" w:fill="CBDBD1"/>
          </w:tcPr>
          <w:p>
            <w:pPr>
              <w:spacing w:after="0"/>
              <w:rPr>
                <w:sz w:val="19"/>
                <w:szCs w:val="19"/>
                <w:color w:val="auto"/>
              </w:rPr>
            </w:pPr>
          </w:p>
        </w:tc>
        <w:tc>
          <w:tcPr>
            <w:tcW w:w="300" w:type="dxa"/>
            <w:vAlign w:val="bottom"/>
            <w:tcBorders>
              <w:bottom w:val="single" w:sz="8" w:color="auto"/>
            </w:tcBorders>
            <w:shd w:val="clear" w:color="auto" w:fill="CBDBD1"/>
          </w:tcPr>
          <w:p>
            <w:pPr>
              <w:spacing w:after="0"/>
              <w:rPr>
                <w:sz w:val="19"/>
                <w:szCs w:val="19"/>
                <w:color w:val="auto"/>
              </w:rPr>
            </w:pPr>
          </w:p>
        </w:tc>
        <w:tc>
          <w:tcPr>
            <w:tcW w:w="74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21,812</w:t>
            </w:r>
          </w:p>
        </w:tc>
        <w:tc>
          <w:tcPr>
            <w:tcW w:w="180" w:type="dxa"/>
            <w:vAlign w:val="bottom"/>
            <w:tcBorders>
              <w:bottom w:val="single" w:sz="8" w:color="CBDBD1"/>
              <w:right w:val="single" w:sz="8" w:color="CBDBD1"/>
            </w:tcBorders>
            <w:shd w:val="clear" w:color="auto" w:fill="CBDBD1"/>
          </w:tcPr>
          <w:p>
            <w:pPr>
              <w:spacing w:after="0"/>
              <w:rPr>
                <w:sz w:val="19"/>
                <w:szCs w:val="19"/>
                <w:color w:val="auto"/>
              </w:rPr>
            </w:pPr>
          </w:p>
        </w:tc>
        <w:tc>
          <w:tcPr>
            <w:tcW w:w="120" w:type="dxa"/>
            <w:vAlign w:val="bottom"/>
            <w:tcBorders>
              <w:bottom w:val="single" w:sz="8" w:color="auto"/>
            </w:tcBorders>
            <w:shd w:val="clear" w:color="auto" w:fill="CBDBD1"/>
          </w:tcPr>
          <w:p>
            <w:pPr>
              <w:spacing w:after="0"/>
              <w:rPr>
                <w:sz w:val="19"/>
                <w:szCs w:val="19"/>
                <w:color w:val="auto"/>
              </w:rPr>
            </w:pPr>
          </w:p>
        </w:tc>
        <w:tc>
          <w:tcPr>
            <w:tcW w:w="90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BDBD1"/>
            </w:tcBorders>
            <w:shd w:val="clear" w:color="auto" w:fill="CBDBD1"/>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Cash – ending</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1,889</w:t>
            </w:r>
          </w:p>
        </w:tc>
        <w:tc>
          <w:tcPr>
            <w:tcW w:w="12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1,542</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00" w:type="dxa"/>
            <w:vAlign w:val="bottom"/>
            <w:shd w:val="clear" w:color="auto" w:fill="CBDBD1"/>
          </w:tcPr>
          <w:p>
            <w:pPr>
              <w:spacing w:after="0"/>
              <w:rPr>
                <w:sz w:val="18"/>
                <w:szCs w:val="18"/>
                <w:color w:val="auto"/>
              </w:rPr>
            </w:pPr>
          </w:p>
        </w:tc>
        <w:tc>
          <w:tcPr>
            <w:tcW w:w="1380" w:type="dxa"/>
            <w:vAlign w:val="bottom"/>
            <w:shd w:val="clear" w:color="auto" w:fill="CBDBD1"/>
          </w:tcPr>
          <w:p>
            <w:pPr>
              <w:spacing w:after="0"/>
              <w:rPr>
                <w:sz w:val="18"/>
                <w:szCs w:val="18"/>
                <w:color w:val="auto"/>
              </w:rPr>
            </w:pPr>
          </w:p>
        </w:tc>
        <w:tc>
          <w:tcPr>
            <w:tcW w:w="160" w:type="dxa"/>
            <w:vAlign w:val="bottom"/>
            <w:shd w:val="clear" w:color="auto" w:fill="CBDBD1"/>
          </w:tcPr>
          <w:p>
            <w:pPr>
              <w:spacing w:after="0"/>
              <w:rPr>
                <w:sz w:val="18"/>
                <w:szCs w:val="18"/>
                <w:color w:val="auto"/>
              </w:rPr>
            </w:pPr>
          </w:p>
        </w:tc>
        <w:tc>
          <w:tcPr>
            <w:tcW w:w="88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300" w:type="dxa"/>
            <w:vAlign w:val="bottom"/>
            <w:shd w:val="clear" w:color="auto" w:fill="CBDBD1"/>
          </w:tcPr>
          <w:p>
            <w:pPr>
              <w:spacing w:after="0"/>
              <w:rPr>
                <w:sz w:val="18"/>
                <w:szCs w:val="18"/>
                <w:color w:val="auto"/>
              </w:rPr>
            </w:pPr>
          </w:p>
        </w:tc>
        <w:tc>
          <w:tcPr>
            <w:tcW w:w="740" w:type="dxa"/>
            <w:vAlign w:val="bottom"/>
            <w:shd w:val="clear" w:color="auto" w:fill="CBDBD1"/>
          </w:tcPr>
          <w:p>
            <w:pPr>
              <w:spacing w:after="0"/>
              <w:rPr>
                <w:sz w:val="18"/>
                <w:szCs w:val="18"/>
                <w:color w:val="auto"/>
              </w:rPr>
            </w:pPr>
          </w:p>
        </w:tc>
        <w:tc>
          <w:tcPr>
            <w:tcW w:w="180" w:type="dxa"/>
            <w:vAlign w:val="bottom"/>
            <w:tcBorders>
              <w:right w:val="single" w:sz="8" w:color="CBDBD1"/>
            </w:tcBorders>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90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Supplemental disclosures:</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00" w:type="dxa"/>
            <w:vAlign w:val="bottom"/>
            <w:shd w:val="clear" w:color="auto" w:fill="CBDBD1"/>
          </w:tcPr>
          <w:p>
            <w:pPr>
              <w:ind w:left="120"/>
              <w:spacing w:after="0"/>
              <w:rPr>
                <w:sz w:val="20"/>
                <w:szCs w:val="20"/>
                <w:color w:val="auto"/>
              </w:rPr>
            </w:pPr>
            <w:r>
              <w:rPr>
                <w:rFonts w:ascii="Arial" w:cs="Arial" w:eastAsia="Arial" w:hAnsi="Arial"/>
                <w:sz w:val="18"/>
                <w:szCs w:val="18"/>
                <w:color w:val="auto"/>
              </w:rPr>
              <w:t>Interest paid</w:t>
            </w:r>
          </w:p>
        </w:tc>
        <w:tc>
          <w:tcPr>
            <w:tcW w:w="154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BDBD1"/>
          </w:tcPr>
          <w:p>
            <w:pPr>
              <w:spacing w:after="0"/>
              <w:rPr>
                <w:sz w:val="20"/>
                <w:szCs w:val="20"/>
                <w:color w:val="auto"/>
              </w:rPr>
            </w:pPr>
          </w:p>
        </w:tc>
        <w:tc>
          <w:tcPr>
            <w:tcW w:w="380" w:type="dxa"/>
            <w:vAlign w:val="bottom"/>
            <w:gridSpan w:val="2"/>
            <w:shd w:val="clear" w:color="auto" w:fill="CBDBD1"/>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BDBD1"/>
            </w:tcBorders>
            <w:shd w:val="clear" w:color="auto" w:fill="CBDBD1"/>
          </w:tcPr>
          <w:p>
            <w:pPr>
              <w:spacing w:after="0"/>
              <w:rPr>
                <w:sz w:val="20"/>
                <w:szCs w:val="20"/>
                <w:color w:val="auto"/>
              </w:rPr>
            </w:pPr>
          </w:p>
        </w:tc>
        <w:tc>
          <w:tcPr>
            <w:tcW w:w="120" w:type="dxa"/>
            <w:vAlign w:val="bottom"/>
            <w:shd w:val="clear" w:color="auto" w:fill="CBDBD1"/>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DBD1"/>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Borders>
              <w:top w:val="single" w:sz="8" w:color="CBDBD1"/>
            </w:tcBorders>
            <w:shd w:val="clear" w:color="auto" w:fill="CBDBD1"/>
          </w:tcPr>
          <w:p>
            <w:pPr>
              <w:spacing w:after="0" w:line="20" w:lineRule="exact"/>
              <w:rPr>
                <w:sz w:val="1"/>
                <w:szCs w:val="1"/>
                <w:color w:val="auto"/>
              </w:rPr>
            </w:pPr>
          </w:p>
        </w:tc>
        <w:tc>
          <w:tcPr>
            <w:tcW w:w="1380" w:type="dxa"/>
            <w:vAlign w:val="bottom"/>
            <w:tcBorders>
              <w:top w:val="single" w:sz="8" w:color="CBDBD1"/>
            </w:tcBorders>
            <w:shd w:val="clear" w:color="auto" w:fill="CBDBD1"/>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BDBD1"/>
            </w:tcBorders>
            <w:shd w:val="clear" w:color="auto" w:fill="CBDBD1"/>
          </w:tcPr>
          <w:p>
            <w:pPr>
              <w:spacing w:after="0" w:line="20" w:lineRule="exact"/>
              <w:rPr>
                <w:sz w:val="1"/>
                <w:szCs w:val="1"/>
                <w:color w:val="auto"/>
              </w:rPr>
            </w:pPr>
          </w:p>
        </w:tc>
        <w:tc>
          <w:tcPr>
            <w:tcW w:w="80" w:type="dxa"/>
            <w:vAlign w:val="bottom"/>
            <w:tcBorders>
              <w:top w:val="single" w:sz="8" w:color="CBDBD1"/>
            </w:tcBorders>
            <w:shd w:val="clear" w:color="auto" w:fill="CBDBD1"/>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BDBD1"/>
              <w:right w:val="single" w:sz="8" w:color="CBDBD1"/>
            </w:tcBorders>
            <w:shd w:val="clear" w:color="auto" w:fill="CBDBD1"/>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BDBD1"/>
            </w:tcBorders>
            <w:shd w:val="clear" w:color="auto" w:fill="CBDBD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Income taxes paid</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00" w:type="dxa"/>
            <w:vAlign w:val="bottom"/>
            <w:shd w:val="clear" w:color="auto" w:fill="CBDBD1"/>
          </w:tcPr>
          <w:p>
            <w:pPr>
              <w:spacing w:after="0"/>
              <w:rPr>
                <w:sz w:val="18"/>
                <w:szCs w:val="18"/>
                <w:color w:val="auto"/>
              </w:rPr>
            </w:pPr>
          </w:p>
        </w:tc>
        <w:tc>
          <w:tcPr>
            <w:tcW w:w="1380" w:type="dxa"/>
            <w:vAlign w:val="bottom"/>
            <w:shd w:val="clear" w:color="auto" w:fill="CBDBD1"/>
          </w:tcPr>
          <w:p>
            <w:pPr>
              <w:spacing w:after="0"/>
              <w:rPr>
                <w:sz w:val="18"/>
                <w:szCs w:val="18"/>
                <w:color w:val="auto"/>
              </w:rPr>
            </w:pPr>
          </w:p>
        </w:tc>
        <w:tc>
          <w:tcPr>
            <w:tcW w:w="160" w:type="dxa"/>
            <w:vAlign w:val="bottom"/>
            <w:shd w:val="clear" w:color="auto" w:fill="CBDBD1"/>
          </w:tcPr>
          <w:p>
            <w:pPr>
              <w:spacing w:after="0"/>
              <w:rPr>
                <w:sz w:val="18"/>
                <w:szCs w:val="18"/>
                <w:color w:val="auto"/>
              </w:rPr>
            </w:pPr>
          </w:p>
        </w:tc>
        <w:tc>
          <w:tcPr>
            <w:tcW w:w="88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300" w:type="dxa"/>
            <w:vAlign w:val="bottom"/>
            <w:shd w:val="clear" w:color="auto" w:fill="CBDBD1"/>
          </w:tcPr>
          <w:p>
            <w:pPr>
              <w:spacing w:after="0"/>
              <w:rPr>
                <w:sz w:val="18"/>
                <w:szCs w:val="18"/>
                <w:color w:val="auto"/>
              </w:rPr>
            </w:pPr>
          </w:p>
        </w:tc>
        <w:tc>
          <w:tcPr>
            <w:tcW w:w="740" w:type="dxa"/>
            <w:vAlign w:val="bottom"/>
            <w:shd w:val="clear" w:color="auto" w:fill="CBDBD1"/>
          </w:tcPr>
          <w:p>
            <w:pPr>
              <w:spacing w:after="0"/>
              <w:rPr>
                <w:sz w:val="18"/>
                <w:szCs w:val="18"/>
                <w:color w:val="auto"/>
              </w:rPr>
            </w:pPr>
          </w:p>
        </w:tc>
        <w:tc>
          <w:tcPr>
            <w:tcW w:w="180" w:type="dxa"/>
            <w:vAlign w:val="bottom"/>
            <w:tcBorders>
              <w:right w:val="single" w:sz="8" w:color="CBDBD1"/>
            </w:tcBorders>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90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Non-cash transactions:</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00" w:type="dxa"/>
            <w:vAlign w:val="bottom"/>
            <w:shd w:val="clear" w:color="auto" w:fill="CBDBD1"/>
          </w:tcPr>
          <w:p>
            <w:pPr>
              <w:ind w:left="120"/>
              <w:spacing w:after="0"/>
              <w:rPr>
                <w:sz w:val="20"/>
                <w:szCs w:val="20"/>
                <w:color w:val="auto"/>
              </w:rPr>
            </w:pPr>
            <w:r>
              <w:rPr>
                <w:rFonts w:ascii="Arial" w:cs="Arial" w:eastAsia="Arial" w:hAnsi="Arial"/>
                <w:sz w:val="18"/>
                <w:szCs w:val="18"/>
                <w:color w:val="auto"/>
              </w:rPr>
              <w:t>Shares issued for executive compensation</w:t>
            </w:r>
          </w:p>
        </w:tc>
        <w:tc>
          <w:tcPr>
            <w:tcW w:w="1540" w:type="dxa"/>
            <w:vAlign w:val="bottom"/>
            <w:gridSpan w:val="2"/>
            <w:shd w:val="clear" w:color="auto" w:fill="CBDBD1"/>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BDBD1"/>
          </w:tcPr>
          <w:p>
            <w:pPr>
              <w:spacing w:after="0"/>
              <w:rPr>
                <w:sz w:val="22"/>
                <w:szCs w:val="22"/>
                <w:color w:val="auto"/>
              </w:rPr>
            </w:pPr>
          </w:p>
        </w:tc>
        <w:tc>
          <w:tcPr>
            <w:tcW w:w="380" w:type="dxa"/>
            <w:vAlign w:val="bottom"/>
            <w:gridSpan w:val="2"/>
            <w:shd w:val="clear" w:color="auto" w:fill="CBDBD1"/>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BDBD1"/>
            </w:tcBorders>
            <w:shd w:val="clear" w:color="auto" w:fill="CBDBD1"/>
          </w:tcPr>
          <w:p>
            <w:pPr>
              <w:spacing w:after="0"/>
              <w:rPr>
                <w:sz w:val="22"/>
                <w:szCs w:val="22"/>
                <w:color w:val="auto"/>
              </w:rPr>
            </w:pPr>
          </w:p>
        </w:tc>
        <w:tc>
          <w:tcPr>
            <w:tcW w:w="120" w:type="dxa"/>
            <w:vAlign w:val="bottom"/>
            <w:shd w:val="clear" w:color="auto" w:fill="CBDBD1"/>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BDBD1"/>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Borders>
              <w:top w:val="single" w:sz="8" w:color="CBDBD1"/>
            </w:tcBorders>
          </w:tcPr>
          <w:p>
            <w:pPr>
              <w:ind w:left="120"/>
              <w:spacing w:after="0"/>
              <w:rPr>
                <w:sz w:val="20"/>
                <w:szCs w:val="20"/>
                <w:color w:val="auto"/>
              </w:rPr>
            </w:pPr>
            <w:r>
              <w:rPr>
                <w:rFonts w:ascii="Arial" w:cs="Arial" w:eastAsia="Arial" w:hAnsi="Arial"/>
                <w:sz w:val="18"/>
                <w:szCs w:val="18"/>
                <w:color w:val="auto"/>
              </w:rPr>
              <w:t>Number of shares issued for executive compensation</w:t>
            </w:r>
          </w:p>
        </w:tc>
        <w:tc>
          <w:tcPr>
            <w:tcW w:w="1380" w:type="dxa"/>
            <w:vAlign w:val="bottom"/>
            <w:tcBorders>
              <w:top w:val="single" w:sz="8" w:color="CBDBD1"/>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BDBD1"/>
            </w:tcBorders>
          </w:tcPr>
          <w:p>
            <w:pPr>
              <w:spacing w:after="0"/>
              <w:rPr>
                <w:sz w:val="18"/>
                <w:szCs w:val="18"/>
                <w:color w:val="auto"/>
              </w:rPr>
            </w:pPr>
          </w:p>
        </w:tc>
        <w:tc>
          <w:tcPr>
            <w:tcW w:w="80" w:type="dxa"/>
            <w:vAlign w:val="bottom"/>
            <w:tcBorders>
              <w:top w:val="single" w:sz="8" w:color="CBDBD1"/>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BDBD1"/>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5,000,000</w:t>
            </w:r>
          </w:p>
        </w:tc>
        <w:tc>
          <w:tcPr>
            <w:tcW w:w="100" w:type="dxa"/>
            <w:vAlign w:val="bottom"/>
            <w:tcBorders>
              <w:top w:val="single" w:sz="8" w:color="CBDBD1"/>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820" w:top="513" w:right="79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Excaliber Enterprises,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interim financial statements included herein, presented in accordance with United States generally accepted accounting principles and stated in US dollars, have been prepared by the Company, without audit, pursuant to the rules and regulations of the Securities and Exchange Commission (SEC). Certain information and footnote disclosures normally included in financial statements prepared in accordance with generally accepted accounting principles have been condensed or omitted pursuant to such rules and regulations, although the Company believes that the disclosures are adequate to make the information presented not misleading.</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statements reflect all adjustments, consisting of normal recurring adjustments, which, in the opinion of management, are necessary for fair presentation of the information contained therein. It is suggested that these condensed interim financial statements be read in conjunction with the financial statements of the Company for the year ended December 31, 2009 and notes thereto included in the Company's annual report on Form 10-K. The Company follows the same accounting policies in the preparation of interim reports.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 for the interim periods are not indicative of annual results.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History and organization of the company</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was organized October 6, 2005 (Date of Inception) under the laws of the State of Nevada, as Excaliber Enterprises, Ltd. The Company is authorized to issue up to 200,000,000 shares of its common stock with a par value of $0.001 per share.</w:t>
      </w:r>
    </w:p>
    <w:p>
      <w:pPr>
        <w:spacing w:after="0" w:line="19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business of the Company is to sell specialty gift baskets to health care professionals, organizations and patients, and real estate agents and firms. The Company has limited operations and in accordance with FASB ASC 915-10, “Development Stage Entities,” the Company is considered a development stage company.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Going concern</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accompanying financial statements have been prepared assuming the Company will continue as a going concern. As shown in the accompanying financial statements, the Company has incurred a net loss of ($53,570) for the period from October 6, 2005 (inception) to June 30, 2010, and had no sales.</w:t>
      </w:r>
    </w:p>
    <w:p>
      <w:pPr>
        <w:spacing w:after="0" w:line="15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order to continue as a going concern, the Company will need, among other things, additional capital resources. On August 19, 2009, the Company secured a Revolving Line of Credit for $20,000 with a non-related third-party entity, the terms of which are discussed in Note 4 – Debt and Interest Expense. Nonetheless, the Company is significantly dependent upon its ability, and will continue to attempt, to secure equity and/or debt financing. There are no assurances that the Company will be successful and without sufficient financing it would be unlikely for the Company to continue as a going concern.</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financial statements do not include any adjustments relating to the recoverability and classification of recorded assets, or the amounts of and classification of liabilities that might be necessary in the event the Company cannot continue in existence. These conditions raise substantial doubt about the Company's ability to continue as a going concern. These financial statements do not include any adjustments that might arise from this uncertainty.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Excaliber Enterprises,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Debt and interest expense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22, 2008, the Company issued an aggregate of $500 in debt securities to a related party. The note bears no interest, is due on demand and contains no prepayment penalty.</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August 19, 2009, the Company entered into a Revolving Line of Credit Promissory Note with a non-related, third party entity for a total of $20,000. Any principal balance borrowed against the Note accrues interest at a rate of 10% per year. The entire unpaid balance and interest accrued thereupon are due on September 1, 2010. As of June 30, 2010, $0 has been borrowed on this line of credit.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On March 12, 2010, a non-related third-party entity loaned the Company $30. The loan bears no interest and is due upon demand.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authorized to issue 200,000,000 shares of its $0.001 par value common stock.</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23, 2006, the Company issued 5,000,000 shares of its $0.001 par value common stock as founders’ shares to an officer and director in exchange for services rendered valued at $5,000.</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2, 2006, an officer and director of the Company donated cash in the amount of $100. The entire amount was donated, is not expected to be repaid and is considered to be additional paid-in capital.</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25, 2006, the Company issued 100,000 shares of its $0.001 par value common stock to one individual in exchange for cash in the amount of $5,000.</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12, 2008, the Company issued 748,707 shares of its par value common stock in a public offering for total gross cash proceeds in the amount of $37,435. Total offering costs related to this issuance was $500.</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September 1, 2009, an officer and director of the Company donated cash in the amount of $1,500. The entire amount was donated, is not expected to be repaid and is considered to be additional paid-in capital.</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4, 2010, an officer and director of the Company donated cash in the amount of $3,000. The entire amount was donated, is not expected to be repaid and is considered to be additional paid-in capital.</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April 27, 2010, an officer and director of the Company donated cash in the amount of $3,000. The entire amount was donated, is not expected to be repaid and is considered to be additional paid-in capital.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2010, there have been no other issuances of common stock.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Warrants and options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2010, there were no warrants or options outstanding to acquire any additional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Excaliber Enterprises,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Related party transactions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issued 5,000,000 shares of its par value common stock as founders’ shares to an officer and director in exchange for services rendered in the amount of $5,000.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Company issued 100,000 shares of its par value common stock to an affiliated shareholder in exchange for cash in the amount of $5,000.</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shareholder, officer and director of the Company donated cash to the Company in the amount of $100. This amount has been donated to the Company, is not expected to be repaid and is considered additional paid-in capital.</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January 2008, the Company borrowed $500 from a relative of the officers and directors of the Company. The note bears no interest, is due on demand and contains no prepayment penalty.</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September 1, 2009, an officer and director of the Company donated cash in the amount of $1,500. The entire amount was donated, is not expected to be repaid and is considered to be additional paid-in capital.</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4, 2010, an officer and director of the Company donated cash in the amount of $3,000. The entire amount was donated, is not expected to be repaid and is considered to be additional paid-in capital.</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April 27, 2010, an officer and director of the Company donated cash in the amount of $3,000. The entire amount was donated, is not expected to be repaid and is considered to be additional paid-in capital.</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does not lease or rent any property. Office services are provided without charge by an officer and director of the Company. Such costs are immaterial to the financial statements and, accordingly, have not been reflected therein. The officers and directors of the Company are involved in other business activities and may, in the future, become involved in other business opportunities. If a specific business opportunity becomes available, such persons may face a conflict in selecting between the Company and their other business interests. The Company has not formulated a policy for the resolution of such conflicts.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Subsequent Events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In preparing these financial statements, the Company has evaluated events and transactions for potential recognition or disclosure through </w:t>
      </w:r>
      <w:r>
        <w:rPr>
          <w:rFonts w:ascii="Arial" w:cs="Arial" w:eastAsia="Arial" w:hAnsi="Arial"/>
          <w:sz w:val="18"/>
          <w:szCs w:val="18"/>
          <w:i w:val="1"/>
          <w:iCs w:val="1"/>
          <w:color w:val="auto"/>
        </w:rPr>
        <w:t>August 6, 2010,</w:t>
      </w:r>
      <w:r>
        <w:rPr>
          <w:rFonts w:ascii="Arial" w:cs="Arial" w:eastAsia="Arial" w:hAnsi="Arial"/>
          <w:sz w:val="18"/>
          <w:szCs w:val="18"/>
          <w:color w:val="auto"/>
        </w:rPr>
        <w:t xml:space="preserve"> the date the financial statements were issued. As of this date, nothing has happened that requires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This Quarterly Report contains forward-looking statements about Excaliber Enterprises, Ltd.’s business, financial condition and prospects that reflect management’s assumptions and beliefs based on information currently available. We can give no assurance that the expectations indicated by such forward-looking statements will be realized. If any of our management’s assumptions should prove incorrect, or if any of the risks and uncertainties underlying such expectations should materialize, Excaliber Enterprise’s actual results may differ materially from those indicated by the forward-looking statements.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key factors that are not within our control and that may have a direct bearing on operating results include, but are not limited to, acceptance of our services, our ability to expand our customer base, managements’ ability to raise capital in the future, the retention of key employees and changes in the regulation of our industry.</w:t>
      </w:r>
    </w:p>
    <w:p>
      <w:pPr>
        <w:spacing w:after="0" w:line="20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There may be other risks and circumstances that management may be unable to predict. When used in this Quarterly Report, words such as, </w:t>
      </w:r>
      <w:r>
        <w:rPr>
          <w:rFonts w:ascii="Arial" w:cs="Arial" w:eastAsia="Arial" w:hAnsi="Arial"/>
          <w:sz w:val="18"/>
          <w:szCs w:val="18"/>
          <w:i w:val="1"/>
          <w:iCs w:val="1"/>
          <w:color w:val="auto"/>
        </w:rPr>
        <w:t xml:space="preserve">"believes,""expects," "intends,""plans,""anticipates,""estimates" </w:t>
      </w:r>
      <w:r>
        <w:rPr>
          <w:rFonts w:ascii="Arial" w:cs="Arial" w:eastAsia="Arial" w:hAnsi="Arial"/>
          <w:sz w:val="18"/>
          <w:szCs w:val="18"/>
          <w:color w:val="auto"/>
        </w:rPr>
        <w:t>and similar expressions are intended to identify forward-looking statements, although there</w:t>
      </w:r>
      <w:r>
        <w:rPr>
          <w:rFonts w:ascii="Arial" w:cs="Arial" w:eastAsia="Arial" w:hAnsi="Arial"/>
          <w:sz w:val="18"/>
          <w:szCs w:val="18"/>
          <w:i w:val="1"/>
          <w:iCs w:val="1"/>
          <w:color w:val="auto"/>
        </w:rPr>
        <w:t xml:space="preserve"> </w:t>
      </w:r>
      <w:r>
        <w:rPr>
          <w:rFonts w:ascii="Arial" w:cs="Arial" w:eastAsia="Arial" w:hAnsi="Arial"/>
          <w:sz w:val="18"/>
          <w:szCs w:val="18"/>
          <w:color w:val="auto"/>
        </w:rPr>
        <w:t>may be certain forward-looking statements not accompanied by such expressions.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Results of Operation</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were incorporated in the State of Nevada on October 6, 2005. Since our inception on October 6, 2005 to June 30, 2010, we did not generate any revenues and have incurred various general and administrative costs related to the costs of start-up operations and the execution of our business. In prior periods, the state of the economy has impeded our ability to develop our operations. However, our officers and directors have received informal interest in our gift baskets from prior personal contacts. As a result, we are in the process of rethinking our operational approach, infrastructure and financing requirements.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incur operating expenses composed primarily of depreciation, executive compensation and general and administrative costs. We recognize depreciation expense on our computer equipment. Executive compensation is related specifically to the issuance of 5,000,000 shares of common stock to Stephanie Jones, an officer and director, for services rendered in June 2006. General and administrative expenses are essentially the cost of doing business, and include: licenses; general office expenses and supplies; bank charges; website costs; and professional fees such as accounting, legal and other various business consulting fees.</w:t>
      </w:r>
    </w:p>
    <w:p>
      <w:pPr>
        <w:spacing w:after="0" w:line="2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three months ended June 30, 2010, total expenses were $2,107, consisting of depreciation expense of $107, related specifically to our computer equipment, and general and administrative costs in the amount of $2,000. In the comparable three month period ended June 30, 2009, expenses were $2,079, comprised of $107 in depreciation expense and $1,972 of which was attributable to general and administrative expenses. Our management believes this level of expenditures represents the minimum ongoing quarterly cost of operations.</w:t>
      </w:r>
    </w:p>
    <w:p>
      <w:pPr>
        <w:spacing w:after="0" w:line="21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six month period ended June 30, 2010, we recorded total expenses of $4,881, made up of $214 in depreciation expense and $4,667 in general and administrative costs. Comparatively, total expenses were $19,268 in the six months ended June 30, 2009, of which $214 was attributable to depreciation expense and $19,054 to general and administrative expenses.</w:t>
      </w:r>
    </w:p>
    <w:p>
      <w:pPr>
        <w:spacing w:after="0" w:line="20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Since our inception, we have incurred aggregate operating expenses in the amount of $53,570, of which $678 is due to depreciation expense, $5,000 in executive compensation and general and administrative expenses in the amount of $47,772. No development related expenses have been or will be paid to our affiliates. We expect to continue to incur general and administrative expenses for the foreseeable future. Although we cannot estimate the extent of these costs, we do anticipate expenses rising as we pursue our business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Provision of Income Taxes</w:t>
      </w:r>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Although we are incorporated in the State of Nevada, we do business in the State of Idaho, which charges a minimum tax payable for $30. In the six months ended June 30, 2010 and 2009, we recorded a provision for income taxes of $30 and $30, respectively. Since our inception to June 30, 2010, we recorded total provisions for income taxes of $120.</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a result of our lack of revenues and incurring ongoing expenses related to the implementation of our business, we have experienced net losses in all periods since our inception. In the three month period ended June 30, 2010, our net loss totaled $2,107, compared to a net loss of $2,079 in the three month period ended June 30, 2009. During the six months ended June 30, 2010 and 2009, we incurred net losses of $4,911 and $19,298, respectively. Since our inception, we have accumulated a deficit in the amount of $53,570.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management believes that our cash on hand as of June 30, 2010 in the amount of $1,889 is not sufficient to maintain our current minimal level of operations and to execute our planned objectives for the next approximately 12 months. As of June 30, 2010, we owed $1,000 in accounts payable to vendors and service providers. We also owe a total of $530 in notes payable, of which $500 is owed to a related party and $30 to a non-related entity. All notes payable bear no interest and are due on demand. We may be unable to satisfy any of our financial obligations. Our ability to fund our operating expenses are in doubt, and we cannot guarantee that we will be able to satisfy such. As a result, our independent auditors have expressed substantial doubt about our ability to con tinue as a going concern in the independent auditors’ report to the financial statements included in our 10-K. If our business fails, our investors may face a complete loss of their investment.</w:t>
      </w:r>
    </w:p>
    <w:p>
      <w:pPr>
        <w:spacing w:after="0" w:line="2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an effort to obtain working capital and funds in anticipation of pursuing our plan to establish our brand, which is set forth herein, on August 19, 2009, we entered into a Revolving Line of Credit with a non-related, third party entity for a total of $20,000. Any principal balance borrowed against the Note accrues interest at a rate of 10% per year. The entire unpaid balance and interest accrued thereupon are due on September 1, 2010. As June 30, 2010, we have not drawn any funds on this line of credit and our balance owed is $0.</w:t>
      </w:r>
    </w:p>
    <w:p>
      <w:pPr>
        <w:spacing w:after="0" w:line="2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Unfortunately, despite having secured a line of credit for $20,000, there can be guarantee that we can implement our new strategy or that our strategy will lead to revenues and positive cash flows. If we are unable to generate cash flows with which to repay the line of credit, as well as our other existing liabilities, or if we require additional capital to maintain or expand our operations, we may need to sell additional equity or debt securities, which may be on terms unfavorable to us.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of Operation</w:t>
      </w:r>
    </w:p>
    <w:p>
      <w:pPr>
        <w:spacing w:after="0" w:line="252" w:lineRule="exact"/>
        <w:rPr>
          <w:sz w:val="20"/>
          <w:szCs w:val="20"/>
          <w:color w:val="auto"/>
        </w:rPr>
      </w:pPr>
    </w:p>
    <w:p>
      <w:pPr>
        <w:jc w:val="both"/>
        <w:ind w:right="20" w:firstLine="324"/>
        <w:spacing w:after="0" w:line="276" w:lineRule="auto"/>
        <w:rPr>
          <w:sz w:val="20"/>
          <w:szCs w:val="20"/>
          <w:color w:val="auto"/>
        </w:rPr>
      </w:pPr>
      <w:r>
        <w:rPr>
          <w:rFonts w:ascii="Arial" w:cs="Arial" w:eastAsia="Arial" w:hAnsi="Arial"/>
          <w:sz w:val="17"/>
          <w:szCs w:val="17"/>
          <w:color w:val="auto"/>
        </w:rPr>
        <w:t>Our officers and directors have received inquiries about our products and services. Our management believes that, while inquiries do not directly equal sales, these are signs of a resurgent market for corporate and personal gifts and could potentially lead to sales. Our management attributes this resurrected interest to the recovery of the stock market and various segments of the economy stabilizing. For instance, the real estate activity has shown a pickup in activity and an easing of price declines. Our management believes this turn around in the general business climate has led to a slight recovery in discretionary spending, as well as an availability of investment capital and business credit.</w:t>
      </w:r>
    </w:p>
    <w:p>
      <w:pPr>
        <w:spacing w:after="0" w:line="20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anticipation of the improving market for gift baskets and increased consumer and business spending, we have secured a revolving line of credit in the amount of $20,000. We intend to use the funds from this line of credit to implement the following objectives:</w:t>
      </w:r>
    </w:p>
    <w:p>
      <w:pPr>
        <w:spacing w:after="0" w:line="197"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i w:val="1"/>
          <w:iCs w:val="1"/>
          <w:color w:val="auto"/>
        </w:rPr>
        <w:t>Improve our website</w:t>
      </w:r>
      <w:r>
        <w:rPr>
          <w:rFonts w:ascii="Arial" w:cs="Arial" w:eastAsia="Arial" w:hAnsi="Arial"/>
          <w:sz w:val="17"/>
          <w:szCs w:val="17"/>
          <w:color w:val="auto"/>
        </w:rPr>
        <w:t>: We have a website located at www.ExcaliberStore.com to serve as our primary method of attracting customers and generating</w:t>
      </w:r>
      <w:r>
        <w:rPr>
          <w:rFonts w:ascii="Arial" w:cs="Arial" w:eastAsia="Arial" w:hAnsi="Arial"/>
          <w:sz w:val="17"/>
          <w:szCs w:val="17"/>
          <w:i w:val="1"/>
          <w:iCs w:val="1"/>
          <w:color w:val="auto"/>
        </w:rPr>
        <w:t xml:space="preserve"> </w:t>
      </w:r>
      <w:r>
        <w:rPr>
          <w:rFonts w:ascii="Arial" w:cs="Arial" w:eastAsia="Arial" w:hAnsi="Arial"/>
          <w:sz w:val="17"/>
          <w:szCs w:val="17"/>
          <w:color w:val="auto"/>
        </w:rPr>
        <w:t>sales. The website is merely functional without e-commerce capability at this time. We are in the process of improving our website through adding e-commerce functionality and improving the user interface. There are options we are evaluating in terms of software for and outsourcing the processing of payments. We have budgeted up to $6,000 to the redesign of our site and for the purchase of software.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 w:name="page12"/>
    <w:bookmarkEnd w:id="11"/>
    <w:p>
      <w:pPr>
        <w:jc w:val="both"/>
        <w:ind w:left="660"/>
        <w:spacing w:after="0" w:line="312" w:lineRule="auto"/>
        <w:rPr>
          <w:sz w:val="20"/>
          <w:szCs w:val="20"/>
          <w:color w:val="auto"/>
        </w:rPr>
      </w:pPr>
      <w:r>
        <w:rPr>
          <w:rFonts w:ascii="Arial" w:cs="Arial" w:eastAsia="Arial" w:hAnsi="Arial"/>
          <w:sz w:val="16"/>
          <w:szCs w:val="16"/>
          <w:color w:val="auto"/>
        </w:rPr>
        <w:t>We are also contemplating creating accounts with websites that already have e-commerce functionality enabled, whereby we would pay either a nominal fee or commission for sales and payment processing. This option would allow us to conserve capital in that: (a) we would not have to hire a web developer to redesign the site; (b) we would not have to purchase special software; and (c) we would not have to set-up a merchant account.</w:t>
      </w:r>
    </w:p>
    <w:p>
      <w:pPr>
        <w:spacing w:after="0" w:line="174"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i w:val="1"/>
          <w:iCs w:val="1"/>
          <w:color w:val="auto"/>
        </w:rPr>
        <w:t>Implement marketing and advertising</w:t>
      </w:r>
      <w:r>
        <w:rPr>
          <w:rFonts w:ascii="Arial" w:cs="Arial" w:eastAsia="Arial" w:hAnsi="Arial"/>
          <w:sz w:val="18"/>
          <w:szCs w:val="18"/>
          <w:color w:val="auto"/>
        </w:rPr>
        <w:t>: Once we determine our approach to e-commerce, we will implement a web advertising campaign using</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provided by Google, Bing and Yahoo. The amount we budget to undertake web advertising activities will depend substantially upon whether we invest in developing an e-commerce website or enter into partnerships with other websites. At this time, we have allocated up to $10,000 of our line of credit, if necessary, toward web advertising.</w:t>
      </w:r>
    </w:p>
    <w:p>
      <w:pPr>
        <w:spacing w:after="0" w:line="214"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In addition to web marketing, we also plan to take a direct sales approach, whereby our officers will attempt to generate interest and awareness of our brand. Direct sales is not expected to require a material outlay of funds, other than for business cards, brochures and other print materials. As such, we have allotted up to $2,000 to use for direct sales materials.</w:t>
      </w:r>
    </w:p>
    <w:p>
      <w:pPr>
        <w:spacing w:after="0" w:line="20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management does not anticipate the need to hire additional full- or part- time employees over the next 12 months, as the services provided by our current officers and directors appear sufficient at this time. Our officers and directors work for us on a part-time basis, and are prepared to devote additional time, as necessary. We do not expect to hire any additional employees over the next 12 months.</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management does not expect to incur research and development costs.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do not have any off-balance sheet arrangements.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currently do not own any significant plant or equipment that we would seek to sell in the near future.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not paid for expenses on behalf of our directors. Additionally, we believe that this fact shall not materially change.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currently do not have any material contracts and or affiliations with third parties.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are no known trends, events or uncertainties that have had or that are reasonably expected to have a material impact on our revenues from continuing operations.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5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maintain a set of disclosure controls and procedures designed to ensure that information we are required to disclose in reports filed under the Securities Exchange Act is recorded, processed, summarized and reported within the time periods specified by the SEC’s rules and forms. Disclosure controls are also designed with the objective of ensuring that this information is accumulated and communicated to our management, including our chief executive officer and chief financial officer, as appropriate, to allow timely decisions regarding required disclosure.</w:t>
      </w:r>
    </w:p>
    <w:p>
      <w:pPr>
        <w:spacing w:after="0" w:line="19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Based upon their evaluation as of the end of the period covered by this report, our chief executive officer and chief financial officer concluded that our disclosure controls and procedures are effective to ensure that information required to be included in our periodic SEC filings is recorded, processed, summarized, and reported within the time periods specified in the SEC rules and forms.</w:t>
      </w:r>
    </w:p>
    <w:p>
      <w:pPr>
        <w:spacing w:after="0" w:line="208"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Our Board of Directors were advised by management’s performance of the evaluation of internal control over financial reporting identified a material weakness as defined in Public Company Accounting Oversight Board Standard No. 5 in the Company’s internal control over financial reporting.</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2" w:name="page13"/>
    <w:bookmarkEnd w:id="12"/>
    <w:p>
      <w:pPr>
        <w:jc w:val="both"/>
        <w:ind w:firstLine="324"/>
        <w:spacing w:after="0" w:line="257" w:lineRule="auto"/>
        <w:rPr>
          <w:sz w:val="20"/>
          <w:szCs w:val="20"/>
          <w:color w:val="auto"/>
        </w:rPr>
      </w:pPr>
      <w:r>
        <w:rPr>
          <w:rFonts w:ascii="Arial" w:cs="Arial" w:eastAsia="Arial" w:hAnsi="Arial"/>
          <w:sz w:val="18"/>
          <w:szCs w:val="18"/>
          <w:color w:val="auto"/>
        </w:rPr>
        <w:t>This deficiency consisted primarily of inadequate staffing and supervision that could lead to the untimely identification and resolution of accounting and disclosure matters and failure to perform timely and effective reviews. However, the size of the Company prevents us from being able to employ sufficient resources to enable us to have adequate segregation of duties within our internal control system. Management is required to apply its judgment in evaluating the cost-benefit relationship of possible controls and procedures. Management has taken all actions to ensure that the filing includes all required content and the financial statements presented conform to GAAP.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25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There was no change in our internal controls over financial reporting that occurred during the period covered by this report, which has materially affected, or is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5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September 22, 2006, we issued 5,000,000 shares of our common stock to Stephanie Y. Jones, our founding shareholder and an officer and director. This sale of stock did not involve any public offering, general advertising or solicitation. The shares were issued in exchange for services performed by the founding shareholder on our behalf in the amount of $5,000. Mrs. Jones received compensation in the form of common stock for performing services related to the formation and organization of our Company, including, but not limited to, designing and implementing a business plan and providing administrative office space for use by the Company; thus, these shares are considered to have been provided as founder’s shares. Additionally, the services are considered to have been donated, and hav e resultantly been expensed and recorded as a contribution to capital. At the time of the issuance, Mrs. Jones had fair access to and was in possession of all available material information about our company, as is the President and a director of Excaliber Enterprises, Ltd. The shares bear a restrictive transfer legend. On the basis of these facts, we claim that the issuance of stock to our founding shareholder qualifies for the exemption from registration contained in Section 4(2) of the Securities Act of 1933.</w:t>
      </w:r>
    </w:p>
    <w:p>
      <w:pPr>
        <w:spacing w:after="0" w:line="20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September 25, 2006, we sold 100,000 shares of our common stock to Nicole Jones, sister-in-law of our founding shareholder, Stephanie Jones. The shares were issued for total cash in the amount of $5,000. The shares bear a restrictive transfer legend. At the time of the issuance, Mrs. Nicole Jones had fair access to and was in possession of all available material information about our company, as she is the sister-in-law of the president and director of Excaliber Enterprises, Ltd. The shares bear a restrictive transfer legend. On the basis of these facts, we claim that the issuance of stock to our founding shareholder qualifies for the exemption from registration contained in Section 4(2) of the Securities Act of 1933.</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Exhibits and Reports on Form 8-K</w:t>
      </w:r>
    </w:p>
    <w:p>
      <w:pPr>
        <w:spacing w:after="0" w:line="252" w:lineRule="exact"/>
        <w:rPr>
          <w:sz w:val="20"/>
          <w:szCs w:val="20"/>
          <w:color w:val="auto"/>
        </w:rPr>
      </w:pPr>
    </w:p>
    <w:p>
      <w:pPr>
        <w:ind w:left="80"/>
        <w:spacing w:after="0"/>
        <w:rPr>
          <w:sz w:val="20"/>
          <w:szCs w:val="20"/>
          <w:color w:val="auto"/>
        </w:rPr>
      </w:pPr>
      <w:r>
        <w:rPr>
          <w:rFonts w:ascii="Arial" w:cs="Arial" w:eastAsia="Arial" w:hAnsi="Arial"/>
          <w:sz w:val="18"/>
          <w:szCs w:val="18"/>
          <w:b w:val="1"/>
          <w:bCs w:val="1"/>
          <w:u w:val="single" w:color="auto"/>
          <w:color w:val="auto"/>
        </w:rPr>
        <w:t>Exhibit Number Name and/or Identification of Exhibit</w:t>
      </w:r>
    </w:p>
    <w:p>
      <w:pPr>
        <w:spacing w:after="0" w:line="229" w:lineRule="exact"/>
        <w:rPr>
          <w:sz w:val="20"/>
          <w:szCs w:val="20"/>
          <w:color w:val="auto"/>
        </w:rPr>
      </w:pPr>
    </w:p>
    <w:p>
      <w:pPr>
        <w:ind w:left="1420" w:hanging="755"/>
        <w:spacing w:after="0"/>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Articles of Incorporation &amp; By-Laws</w:t>
      </w:r>
    </w:p>
    <w:p>
      <w:pPr>
        <w:spacing w:after="0" w:line="225" w:lineRule="exact"/>
        <w:rPr>
          <w:rFonts w:ascii="Arial" w:cs="Arial" w:eastAsia="Arial" w:hAnsi="Arial"/>
          <w:sz w:val="18"/>
          <w:szCs w:val="18"/>
          <w:color w:val="auto"/>
        </w:rPr>
      </w:pPr>
    </w:p>
    <w:p>
      <w:pPr>
        <w:ind w:left="2300" w:hanging="239"/>
        <w:spacing w:after="0"/>
        <w:tabs>
          <w:tab w:leader="none" w:pos="2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Articles of Incorporation *</w:t>
      </w:r>
    </w:p>
    <w:p>
      <w:pPr>
        <w:spacing w:after="0" w:line="225" w:lineRule="exact"/>
        <w:rPr>
          <w:rFonts w:ascii="Arial" w:cs="Arial" w:eastAsia="Arial" w:hAnsi="Arial"/>
          <w:sz w:val="18"/>
          <w:szCs w:val="18"/>
          <w:color w:val="auto"/>
        </w:rPr>
      </w:pPr>
    </w:p>
    <w:p>
      <w:pPr>
        <w:ind w:left="2320" w:hanging="259"/>
        <w:spacing w:after="0"/>
        <w:tabs>
          <w:tab w:leader="none" w:pos="2320" w:val="left"/>
        </w:tabs>
        <w:numPr>
          <w:ilvl w:val="1"/>
          <w:numId w:val="2"/>
        </w:numPr>
        <w:rPr>
          <w:rFonts w:ascii="Arial" w:cs="Arial" w:eastAsia="Arial" w:hAnsi="Arial"/>
          <w:sz w:val="18"/>
          <w:szCs w:val="18"/>
          <w:color w:val="auto"/>
        </w:rPr>
      </w:pPr>
      <w:r>
        <w:rPr>
          <w:rFonts w:ascii="Arial" w:cs="Arial" w:eastAsia="Arial" w:hAnsi="Arial"/>
          <w:sz w:val="18"/>
          <w:szCs w:val="18"/>
          <w:color w:val="auto"/>
        </w:rPr>
        <w:t>By-Laws *</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420" w:hanging="800"/>
        <w:spacing w:after="0"/>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Rule 13a-14(a)/15d-14(a) Certifications</w:t>
      </w:r>
    </w:p>
    <w:p>
      <w:pPr>
        <w:spacing w:after="0" w:line="225" w:lineRule="exact"/>
        <w:rPr>
          <w:rFonts w:ascii="Arial" w:cs="Arial" w:eastAsia="Arial" w:hAnsi="Arial"/>
          <w:sz w:val="18"/>
          <w:szCs w:val="18"/>
          <w:color w:val="auto"/>
        </w:rPr>
      </w:pPr>
    </w:p>
    <w:p>
      <w:pPr>
        <w:ind w:left="2300" w:hanging="239"/>
        <w:spacing w:after="0"/>
        <w:tabs>
          <w:tab w:leader="none" w:pos="2300" w:val="left"/>
        </w:tabs>
        <w:numPr>
          <w:ilvl w:val="2"/>
          <w:numId w:val="3"/>
        </w:numPr>
        <w:rPr>
          <w:rFonts w:ascii="Arial" w:cs="Arial" w:eastAsia="Arial" w:hAnsi="Arial"/>
          <w:sz w:val="18"/>
          <w:szCs w:val="18"/>
          <w:color w:val="auto"/>
        </w:rPr>
      </w:pPr>
      <w:r>
        <w:rPr>
          <w:rFonts w:ascii="Arial" w:cs="Arial" w:eastAsia="Arial" w:hAnsi="Arial"/>
          <w:sz w:val="18"/>
          <w:szCs w:val="18"/>
          <w:color w:val="auto"/>
        </w:rPr>
        <w:t>Stephanie Y. Jones</w:t>
      </w:r>
    </w:p>
    <w:p>
      <w:pPr>
        <w:spacing w:after="0" w:line="225" w:lineRule="exact"/>
        <w:rPr>
          <w:rFonts w:ascii="Arial" w:cs="Arial" w:eastAsia="Arial" w:hAnsi="Arial"/>
          <w:sz w:val="18"/>
          <w:szCs w:val="18"/>
          <w:color w:val="auto"/>
        </w:rPr>
      </w:pPr>
    </w:p>
    <w:p>
      <w:pPr>
        <w:ind w:left="2320" w:hanging="259"/>
        <w:spacing w:after="0"/>
        <w:tabs>
          <w:tab w:leader="none" w:pos="2320" w:val="left"/>
        </w:tabs>
        <w:numPr>
          <w:ilvl w:val="2"/>
          <w:numId w:val="3"/>
        </w:numPr>
        <w:rPr>
          <w:rFonts w:ascii="Arial" w:cs="Arial" w:eastAsia="Arial" w:hAnsi="Arial"/>
          <w:sz w:val="18"/>
          <w:szCs w:val="18"/>
          <w:color w:val="auto"/>
        </w:rPr>
      </w:pPr>
      <w:r>
        <w:rPr>
          <w:rFonts w:ascii="Arial" w:cs="Arial" w:eastAsia="Arial" w:hAnsi="Arial"/>
          <w:sz w:val="18"/>
          <w:szCs w:val="18"/>
          <w:color w:val="auto"/>
        </w:rPr>
        <w:t>Matthew L. Jones</w:t>
      </w:r>
    </w:p>
    <w:p>
      <w:pPr>
        <w:spacing w:after="0" w:line="225" w:lineRule="exact"/>
        <w:rPr>
          <w:rFonts w:ascii="Arial" w:cs="Arial" w:eastAsia="Arial" w:hAnsi="Arial"/>
          <w:sz w:val="18"/>
          <w:szCs w:val="18"/>
          <w:color w:val="auto"/>
        </w:rPr>
      </w:pPr>
    </w:p>
    <w:p>
      <w:pPr>
        <w:ind w:left="1420" w:hanging="800"/>
        <w:spacing w:after="0"/>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Certification under Section 906 of the Sarbanes-Oxley Act (18 U.S.C. Section 1350)</w:t>
      </w:r>
    </w:p>
    <w:p>
      <w:pPr>
        <w:spacing w:after="0" w:line="225" w:lineRule="exact"/>
        <w:rPr>
          <w:rFonts w:ascii="Arial" w:cs="Arial" w:eastAsia="Arial" w:hAnsi="Arial"/>
          <w:sz w:val="18"/>
          <w:szCs w:val="18"/>
          <w:color w:val="auto"/>
        </w:rPr>
      </w:pPr>
    </w:p>
    <w:p>
      <w:pPr>
        <w:ind w:right="120"/>
        <w:spacing w:after="0" w:line="277" w:lineRule="auto"/>
        <w:rPr>
          <w:rFonts w:ascii="Arial" w:cs="Arial" w:eastAsia="Arial" w:hAnsi="Arial"/>
          <w:sz w:val="18"/>
          <w:szCs w:val="18"/>
          <w:color w:val="auto"/>
        </w:rPr>
      </w:pPr>
      <w:r>
        <w:rPr>
          <w:rFonts w:ascii="Arial" w:cs="Arial" w:eastAsia="Arial" w:hAnsi="Arial"/>
          <w:sz w:val="18"/>
          <w:szCs w:val="18"/>
          <w:color w:val="auto"/>
        </w:rPr>
        <w:t>* Incorporated by reference herein filed as exhibits to the Company’s Registration Statement on Form SB-2 previously filed with the SEC on September 11, 2007, and subsequent amendments made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4" w:name="page15"/>
    <w:bookmarkEnd w:id="14"/>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Exchange Act of 1934, the Registrant has duly caused this report to be signed on its behalf by the undersigned, thereunto duly authorized.</w:t>
      </w:r>
    </w:p>
    <w:p>
      <w:pPr>
        <w:spacing w:after="0" w:line="19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EXCALIBER ENTERPRISES,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17145</wp:posOffset>
            </wp:positionV>
            <wp:extent cx="57975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97550" cy="17145"/>
                    </a:xfrm>
                    <a:prstGeom prst="rect">
                      <a:avLst/>
                    </a:prstGeom>
                    <a:noFill/>
                  </pic:spPr>
                </pic:pic>
              </a:graphicData>
            </a:graphic>
          </wp:anchor>
        </w:drawing>
      </w:r>
    </w:p>
    <w:p>
      <w:pPr>
        <w:spacing w:after="0" w:line="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(Registrant)</w:t>
      </w:r>
    </w:p>
    <w:p>
      <w:pPr>
        <w:spacing w:after="0" w:line="208" w:lineRule="exact"/>
        <w:rPr>
          <w:sz w:val="20"/>
          <w:szCs w:val="20"/>
          <w:color w:val="auto"/>
        </w:rPr>
      </w:pPr>
    </w:p>
    <w:tbl>
      <w:tblPr>
        <w:tblLayout w:type="fixed"/>
        <w:tblInd w:w="188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Signature</w:t>
            </w:r>
          </w:p>
        </w:tc>
        <w:tc>
          <w:tcPr>
            <w:tcW w:w="440" w:type="dxa"/>
            <w:vAlign w:val="bottom"/>
            <w:gridSpan w:val="2"/>
          </w:tcPr>
          <w:p>
            <w:pPr>
              <w:spacing w:after="0"/>
              <w:rPr>
                <w:sz w:val="17"/>
                <w:szCs w:val="17"/>
                <w:color w:val="auto"/>
              </w:rPr>
            </w:pPr>
          </w:p>
        </w:tc>
        <w:tc>
          <w:tcPr>
            <w:tcW w:w="2080" w:type="dxa"/>
            <w:vAlign w:val="bottom"/>
          </w:tcPr>
          <w:p>
            <w:pPr>
              <w:spacing w:after="0"/>
              <w:rPr>
                <w:sz w:val="17"/>
                <w:szCs w:val="17"/>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Title</w:t>
            </w: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2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Date</w:t>
            </w: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158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87"/>
              </w:rPr>
              <w:t>/s/ Stephanie Y. Jones</w:t>
            </w:r>
          </w:p>
        </w:tc>
        <w:tc>
          <w:tcPr>
            <w:tcW w:w="3960" w:type="dxa"/>
            <w:vAlign w:val="bottom"/>
            <w:gridSpan w:val="3"/>
          </w:tcPr>
          <w:p>
            <w:pPr>
              <w:jc w:val="center"/>
              <w:ind w:left="450"/>
              <w:spacing w:after="0"/>
              <w:rPr>
                <w:sz w:val="20"/>
                <w:szCs w:val="20"/>
                <w:color w:val="auto"/>
              </w:rPr>
            </w:pPr>
            <w:r>
              <w:rPr>
                <w:rFonts w:ascii="Arial" w:cs="Arial" w:eastAsia="Arial" w:hAnsi="Arial"/>
                <w:sz w:val="18"/>
                <w:szCs w:val="18"/>
                <w:color w:val="auto"/>
                <w:w w:val="88"/>
              </w:rPr>
              <w:t>President and</w:t>
            </w:r>
          </w:p>
        </w:tc>
        <w:tc>
          <w:tcPr>
            <w:tcW w:w="1880" w:type="dxa"/>
            <w:vAlign w:val="bottom"/>
            <w:gridSpan w:val="3"/>
          </w:tcPr>
          <w:p>
            <w:pPr>
              <w:jc w:val="center"/>
              <w:ind w:left="690"/>
              <w:spacing w:after="0"/>
              <w:rPr>
                <w:sz w:val="20"/>
                <w:szCs w:val="20"/>
                <w:color w:val="auto"/>
              </w:rPr>
            </w:pPr>
            <w:r>
              <w:rPr>
                <w:rFonts w:ascii="Arial" w:cs="Arial" w:eastAsia="Arial" w:hAnsi="Arial"/>
                <w:sz w:val="18"/>
                <w:szCs w:val="18"/>
                <w:color w:val="auto"/>
                <w:w w:val="90"/>
              </w:rPr>
              <w:t>August 6, 2010</w:t>
            </w:r>
          </w:p>
        </w:tc>
      </w:tr>
      <w:tr>
        <w:trPr>
          <w:trHeight w:val="237"/>
        </w:trPr>
        <w:tc>
          <w:tcPr>
            <w:tcW w:w="40" w:type="dxa"/>
            <w:vAlign w:val="bottom"/>
          </w:tcPr>
          <w:p>
            <w:pPr>
              <w:spacing w:after="0"/>
              <w:rPr>
                <w:sz w:val="20"/>
                <w:szCs w:val="20"/>
                <w:color w:val="auto"/>
              </w:rPr>
            </w:pPr>
          </w:p>
        </w:tc>
        <w:tc>
          <w:tcPr>
            <w:tcW w:w="1540" w:type="dxa"/>
            <w:vAlign w:val="bottom"/>
            <w:gridSpan w:val="4"/>
          </w:tcPr>
          <w:p>
            <w:pPr>
              <w:jc w:val="center"/>
              <w:ind w:right="40"/>
              <w:spacing w:after="0"/>
              <w:rPr>
                <w:sz w:val="20"/>
                <w:szCs w:val="20"/>
                <w:color w:val="auto"/>
              </w:rPr>
            </w:pPr>
            <w:r>
              <w:rPr>
                <w:rFonts w:ascii="Arial" w:cs="Arial" w:eastAsia="Arial" w:hAnsi="Arial"/>
                <w:sz w:val="18"/>
                <w:szCs w:val="18"/>
                <w:color w:val="auto"/>
                <w:w w:val="85"/>
              </w:rPr>
              <w:t>Stephanie Y. Jones</w:t>
            </w:r>
          </w:p>
        </w:tc>
        <w:tc>
          <w:tcPr>
            <w:tcW w:w="3960" w:type="dxa"/>
            <w:vAlign w:val="bottom"/>
            <w:gridSpan w:val="3"/>
          </w:tcPr>
          <w:p>
            <w:pPr>
              <w:jc w:val="center"/>
              <w:ind w:left="450"/>
              <w:spacing w:after="0"/>
              <w:rPr>
                <w:sz w:val="20"/>
                <w:szCs w:val="20"/>
                <w:color w:val="auto"/>
              </w:rPr>
            </w:pPr>
            <w:r>
              <w:rPr>
                <w:rFonts w:ascii="Arial" w:cs="Arial" w:eastAsia="Arial" w:hAnsi="Arial"/>
                <w:sz w:val="18"/>
                <w:szCs w:val="18"/>
                <w:color w:val="auto"/>
                <w:w w:val="95"/>
              </w:rPr>
              <w:t>Chief Executive Officer</w:t>
            </w: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392"/>
        </w:trPr>
        <w:tc>
          <w:tcPr>
            <w:tcW w:w="1580" w:type="dxa"/>
            <w:vAlign w:val="bottom"/>
            <w:gridSpan w:val="5"/>
          </w:tcPr>
          <w:p>
            <w:pPr>
              <w:jc w:val="center"/>
              <w:spacing w:after="0"/>
              <w:rPr>
                <w:sz w:val="20"/>
                <w:szCs w:val="20"/>
                <w:color w:val="auto"/>
              </w:rPr>
            </w:pPr>
            <w:r>
              <w:rPr>
                <w:rFonts w:ascii="Arial" w:cs="Arial" w:eastAsia="Arial" w:hAnsi="Arial"/>
                <w:sz w:val="18"/>
                <w:szCs w:val="18"/>
                <w:color w:val="auto"/>
                <w:w w:val="90"/>
              </w:rPr>
              <w:t>/s/ Matthew L. Jones</w:t>
            </w:r>
          </w:p>
        </w:tc>
        <w:tc>
          <w:tcPr>
            <w:tcW w:w="3960" w:type="dxa"/>
            <w:vAlign w:val="bottom"/>
            <w:gridSpan w:val="3"/>
          </w:tcPr>
          <w:p>
            <w:pPr>
              <w:jc w:val="center"/>
              <w:ind w:left="430"/>
              <w:spacing w:after="0"/>
              <w:rPr>
                <w:sz w:val="20"/>
                <w:szCs w:val="20"/>
                <w:color w:val="auto"/>
              </w:rPr>
            </w:pPr>
            <w:r>
              <w:rPr>
                <w:rFonts w:ascii="Arial" w:cs="Arial" w:eastAsia="Arial" w:hAnsi="Arial"/>
                <w:sz w:val="18"/>
                <w:szCs w:val="18"/>
                <w:color w:val="auto"/>
                <w:w w:val="94"/>
              </w:rPr>
              <w:t>Chief Financial Officer</w:t>
            </w:r>
          </w:p>
        </w:tc>
        <w:tc>
          <w:tcPr>
            <w:tcW w:w="1880" w:type="dxa"/>
            <w:vAlign w:val="bottom"/>
            <w:gridSpan w:val="3"/>
          </w:tcPr>
          <w:p>
            <w:pPr>
              <w:jc w:val="center"/>
              <w:ind w:left="690"/>
              <w:spacing w:after="0"/>
              <w:rPr>
                <w:sz w:val="20"/>
                <w:szCs w:val="20"/>
                <w:color w:val="auto"/>
              </w:rPr>
            </w:pPr>
            <w:r>
              <w:rPr>
                <w:rFonts w:ascii="Arial" w:cs="Arial" w:eastAsia="Arial" w:hAnsi="Arial"/>
                <w:sz w:val="18"/>
                <w:szCs w:val="18"/>
                <w:color w:val="auto"/>
                <w:w w:val="90"/>
              </w:rPr>
              <w:t>August 6, 2010</w:t>
            </w:r>
          </w:p>
        </w:tc>
      </w:tr>
      <w:tr>
        <w:trPr>
          <w:trHeight w:val="237"/>
        </w:trPr>
        <w:tc>
          <w:tcPr>
            <w:tcW w:w="40" w:type="dxa"/>
            <w:vAlign w:val="bottom"/>
          </w:tcPr>
          <w:p>
            <w:pPr>
              <w:spacing w:after="0"/>
              <w:rPr>
                <w:sz w:val="20"/>
                <w:szCs w:val="20"/>
                <w:color w:val="auto"/>
              </w:rPr>
            </w:pPr>
          </w:p>
        </w:tc>
        <w:tc>
          <w:tcPr>
            <w:tcW w:w="150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Matthew L. Jones</w:t>
            </w:r>
          </w:p>
        </w:tc>
        <w:tc>
          <w:tcPr>
            <w:tcW w:w="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392"/>
        </w:trPr>
        <w:tc>
          <w:tcPr>
            <w:tcW w:w="1580" w:type="dxa"/>
            <w:vAlign w:val="bottom"/>
            <w:gridSpan w:val="5"/>
          </w:tcPr>
          <w:p>
            <w:pPr>
              <w:jc w:val="center"/>
              <w:spacing w:after="0"/>
              <w:rPr>
                <w:sz w:val="20"/>
                <w:szCs w:val="20"/>
                <w:color w:val="auto"/>
              </w:rPr>
            </w:pPr>
            <w:r>
              <w:rPr>
                <w:rFonts w:ascii="Arial" w:cs="Arial" w:eastAsia="Arial" w:hAnsi="Arial"/>
                <w:sz w:val="18"/>
                <w:szCs w:val="18"/>
                <w:color w:val="auto"/>
                <w:w w:val="90"/>
              </w:rPr>
              <w:t>/s/ Matthew L. Jones</w:t>
            </w:r>
          </w:p>
        </w:tc>
        <w:tc>
          <w:tcPr>
            <w:tcW w:w="3960" w:type="dxa"/>
            <w:vAlign w:val="bottom"/>
            <w:gridSpan w:val="3"/>
          </w:tcPr>
          <w:p>
            <w:pPr>
              <w:jc w:val="center"/>
              <w:ind w:left="450"/>
              <w:spacing w:after="0"/>
              <w:rPr>
                <w:sz w:val="20"/>
                <w:szCs w:val="20"/>
                <w:color w:val="auto"/>
              </w:rPr>
            </w:pPr>
            <w:r>
              <w:rPr>
                <w:rFonts w:ascii="Arial" w:cs="Arial" w:eastAsia="Arial" w:hAnsi="Arial"/>
                <w:sz w:val="18"/>
                <w:szCs w:val="18"/>
                <w:color w:val="auto"/>
                <w:w w:val="95"/>
              </w:rPr>
              <w:t>Chief Accounting Officer</w:t>
            </w:r>
          </w:p>
        </w:tc>
        <w:tc>
          <w:tcPr>
            <w:tcW w:w="1880" w:type="dxa"/>
            <w:vAlign w:val="bottom"/>
            <w:gridSpan w:val="3"/>
          </w:tcPr>
          <w:p>
            <w:pPr>
              <w:jc w:val="center"/>
              <w:ind w:left="690"/>
              <w:spacing w:after="0"/>
              <w:rPr>
                <w:sz w:val="20"/>
                <w:szCs w:val="20"/>
                <w:color w:val="auto"/>
              </w:rPr>
            </w:pPr>
            <w:r>
              <w:rPr>
                <w:rFonts w:ascii="Arial" w:cs="Arial" w:eastAsia="Arial" w:hAnsi="Arial"/>
                <w:sz w:val="18"/>
                <w:szCs w:val="18"/>
                <w:color w:val="auto"/>
                <w:w w:val="90"/>
              </w:rPr>
              <w:t>August 6, 2010</w:t>
            </w:r>
          </w:p>
        </w:tc>
      </w:tr>
      <w:tr>
        <w:trPr>
          <w:trHeight w:val="237"/>
        </w:trPr>
        <w:tc>
          <w:tcPr>
            <w:tcW w:w="40" w:type="dxa"/>
            <w:vAlign w:val="bottom"/>
          </w:tcPr>
          <w:p>
            <w:pPr>
              <w:spacing w:after="0"/>
              <w:rPr>
                <w:sz w:val="20"/>
                <w:szCs w:val="20"/>
                <w:color w:val="auto"/>
              </w:rPr>
            </w:pPr>
          </w:p>
        </w:tc>
        <w:tc>
          <w:tcPr>
            <w:tcW w:w="150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Matthew L. Jones</w:t>
            </w:r>
          </w:p>
        </w:tc>
        <w:tc>
          <w:tcPr>
            <w:tcW w:w="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513" w:right="379" w:bottom="1440" w:gutter="0" w:footer="0" w:header="0"/>
        </w:sectPr>
      </w:pPr>
    </w:p>
    <w:bookmarkStart w:id="15" w:name="page16"/>
    <w:bookmarkEnd w:id="1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Stephanie Y. Jones, certify that:</w:t>
      </w:r>
    </w:p>
    <w:p>
      <w:pPr>
        <w:spacing w:after="0" w:line="25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Excaliber Enterprises, Ltd.;</w:t>
      </w:r>
    </w:p>
    <w:p>
      <w:pPr>
        <w:spacing w:after="0" w:line="25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right="20" w:hanging="320"/>
        <w:spacing w:after="0" w:line="277"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Stephanie Y. Jones</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Stephanie Y. Jones</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President and CEO</w:t>
      </w:r>
    </w:p>
    <w:p>
      <w:pPr>
        <w:sectPr>
          <w:pgSz w:w="11900" w:h="16838" w:orient="portrait"/>
          <w:cols w:equalWidth="0" w:num="1">
            <w:col w:w="11420"/>
          </w:cols>
          <w:pgMar w:left="240" w:top="12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Matthew L. Jones, certify that:</w:t>
      </w:r>
    </w:p>
    <w:p>
      <w:pPr>
        <w:spacing w:after="0" w:line="252"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Excaliber Enterprises, Ltd.;</w:t>
      </w:r>
    </w:p>
    <w:p>
      <w:pPr>
        <w:spacing w:after="0" w:line="25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right="20" w:hanging="320"/>
        <w:spacing w:after="0" w:line="277"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Matthew L. Jones</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Matthew L. Jones</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President and CEO</w:t>
      </w:r>
    </w:p>
    <w:p>
      <w:pPr>
        <w:sectPr>
          <w:pgSz w:w="11900" w:h="16838" w:orient="portrait"/>
          <w:cols w:equalWidth="0" w:num="1">
            <w:col w:w="11420"/>
          </w:cols>
          <w:pgMar w:left="240" w:top="121" w:right="2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connection with the quarterly report of Excaliber Enterprises, Ltd. (the "Company") on Form 10-Q for the three months ended June 30, 2010, as filed with the Securities and Exchange Commission on the date hereof (the "Report"), I, Stephanie Y. Jones, acting in the capacity as the Chief Executive Officer of the Company, and I, Matthew L. Jones, acting in the capacity as the Chief Financial Officer of the Company, certify to the best of our knowledge, pursuant to 18 U.S.C. Section 1350, as adopted pursuant to Section 906 of the Sarbanes-Oxley Act of 2002, that:</w:t>
      </w:r>
    </w:p>
    <w:p>
      <w:pPr>
        <w:spacing w:after="0" w:line="198"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Stephanie Y. Jones</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Stephanie Y. Jones</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August 6, 2010</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Matthew L. Jones</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Matthew L. Jones</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August 6, 2010</w:t>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3"/>
      <w:numFmt w:val="bullet"/>
      <w:start w:val="1"/>
    </w:lvl>
    <w:lvl w:ilvl="1">
      <w:lvlJc w:val="left"/>
      <w:lvlText w:val="(%2)"/>
      <w:numFmt w:val="lowerLetter"/>
      <w:start w:val="1"/>
    </w:lvl>
  </w:abstractNum>
  <w:abstractNum w:abstractNumId="2">
    <w:nsid w:val="238E1F29"/>
    <w:multiLevelType w:val="hybridMultilevel"/>
    <w:lvl w:ilvl="0">
      <w:lvlJc w:val="left"/>
      <w:lvlText w:val="*"/>
      <w:numFmt w:val="bullet"/>
      <w:start w:val="1"/>
    </w:lvl>
    <w:lvl w:ilvl="1">
      <w:lvlJc w:val="left"/>
      <w:lvlText w:val="%2"/>
      <w:numFmt w:val="decimal"/>
      <w:start w:val="31"/>
    </w:lvl>
    <w:lvl w:ilvl="2">
      <w:lvlJc w:val="left"/>
      <w:lvlText w:val="(%3)"/>
      <w:numFmt w:val="lowerLetter"/>
      <w:start w:val="1"/>
    </w:lvl>
  </w:abstractNum>
  <w:abstractNum w:abstractNumId="3">
    <w:nsid w:val="46E87CCD"/>
    <w:multiLevelType w:val="hybridMultilevel"/>
    <w:lvl w:ilvl="0">
      <w:lvlJc w:val="left"/>
      <w:lvlText w:val="%1."/>
      <w:numFmt w:val="decimal"/>
      <w:start w:val="1"/>
    </w:lvl>
    <w:lvl w:ilvl="1">
      <w:lvlJc w:val="left"/>
      <w:lvlText w:val="%2."/>
      <w:numFmt w:val="lowerLetter"/>
      <w:start w:val="1"/>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2020-01-30T08:44:52Z</dcterms:created>
  <dcterms:modified xsi:type="dcterms:W3CDTF">2020-01-30T08:44:52Z</dcterms:modified>
</cp:coreProperties>
</file>