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7, 2019</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120"/>
          </w:cols>
          <w:pgMar w:left="240" w:top="1070" w:right="5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2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940"/>
          </w:cols>
          <w:pgMar w:left="240" w:top="1070" w:right="5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120"/>
          </w:cols>
          <w:pgMar w:left="240" w:top="1070" w:right="539" w:bottom="1440" w:gutter="0" w:footer="0" w:header="0"/>
          <w:type w:val="continuous"/>
        </w:sectPr>
      </w:pPr>
    </w:p>
    <w:p>
      <w:pPr>
        <w:spacing w:after="0" w:line="2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38"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218"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1070"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On January 7,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began utilizing a new corporate presentation. A copy of the Corporate Presentation is attached hereto as Exhibit 99.1.</w:t>
      </w:r>
    </w:p>
    <w:p>
      <w:pPr>
        <w:spacing w:after="0" w:line="1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this Current Report on Form 8-K and the exhibit(s) attached hereto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January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Corporate Presentation, dated January 2019</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7838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3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2020-01-10T02:29:34Z</dcterms:created>
  <dcterms:modified xsi:type="dcterms:W3CDTF">2020-01-10T02:29:34Z</dcterms:modified>
</cp:coreProperties>
</file>