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September 26, 2016</w:t>
      </w: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4"/>
              </w:rPr>
              <w:t>NEVADA</w:t>
            </w:r>
          </w:p>
        </w:tc>
        <w:tc>
          <w:tcPr>
            <w:tcW w:w="2600" w:type="dxa"/>
            <w:vAlign w:val="bottom"/>
            <w:gridSpan w:val="5"/>
          </w:tcPr>
          <w:p>
            <w:pPr>
              <w:jc w:val="center"/>
              <w:ind w:left="1392"/>
              <w:spacing w:after="0"/>
              <w:rPr>
                <w:sz w:val="20"/>
                <w:szCs w:val="20"/>
                <w:color w:val="auto"/>
              </w:rPr>
            </w:pPr>
            <w:r>
              <w:rPr>
                <w:rFonts w:ascii="Arial" w:cs="Arial" w:eastAsia="Arial" w:hAnsi="Arial"/>
                <w:sz w:val="18"/>
                <w:szCs w:val="18"/>
                <w:b w:val="1"/>
                <w:bCs w:val="1"/>
                <w:color w:val="auto"/>
                <w:w w:val="88"/>
              </w:rPr>
              <w:t>000-54014</w:t>
            </w: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20-5093315</w:t>
            </w:r>
          </w:p>
        </w:tc>
        <w:tc>
          <w:tcPr>
            <w:tcW w:w="920" w:type="dxa"/>
            <w:vAlign w:val="bottom"/>
          </w:tcPr>
          <w:p>
            <w:pPr>
              <w:spacing w:after="0"/>
              <w:rPr>
                <w:sz w:val="17"/>
                <w:szCs w:val="17"/>
                <w:color w:val="auto"/>
              </w:rPr>
            </w:pP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20" w:type="dxa"/>
            <w:vAlign w:val="bottom"/>
            <w:gridSpan w:val="3"/>
          </w:tcPr>
          <w:p>
            <w:pPr>
              <w:jc w:val="center"/>
              <w:ind w:right="18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60"/>
              <w:spacing w:after="0"/>
              <w:rPr>
                <w:sz w:val="20"/>
                <w:szCs w:val="20"/>
                <w:color w:val="auto"/>
              </w:rPr>
            </w:pPr>
            <w:r>
              <w:rPr>
                <w:rFonts w:ascii="Arial" w:cs="Arial" w:eastAsia="Arial" w:hAnsi="Arial"/>
                <w:sz w:val="18"/>
                <w:szCs w:val="18"/>
                <w:i w:val="1"/>
                <w:iCs w:val="1"/>
                <w:color w:val="auto"/>
                <w:w w:val="89"/>
              </w:rPr>
              <w:t>(Commission File Number)</w:t>
            </w:r>
          </w:p>
        </w:tc>
        <w:tc>
          <w:tcPr>
            <w:tcW w:w="2980" w:type="dxa"/>
            <w:vAlign w:val="bottom"/>
            <w:gridSpan w:val="3"/>
          </w:tcPr>
          <w:p>
            <w:pPr>
              <w:jc w:val="center"/>
              <w:ind w:left="19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353695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706"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On September 26, 2016,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held its Annual Meeting of Stockholders (the “</w:t>
      </w:r>
      <w:r>
        <w:rPr>
          <w:rFonts w:ascii="Arial" w:cs="Arial" w:eastAsia="Arial" w:hAnsi="Arial"/>
          <w:sz w:val="16"/>
          <w:szCs w:val="16"/>
          <w:i w:val="1"/>
          <w:iCs w:val="1"/>
          <w:color w:val="auto"/>
        </w:rPr>
        <w:t>Annual Meeting</w:t>
      </w:r>
      <w:r>
        <w:rPr>
          <w:rFonts w:ascii="Arial" w:cs="Arial" w:eastAsia="Arial" w:hAnsi="Arial"/>
          <w:sz w:val="16"/>
          <w:szCs w:val="16"/>
          <w:color w:val="auto"/>
        </w:rPr>
        <w:t>”), where 4,943,789 shares of the Company’s common stock, 62.02% of the shares issued and outstanding as of the record date for the Annual Meeting, were represented in person or by proxy. All matters voted upon at the Annual Meeting were approved by the Company’s stockholders. The results of the voting are set forth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Proposal No. 1- Election of Directors</w:t>
            </w:r>
          </w:p>
        </w:tc>
        <w:tc>
          <w:tcPr>
            <w:tcW w:w="1220" w:type="dxa"/>
            <w:vAlign w:val="bottom"/>
            <w:gridSpan w:val="3"/>
            <w:vMerge w:val="restart"/>
          </w:tcPr>
          <w:p>
            <w:pPr>
              <w:ind w:left="900"/>
              <w:spacing w:after="0"/>
              <w:rPr>
                <w:sz w:val="20"/>
                <w:szCs w:val="20"/>
                <w:color w:val="auto"/>
              </w:rPr>
            </w:pPr>
            <w:r>
              <w:rPr>
                <w:rFonts w:ascii="Arial" w:cs="Arial" w:eastAsia="Arial" w:hAnsi="Arial"/>
                <w:sz w:val="18"/>
                <w:szCs w:val="18"/>
                <w:color w:val="auto"/>
              </w:rPr>
              <w:t>For</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vMerge w:val="restart"/>
          </w:tcPr>
          <w:p>
            <w:pPr>
              <w:ind w:left="700"/>
              <w:spacing w:after="0"/>
              <w:rPr>
                <w:sz w:val="20"/>
                <w:szCs w:val="20"/>
                <w:color w:val="auto"/>
              </w:rPr>
            </w:pPr>
            <w:r>
              <w:rPr>
                <w:rFonts w:ascii="Arial" w:cs="Arial" w:eastAsia="Arial" w:hAnsi="Arial"/>
                <w:sz w:val="18"/>
                <w:szCs w:val="18"/>
                <w:color w:val="auto"/>
              </w:rPr>
              <w:t>Withheld</w:t>
            </w:r>
          </w:p>
        </w:tc>
        <w:tc>
          <w:tcPr>
            <w:tcW w:w="0" w:type="dxa"/>
            <w:vAlign w:val="bottom"/>
          </w:tcPr>
          <w:p>
            <w:pPr>
              <w:spacing w:after="0"/>
              <w:rPr>
                <w:sz w:val="1"/>
                <w:szCs w:val="1"/>
                <w:color w:val="auto"/>
              </w:rPr>
            </w:pPr>
          </w:p>
        </w:tc>
      </w:tr>
      <w:tr>
        <w:trPr>
          <w:trHeight w:val="225"/>
        </w:trPr>
        <w:tc>
          <w:tcPr>
            <w:tcW w:w="17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Votes</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 Voted</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rPr>
              <w:t>Votes</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 Voted</w:t>
            </w:r>
          </w:p>
        </w:tc>
        <w:tc>
          <w:tcPr>
            <w:tcW w:w="1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Jon S. Saxe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3,491,384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79.95%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875,575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Shawn K. Singh</w:t>
            </w:r>
          </w:p>
        </w:tc>
        <w:tc>
          <w:tcPr>
            <w:tcW w:w="920" w:type="dxa"/>
            <w:vAlign w:val="bottom"/>
          </w:tcPr>
          <w:p>
            <w:pPr>
              <w:jc w:val="right"/>
              <w:spacing w:after="0"/>
              <w:rPr>
                <w:sz w:val="20"/>
                <w:szCs w:val="20"/>
                <w:color w:val="auto"/>
              </w:rPr>
            </w:pPr>
            <w:r>
              <w:rPr>
                <w:rFonts w:ascii="Arial" w:cs="Arial" w:eastAsia="Arial" w:hAnsi="Arial"/>
                <w:sz w:val="18"/>
                <w:szCs w:val="18"/>
                <w:color w:val="auto"/>
              </w:rPr>
              <w:t>3,607,492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82.61%</w:t>
            </w:r>
          </w:p>
        </w:tc>
        <w:tc>
          <w:tcPr>
            <w:tcW w:w="900" w:type="dxa"/>
            <w:vAlign w:val="bottom"/>
          </w:tcPr>
          <w:p>
            <w:pPr>
              <w:jc w:val="right"/>
              <w:spacing w:after="0"/>
              <w:rPr>
                <w:sz w:val="20"/>
                <w:szCs w:val="20"/>
                <w:color w:val="auto"/>
              </w:rPr>
            </w:pPr>
            <w:r>
              <w:rPr>
                <w:rFonts w:ascii="Arial" w:cs="Arial" w:eastAsia="Arial" w:hAnsi="Arial"/>
                <w:sz w:val="18"/>
                <w:szCs w:val="18"/>
                <w:color w:val="auto"/>
              </w:rPr>
              <w:t>759,467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17.39%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4,267,739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Brian J. Underdown</w:t>
            </w:r>
          </w:p>
        </w:tc>
        <w:tc>
          <w:tcPr>
            <w:tcW w:w="920" w:type="dxa"/>
            <w:vAlign w:val="bottom"/>
          </w:tcPr>
          <w:p>
            <w:pPr>
              <w:jc w:val="right"/>
              <w:spacing w:after="0"/>
              <w:rPr>
                <w:sz w:val="20"/>
                <w:szCs w:val="20"/>
                <w:color w:val="auto"/>
              </w:rPr>
            </w:pPr>
            <w:r>
              <w:rPr>
                <w:rFonts w:ascii="Arial" w:cs="Arial" w:eastAsia="Arial" w:hAnsi="Arial"/>
                <w:sz w:val="18"/>
                <w:szCs w:val="18"/>
                <w:color w:val="auto"/>
              </w:rPr>
              <w:t>3,491,384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79.95%</w:t>
            </w:r>
          </w:p>
        </w:tc>
        <w:tc>
          <w:tcPr>
            <w:tcW w:w="900" w:type="dxa"/>
            <w:vAlign w:val="bottom"/>
          </w:tcPr>
          <w:p>
            <w:pPr>
              <w:jc w:val="right"/>
              <w:spacing w:after="0"/>
              <w:rPr>
                <w:sz w:val="20"/>
                <w:szCs w:val="20"/>
                <w:color w:val="auto"/>
              </w:rPr>
            </w:pPr>
            <w:r>
              <w:rPr>
                <w:rFonts w:ascii="Arial" w:cs="Arial" w:eastAsia="Arial" w:hAnsi="Arial"/>
                <w:sz w:val="18"/>
                <w:szCs w:val="18"/>
                <w:color w:val="auto"/>
              </w:rPr>
              <w:t>875,575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Jerry B. Gin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4,366,959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The Company’s Directors are required to be elected by a plurality of the votes cast. Accordingly, each of the nominees named above was elected by the Company’s stockholders to serve on the Board of Directors until the 2017 Annual Meeting of Stockholders, or until their successors are elected and qualified.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2- Approval of Amended and Restated 2016 Equity Incentive Plan</w:t>
      </w:r>
    </w:p>
    <w:p>
      <w:pPr>
        <w:spacing w:after="0" w:line="225" w:lineRule="exact"/>
        <w:rPr>
          <w:sz w:val="20"/>
          <w:szCs w:val="20"/>
          <w:color w:val="auto"/>
        </w:rPr>
      </w:pPr>
    </w:p>
    <w:tbl>
      <w:tblPr>
        <w:tblLayout w:type="fixed"/>
        <w:tblInd w:w="4000" w:type="dxa"/>
        <w:tblCellMar>
          <w:top w:w="0" w:type="dxa"/>
          <w:left w:w="0" w:type="dxa"/>
          <w:bottom w:w="0" w:type="dxa"/>
          <w:right w:w="0" w:type="dxa"/>
        </w:tblCellMar>
      </w:tblPr>
      <w:tr>
        <w:trPr>
          <w:trHeight w:val="231"/>
        </w:trPr>
        <w:tc>
          <w:tcPr>
            <w:tcW w:w="940" w:type="dxa"/>
            <w:vAlign w:val="bottom"/>
          </w:tcPr>
          <w:p>
            <w:pPr>
              <w:spacing w:after="0"/>
              <w:rPr>
                <w:sz w:val="20"/>
                <w:szCs w:val="20"/>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Against</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Abstain</w:t>
            </w:r>
          </w:p>
        </w:tc>
        <w:tc>
          <w:tcPr>
            <w:tcW w:w="140" w:type="dxa"/>
            <w:vAlign w:val="bottom"/>
            <w:gridSpan w:val="2"/>
          </w:tcPr>
          <w:p>
            <w:pPr>
              <w:spacing w:after="0"/>
              <w:rPr>
                <w:sz w:val="20"/>
                <w:szCs w:val="20"/>
                <w:color w:val="auto"/>
              </w:rPr>
            </w:pPr>
          </w:p>
        </w:tc>
      </w:tr>
      <w:tr>
        <w:trPr>
          <w:trHeight w:val="216"/>
        </w:trPr>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Votes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3,484,758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876,208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 Voted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79.90%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bl>
    <w:p>
      <w:pPr>
        <w:spacing w:after="0" w:line="20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vote required to approve this proposal was the affirmative vote of a majority of the votes cast on the proposal. Accordingly, the Company’s Amended and Restated 2016 Equity Incentive Plan was approved, and all issuances thereunder to date were ratified.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3- Advisory Vote to Approve Executive Compensation (“Say-On-Pay Proposal”)</w:t>
      </w:r>
    </w:p>
    <w:p>
      <w:pPr>
        <w:spacing w:after="0" w:line="225" w:lineRule="exact"/>
        <w:rPr>
          <w:sz w:val="20"/>
          <w:szCs w:val="20"/>
          <w:color w:val="auto"/>
        </w:rPr>
      </w:pPr>
    </w:p>
    <w:tbl>
      <w:tblPr>
        <w:tblLayout w:type="fixed"/>
        <w:tblInd w:w="4000" w:type="dxa"/>
        <w:tblCellMar>
          <w:top w:w="0" w:type="dxa"/>
          <w:left w:w="0" w:type="dxa"/>
          <w:bottom w:w="0" w:type="dxa"/>
          <w:right w:w="0" w:type="dxa"/>
        </w:tblCellMar>
      </w:tblPr>
      <w:tr>
        <w:trPr>
          <w:trHeight w:val="231"/>
        </w:trPr>
        <w:tc>
          <w:tcPr>
            <w:tcW w:w="940" w:type="dxa"/>
            <w:vAlign w:val="bottom"/>
          </w:tcPr>
          <w:p>
            <w:pPr>
              <w:spacing w:after="0"/>
              <w:rPr>
                <w:sz w:val="20"/>
                <w:szCs w:val="20"/>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w:t>
            </w:r>
          </w:p>
        </w:tc>
        <w:tc>
          <w:tcPr>
            <w:tcW w:w="1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Against</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Abstain</w:t>
            </w:r>
          </w:p>
        </w:tc>
        <w:tc>
          <w:tcPr>
            <w:tcW w:w="140" w:type="dxa"/>
            <w:vAlign w:val="bottom"/>
            <w:gridSpan w:val="2"/>
          </w:tcPr>
          <w:p>
            <w:pPr>
              <w:spacing w:after="0"/>
              <w:rPr>
                <w:sz w:val="20"/>
                <w:szCs w:val="20"/>
                <w:color w:val="auto"/>
              </w:rPr>
            </w:pPr>
          </w:p>
        </w:tc>
      </w:tr>
      <w:tr>
        <w:trPr>
          <w:trHeight w:val="216"/>
        </w:trPr>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Votes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3,484,502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882,057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 Voted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79.79%</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bl>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vote required to approve this proposal was the affirmative vote of a majority of the votes cast on the proposal. Accordingly, the Company’s stockholders voted, on an advisory basis, in favor of the compensation paid to the Company’s named executive officers, as disclosed in the Executive Compensation section of the Company’s Annual Report on Form 10-K for the year ended March 31, 2016, as well as in the Company’s definitive proxy statement, filed with the Securities and Exchange Commission on August 8, 2016.</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4- Advisory Vote to Approve the Frequency of Advisory Votes on Executive Compensation</w:t>
      </w:r>
    </w:p>
    <w:p>
      <w:pPr>
        <w:spacing w:after="0" w:line="225" w:lineRule="exact"/>
        <w:rPr>
          <w:sz w:val="20"/>
          <w:szCs w:val="20"/>
          <w:color w:val="auto"/>
        </w:rPr>
      </w:pPr>
    </w:p>
    <w:tbl>
      <w:tblPr>
        <w:tblLayout w:type="fixed"/>
        <w:tblInd w:w="2460" w:type="dxa"/>
        <w:tblCellMar>
          <w:top w:w="0" w:type="dxa"/>
          <w:left w:w="0" w:type="dxa"/>
          <w:bottom w:w="0" w:type="dxa"/>
          <w:right w:w="0" w:type="dxa"/>
        </w:tblCellMar>
      </w:tblPr>
      <w:tr>
        <w:trPr>
          <w:trHeight w:val="231"/>
        </w:trPr>
        <w:tc>
          <w:tcPr>
            <w:tcW w:w="1460" w:type="dxa"/>
            <w:vAlign w:val="bottom"/>
          </w:tcPr>
          <w:p>
            <w:pPr>
              <w:spacing w:after="0"/>
              <w:rPr>
                <w:sz w:val="20"/>
                <w:szCs w:val="20"/>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2"/>
              </w:rPr>
              <w:t>Three Years</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Two Years</w:t>
            </w:r>
          </w:p>
        </w:tc>
        <w:tc>
          <w:tcPr>
            <w:tcW w:w="260" w:type="dxa"/>
            <w:vAlign w:val="bottom"/>
          </w:tcPr>
          <w:p>
            <w:pPr>
              <w:spacing w:after="0"/>
              <w:rPr>
                <w:sz w:val="20"/>
                <w:szCs w:val="20"/>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One Year</w:t>
            </w:r>
          </w:p>
        </w:tc>
        <w:tc>
          <w:tcPr>
            <w:tcW w:w="260" w:type="dxa"/>
            <w:vAlign w:val="bottom"/>
          </w:tcPr>
          <w:p>
            <w:pPr>
              <w:spacing w:after="0"/>
              <w:rPr>
                <w:sz w:val="20"/>
                <w:szCs w:val="20"/>
                <w:color w:val="auto"/>
              </w:rPr>
            </w:pPr>
          </w:p>
        </w:tc>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Abstain</w:t>
            </w:r>
          </w:p>
        </w:tc>
        <w:tc>
          <w:tcPr>
            <w:tcW w:w="160" w:type="dxa"/>
            <w:vAlign w:val="bottom"/>
            <w:gridSpan w:val="2"/>
          </w:tcPr>
          <w:p>
            <w:pPr>
              <w:spacing w:after="0"/>
              <w:rPr>
                <w:sz w:val="20"/>
                <w:szCs w:val="20"/>
                <w:color w:val="auto"/>
              </w:rPr>
            </w:pPr>
          </w:p>
        </w:tc>
      </w:tr>
      <w:tr>
        <w:trPr>
          <w:trHeight w:val="216"/>
        </w:trPr>
        <w:tc>
          <w:tcPr>
            <w:tcW w:w="14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Votes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3,028,451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140,360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1,147,822</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50,326</w:t>
            </w:r>
          </w:p>
        </w:tc>
        <w:tc>
          <w:tcPr>
            <w:tcW w:w="20" w:type="dxa"/>
            <w:vAlign w:val="bottom"/>
          </w:tcPr>
          <w:p>
            <w:pPr>
              <w:spacing w:after="0"/>
              <w:rPr>
                <w:sz w:val="18"/>
                <w:szCs w:val="18"/>
                <w:color w:val="auto"/>
              </w:rPr>
            </w:pPr>
          </w:p>
        </w:tc>
      </w:tr>
      <w:tr>
        <w:trPr>
          <w:trHeight w:val="222"/>
        </w:trPr>
        <w:tc>
          <w:tcPr>
            <w:tcW w:w="1460" w:type="dxa"/>
            <w:vAlign w:val="bottom"/>
          </w:tcPr>
          <w:p>
            <w:pPr>
              <w:jc w:val="right"/>
              <w:ind w:right="52"/>
              <w:spacing w:after="0"/>
              <w:rPr>
                <w:sz w:val="20"/>
                <w:szCs w:val="20"/>
                <w:color w:val="auto"/>
              </w:rPr>
            </w:pPr>
            <w:r>
              <w:rPr>
                <w:rFonts w:ascii="Arial" w:cs="Arial" w:eastAsia="Arial" w:hAnsi="Arial"/>
                <w:sz w:val="18"/>
                <w:szCs w:val="18"/>
                <w:color w:val="auto"/>
              </w:rPr>
              <w:t>% Voted</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69.35%</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26.28%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bl>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upon the results of voting on this proposal, and consistent with the Board’s previous recommendation, the Board has determined that the Company’s stockholders will vote on a Say-On-Pay Proposal every three years. The next required vote on the frequency of such Say-On-Pay Proposals will be at the Company’s 2019 Annual Meeting of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No. 5- Ratification of Appointment of Auditors</w:t>
      </w:r>
    </w:p>
    <w:p>
      <w:pPr>
        <w:spacing w:after="0" w:line="225" w:lineRule="exact"/>
        <w:rPr>
          <w:sz w:val="20"/>
          <w:szCs w:val="20"/>
          <w:color w:val="auto"/>
        </w:rPr>
      </w:pPr>
    </w:p>
    <w:tbl>
      <w:tblPr>
        <w:tblLayout w:type="fixed"/>
        <w:tblInd w:w="4000" w:type="dxa"/>
        <w:tblCellMar>
          <w:top w:w="0" w:type="dxa"/>
          <w:left w:w="0" w:type="dxa"/>
          <w:bottom w:w="0" w:type="dxa"/>
          <w:right w:w="0" w:type="dxa"/>
        </w:tblCellMar>
      </w:tblPr>
      <w:tr>
        <w:trPr>
          <w:trHeight w:val="231"/>
        </w:trPr>
        <w:tc>
          <w:tcPr>
            <w:tcW w:w="940" w:type="dxa"/>
            <w:vAlign w:val="bottom"/>
          </w:tcPr>
          <w:p>
            <w:pPr>
              <w:spacing w:after="0"/>
              <w:rPr>
                <w:sz w:val="20"/>
                <w:szCs w:val="20"/>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For</w:t>
            </w:r>
          </w:p>
        </w:tc>
        <w:tc>
          <w:tcPr>
            <w:tcW w:w="160" w:type="dxa"/>
            <w:vAlign w:val="bottom"/>
          </w:tcPr>
          <w:p>
            <w:pPr>
              <w:spacing w:after="0"/>
              <w:rPr>
                <w:sz w:val="20"/>
                <w:szCs w:val="20"/>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Against</w:t>
            </w:r>
          </w:p>
        </w:tc>
        <w:tc>
          <w:tcPr>
            <w:tcW w:w="160" w:type="dxa"/>
            <w:vAlign w:val="bottom"/>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Abstain</w:t>
            </w:r>
          </w:p>
        </w:tc>
        <w:tc>
          <w:tcPr>
            <w:tcW w:w="140" w:type="dxa"/>
            <w:vAlign w:val="bottom"/>
            <w:gridSpan w:val="2"/>
          </w:tcPr>
          <w:p>
            <w:pPr>
              <w:spacing w:after="0"/>
              <w:rPr>
                <w:sz w:val="20"/>
                <w:szCs w:val="20"/>
                <w:color w:val="auto"/>
              </w:rPr>
            </w:pPr>
          </w:p>
        </w:tc>
      </w:tr>
      <w:tr>
        <w:trPr>
          <w:trHeight w:val="216"/>
        </w:trPr>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Votes</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4,943,389</w:t>
            </w:r>
          </w:p>
        </w:tc>
        <w:tc>
          <w:tcPr>
            <w:tcW w:w="7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40" w:type="dxa"/>
            <w:vAlign w:val="bottom"/>
          </w:tcPr>
          <w:p>
            <w:pPr>
              <w:jc w:val="right"/>
              <w:ind w:right="12"/>
              <w:spacing w:after="0"/>
              <w:rPr>
                <w:sz w:val="20"/>
                <w:szCs w:val="20"/>
                <w:color w:val="auto"/>
              </w:rPr>
            </w:pPr>
            <w:r>
              <w:rPr>
                <w:rFonts w:ascii="Arial" w:cs="Arial" w:eastAsia="Arial" w:hAnsi="Arial"/>
                <w:sz w:val="18"/>
                <w:szCs w:val="18"/>
                <w:color w:val="auto"/>
              </w:rPr>
              <w:t>% Voted</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99.99%</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firstLine="648"/>
        <w:spacing w:after="0" w:line="332" w:lineRule="auto"/>
        <w:rPr>
          <w:sz w:val="20"/>
          <w:szCs w:val="20"/>
          <w:color w:val="auto"/>
        </w:rPr>
      </w:pPr>
      <w:r>
        <w:rPr>
          <w:rFonts w:ascii="Arial" w:cs="Arial" w:eastAsia="Arial" w:hAnsi="Arial"/>
          <w:sz w:val="16"/>
          <w:szCs w:val="16"/>
          <w:color w:val="auto"/>
        </w:rPr>
        <w:t>The vote required to approve this proposal was the affirmative vote of a majority of the votes cast on the proposal. Accordingly, the Company’s stockholders ratified the appointment of OUM &amp; Co, LLP as the Company’s independent auditors for the fiscal year ending March 31, 2017.</w:t>
      </w:r>
    </w:p>
    <w:p>
      <w:pPr>
        <w:spacing w:after="0" w:line="139"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For more information about the foregoing proposals, please review the Company’s definitive proxy statement, filed with the Securities and Exchange Commission on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60" w:type="dxa"/>
        <w:tblCellMar>
          <w:top w:w="0" w:type="dxa"/>
          <w:left w:w="0" w:type="dxa"/>
          <w:bottom w:w="0" w:type="dxa"/>
          <w:right w:w="0" w:type="dxa"/>
        </w:tblCellMar>
      </w:tblPr>
      <w:tr>
        <w:trPr>
          <w:trHeight w:val="222"/>
        </w:trPr>
        <w:tc>
          <w:tcPr>
            <w:tcW w:w="3620" w:type="dxa"/>
            <w:vAlign w:val="bottom"/>
          </w:tcPr>
          <w:p>
            <w:pPr>
              <w:spacing w:after="0"/>
              <w:rPr>
                <w:sz w:val="19"/>
                <w:szCs w:val="19"/>
                <w:color w:val="auto"/>
              </w:rPr>
            </w:pPr>
          </w:p>
        </w:tc>
        <w:tc>
          <w:tcPr>
            <w:tcW w:w="4060" w:type="dxa"/>
            <w:vAlign w:val="bottom"/>
            <w:gridSpan w:val="3"/>
          </w:tcPr>
          <w:p>
            <w:pPr>
              <w:ind w:left="1820"/>
              <w:spacing w:after="0"/>
              <w:rPr>
                <w:sz w:val="20"/>
                <w:szCs w:val="20"/>
                <w:color w:val="auto"/>
              </w:rPr>
            </w:pPr>
            <w:r>
              <w:rPr>
                <w:rFonts w:ascii="Arial" w:cs="Arial" w:eastAsia="Arial" w:hAnsi="Arial"/>
                <w:sz w:val="18"/>
                <w:szCs w:val="18"/>
                <w:color w:val="auto"/>
                <w:w w:val="99"/>
              </w:rPr>
              <w:t>VistaGen Therapeutics, Inc.</w:t>
            </w:r>
          </w:p>
        </w:tc>
      </w:tr>
      <w:tr>
        <w:trPr>
          <w:trHeight w:val="394"/>
        </w:trPr>
        <w:tc>
          <w:tcPr>
            <w:tcW w:w="3620" w:type="dxa"/>
            <w:vAlign w:val="bottom"/>
          </w:tcPr>
          <w:p>
            <w:pPr>
              <w:spacing w:after="0"/>
              <w:rPr>
                <w:sz w:val="20"/>
                <w:szCs w:val="20"/>
                <w:color w:val="auto"/>
              </w:rPr>
            </w:pPr>
            <w:r>
              <w:rPr>
                <w:rFonts w:ascii="Arial" w:cs="Arial" w:eastAsia="Arial" w:hAnsi="Arial"/>
                <w:sz w:val="18"/>
                <w:szCs w:val="18"/>
                <w:color w:val="auto"/>
              </w:rPr>
              <w:t>Date: September 27, 2016</w:t>
            </w:r>
          </w:p>
        </w:tc>
        <w:tc>
          <w:tcPr>
            <w:tcW w:w="2380" w:type="dxa"/>
            <w:vAlign w:val="bottom"/>
          </w:tcPr>
          <w:p>
            <w:pPr>
              <w:ind w:left="1820"/>
              <w:spacing w:after="0"/>
              <w:rPr>
                <w:sz w:val="20"/>
                <w:szCs w:val="20"/>
                <w:color w:val="auto"/>
              </w:rPr>
            </w:pPr>
            <w:r>
              <w:rPr>
                <w:rFonts w:ascii="Arial" w:cs="Arial" w:eastAsia="Arial" w:hAnsi="Arial"/>
                <w:sz w:val="18"/>
                <w:szCs w:val="18"/>
                <w:color w:val="auto"/>
              </w:rPr>
              <w:t>By:</w:t>
            </w:r>
          </w:p>
        </w:tc>
        <w:tc>
          <w:tcPr>
            <w:tcW w:w="1680" w:type="dxa"/>
            <w:vAlign w:val="bottom"/>
            <w:gridSpan w:val="2"/>
          </w:tcPr>
          <w:p>
            <w:pPr>
              <w:spacing w:after="0"/>
              <w:rPr>
                <w:sz w:val="20"/>
                <w:szCs w:val="20"/>
                <w:color w:val="auto"/>
              </w:rPr>
            </w:pPr>
            <w:r>
              <w:rPr>
                <w:rFonts w:ascii="Arial" w:cs="Arial" w:eastAsia="Arial" w:hAnsi="Arial"/>
                <w:sz w:val="18"/>
                <w:szCs w:val="18"/>
                <w:i w:val="1"/>
                <w:iCs w:val="1"/>
                <w:color w:val="auto"/>
              </w:rPr>
              <w:t>/s/ Shawn K. Singh</w:t>
            </w:r>
          </w:p>
        </w:tc>
      </w:tr>
      <w:tr>
        <w:trPr>
          <w:trHeight w:val="228"/>
        </w:trPr>
        <w:tc>
          <w:tcPr>
            <w:tcW w:w="3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360" w:type="dxa"/>
            <w:vAlign w:val="bottom"/>
          </w:tcPr>
          <w:p>
            <w:pPr>
              <w:spacing w:after="0"/>
              <w:rPr>
                <w:sz w:val="19"/>
                <w:szCs w:val="19"/>
                <w:color w:val="auto"/>
              </w:rPr>
            </w:pPr>
          </w:p>
        </w:tc>
      </w:tr>
      <w:tr>
        <w:trPr>
          <w:trHeight w:val="222"/>
        </w:trPr>
        <w:tc>
          <w:tcPr>
            <w:tcW w:w="3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0"/>
              </w:rPr>
              <w:t>Chief Executive Officer</w:t>
            </w:r>
          </w:p>
        </w:tc>
      </w:tr>
    </w:tbl>
    <w:p>
      <w:pPr>
        <w:spacing w:after="0" w:line="1" w:lineRule="exact"/>
        <w:rPr>
          <w:sz w:val="20"/>
          <w:szCs w:val="20"/>
          <w:color w:val="auto"/>
        </w:rPr>
      </w:pPr>
    </w:p>
    <w:sectPr>
      <w:pgSz w:w="11900" w:h="16838" w:orient="portrait"/>
      <w:cols w:equalWidth="0" w:num="1">
        <w:col w:w="10680"/>
      </w:cols>
      <w:pgMar w:left="240" w:top="55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2020-01-21T10:29:49Z</dcterms:created>
  <dcterms:modified xsi:type="dcterms:W3CDTF">2020-01-21T10:29:49Z</dcterms:modified>
</cp:coreProperties>
</file>