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orizontalLine"/>
        <w:pBdr>
          <w:bottom w:val="single" w:sz="24" w:space="0" w:color="808080"/>
        </w:pBdr>
        <w:rPr/>
      </w:pPr>
      <w:r>
        <w:rPr/>
      </w:r>
      <w:bookmarkStart w:id="0" w:name="form8k-03132013_090353.htm"/>
      <w:bookmarkStart w:id="1" w:name="ksform8k03132013_090353"/>
      <w:bookmarkStart w:id="2" w:name="form8k-03132013_090353.htm"/>
      <w:bookmarkStart w:id="3" w:name="ksform8k03132013_090353"/>
      <w:bookmarkEnd w:id="2"/>
      <w:bookmarkEnd w:id="3"/>
    </w:p>
    <w:p>
      <w:pPr>
        <w:pStyle w:val="HorizontalLine"/>
        <w:pBdr>
          <w:bottom w:val="single" w:sz="6" w:space="0" w:color="808080"/>
        </w:pBdr>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jc w:val="center"/>
        <w:rPr>
          <w:rFonts w:ascii="Times New Roman" w:hAnsi="Times New Roman"/>
          <w:b/>
          <w:sz w:val="17"/>
        </w:rPr>
      </w:pPr>
      <w:r>
        <w:rPr>
          <w:rFonts w:ascii="Times New Roman" w:hAnsi="Times New Roman"/>
          <w:b/>
          <w:sz w:val="17"/>
        </w:rPr>
        <w:t>UNITED STATES</w:t>
      </w:r>
    </w:p>
    <w:p>
      <w:pPr>
        <w:pStyle w:val="TextBody"/>
        <w:spacing w:before="0" w:after="0"/>
        <w:ind w:left="0" w:right="0" w:hanging="0"/>
        <w:jc w:val="center"/>
        <w:rPr>
          <w:rFonts w:ascii="Times New Roman" w:hAnsi="Times New Roman"/>
          <w:b/>
          <w:sz w:val="17"/>
        </w:rPr>
      </w:pPr>
      <w:r>
        <w:rPr>
          <w:rFonts w:ascii="Times New Roman" w:hAnsi="Times New Roman"/>
          <w:b/>
          <w:sz w:val="17"/>
        </w:rPr>
        <w:t>SECURITIES AND EXCHANGE COMMISSION</w:t>
      </w:r>
    </w:p>
    <w:p>
      <w:pPr>
        <w:pStyle w:val="TextBody"/>
        <w:spacing w:before="0" w:after="0"/>
        <w:ind w:left="0" w:right="0" w:hanging="0"/>
        <w:jc w:val="center"/>
        <w:rPr>
          <w:rFonts w:ascii="Times New Roman" w:hAnsi="Times New Roman"/>
          <w:b/>
          <w:sz w:val="17"/>
        </w:rPr>
      </w:pPr>
      <w:r>
        <w:rPr>
          <w:rFonts w:ascii="Times New Roman" w:hAnsi="Times New Roman"/>
          <w:b/>
          <w:sz w:val="17"/>
        </w:rPr>
        <w:t>Washington, DC 20549</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17"/>
        </w:rPr>
      </w:pPr>
      <w:r>
        <w:rPr>
          <w:rFonts w:ascii="Times New Roman" w:hAnsi="Times New Roman"/>
          <w:b/>
          <w:sz w:val="17"/>
        </w:rPr>
        <w:t>FORM 8-K</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17"/>
        </w:rPr>
      </w:pPr>
      <w:r>
        <w:rPr>
          <w:rFonts w:ascii="Times New Roman" w:hAnsi="Times New Roman"/>
          <w:b/>
          <w:sz w:val="17"/>
        </w:rPr>
        <w:t>CURRENT REPORT</w:t>
      </w:r>
    </w:p>
    <w:p>
      <w:pPr>
        <w:pStyle w:val="TextBody"/>
        <w:spacing w:before="0" w:after="0"/>
        <w:ind w:left="0" w:right="0" w:hanging="0"/>
        <w:jc w:val="center"/>
        <w:rPr>
          <w:rFonts w:ascii="Times New Roman" w:hAnsi="Times New Roman"/>
          <w:b/>
          <w:sz w:val="17"/>
        </w:rPr>
      </w:pPr>
      <w:r>
        <w:rPr>
          <w:rFonts w:ascii="Times New Roman" w:hAnsi="Times New Roman"/>
          <w:b/>
          <w:sz w:val="17"/>
        </w:rPr>
        <w:t>Pursuant to Section 13 or 15(d) of the</w:t>
      </w:r>
    </w:p>
    <w:p>
      <w:pPr>
        <w:pStyle w:val="TextBody"/>
        <w:spacing w:before="0" w:after="0"/>
        <w:ind w:left="0" w:right="0" w:hanging="0"/>
        <w:jc w:val="center"/>
        <w:rPr>
          <w:rFonts w:ascii="Times New Roman" w:hAnsi="Times New Roman"/>
          <w:b/>
          <w:sz w:val="17"/>
        </w:rPr>
      </w:pPr>
      <w:r>
        <w:rPr>
          <w:rFonts w:ascii="Times New Roman" w:hAnsi="Times New Roman"/>
          <w:b/>
          <w:sz w:val="17"/>
        </w:rPr>
        <w:t>Securities Exchange Act of 1934</w:t>
      </w:r>
    </w:p>
    <w:p>
      <w:pPr>
        <w:pStyle w:val="TextBody"/>
        <w:spacing w:before="0" w:after="0"/>
        <w:ind w:left="0" w:right="0" w:hanging="0"/>
        <w:rPr/>
      </w:pPr>
      <w:r>
        <w:rPr/>
      </w:r>
    </w:p>
    <w:p>
      <w:pPr>
        <w:pStyle w:val="TextBody"/>
        <w:spacing w:before="0" w:after="0"/>
        <w:ind w:left="0" w:right="0" w:hanging="0"/>
        <w:jc w:val="center"/>
        <w:rPr/>
      </w:pPr>
      <w:r>
        <w:rPr>
          <w:rFonts w:ascii="Times New Roman" w:hAnsi="Times New Roman"/>
          <w:sz w:val="17"/>
        </w:rPr>
        <w:t>Date of report (Date of earliest event reported):  </w:t>
      </w:r>
      <w:r>
        <w:rPr>
          <w:rFonts w:ascii="Times New Roman" w:hAnsi="Times New Roman"/>
          <w:sz w:val="17"/>
          <w:u w:val="single"/>
        </w:rPr>
        <w:t>March 11, 2013</w:t>
      </w:r>
    </w:p>
    <w:p>
      <w:pPr>
        <w:pStyle w:val="TextBody"/>
        <w:spacing w:before="0" w:after="0"/>
        <w:ind w:left="0" w:right="0" w:hanging="0"/>
        <w:rPr/>
      </w:pPr>
      <w:r>
        <w:rPr/>
      </w:r>
    </w:p>
    <w:p>
      <w:pPr>
        <w:pStyle w:val="TextBody"/>
        <w:spacing w:before="0" w:after="0"/>
        <w:ind w:left="0" w:right="0" w:hanging="0"/>
        <w:jc w:val="center"/>
        <w:rPr/>
      </w:pPr>
      <w:r>
        <w:rPr>
          <w:rFonts w:ascii="Times New Roman" w:hAnsi="Times New Roman"/>
          <w:sz w:val="17"/>
        </w:rPr>
        <w:t>Commission File Number:  </w:t>
      </w:r>
      <w:r>
        <w:rPr>
          <w:rFonts w:ascii="Times New Roman" w:hAnsi="Times New Roman"/>
          <w:sz w:val="17"/>
          <w:u w:val="single"/>
        </w:rPr>
        <w:t xml:space="preserve">000-54014 </w:t>
      </w:r>
    </w:p>
    <w:p>
      <w:pPr>
        <w:pStyle w:val="TextBody"/>
        <w:spacing w:before="0" w:after="0"/>
        <w:ind w:left="0" w:right="0" w:hanging="0"/>
        <w:rPr/>
      </w:pPr>
      <w:r>
        <w:rPr/>
      </w:r>
    </w:p>
    <w:p>
      <w:pPr>
        <w:pStyle w:val="TextBody"/>
        <w:spacing w:before="0" w:after="0"/>
        <w:ind w:left="0" w:right="0" w:hanging="0"/>
        <w:jc w:val="center"/>
        <w:rPr/>
      </w:pPr>
      <w:r>
        <w:rPr>
          <w:rFonts w:ascii="Times New Roman" w:hAnsi="Times New Roman"/>
          <w:b/>
          <w:sz w:val="24"/>
        </w:rPr>
        <w:t>VistaGen Therapeutics, Inc.</w:t>
      </w:r>
      <w:r>
        <w:rPr/>
        <w:br/>
      </w:r>
      <w:r>
        <w:rPr>
          <w:rFonts w:ascii="Times New Roman" w:hAnsi="Times New Roman"/>
          <w:sz w:val="17"/>
        </w:rPr>
        <w:t>(Exact name of small business issuer as specified in its charter)</w:t>
      </w:r>
      <w:r>
        <w:rPr/>
        <w:t xml:space="preserve"> </w:t>
      </w:r>
    </w:p>
    <w:p>
      <w:pPr>
        <w:pStyle w:val="TextBody"/>
        <w:spacing w:before="0" w:after="0"/>
        <w:ind w:left="0" w:right="0" w:hanging="0"/>
        <w:jc w:val="center"/>
        <w:rPr/>
      </w:pPr>
      <w:r>
        <w:rPr/>
      </w:r>
    </w:p>
    <w:p>
      <w:pPr>
        <w:pStyle w:val="TextBody"/>
        <w:spacing w:before="0" w:after="0"/>
        <w:ind w:left="0" w:right="0" w:hanging="0"/>
        <w:jc w:val="center"/>
        <w:rPr/>
      </w:pPr>
      <w:r>
        <w:rPr/>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3175000" cy="296545"/>
                <wp:effectExtent l="0" t="0" r="0" b="0"/>
                <wp:wrapSquare wrapText="largest"/>
                <wp:docPr id="1" name="Frame1"/>
                <a:graphic xmlns:a="http://schemas.openxmlformats.org/drawingml/2006/main">
                  <a:graphicData uri="http://schemas.microsoft.com/office/word/2010/wordprocessingShape">
                    <wps:wsp>
                      <wps:cNvSpPr txBox="1"/>
                      <wps:spPr>
                        <a:xfrm>
                          <a:off x="0" y="0"/>
                          <a:ext cx="3175000" cy="296545"/>
                        </a:xfrm>
                        <a:prstGeom prst="rect"/>
                      </wps:spPr>
                      <wps:txbx>
                        <w:txbxContent>
                          <w:p>
                            <w:pPr>
                              <w:pStyle w:val="TextBody"/>
                              <w:spacing w:before="0" w:after="0"/>
                              <w:ind w:left="0" w:right="0" w:hanging="0"/>
                              <w:jc w:val="center"/>
                              <w:rPr/>
                            </w:pPr>
                            <w:r>
                              <w:rPr>
                                <w:rFonts w:ascii="times new roman" w:hAnsi="times new roman"/>
                                <w:sz w:val="17"/>
                                <w:u w:val="single"/>
                              </w:rPr>
                              <w:t>Nevada</w:t>
                            </w:r>
                            <w:r>
                              <w:rPr/>
                              <w:br/>
                            </w:r>
                            <w:r>
                              <w:rPr>
                                <w:rFonts w:ascii="times new roman" w:hAnsi="times new roman"/>
                                <w:sz w:val="17"/>
                              </w:rPr>
                              <w:t>(State or other jurisdiction of incorporation or organization)</w:t>
                            </w:r>
                            <w:r>
                              <w:rPr/>
                              <w:t xml:space="preserve">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2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ind w:left="0" w:right="0" w:hanging="0"/>
                        <w:jc w:val="center"/>
                        <w:rPr/>
                      </w:pPr>
                      <w:r>
                        <w:rPr>
                          <w:rFonts w:ascii="times new roman" w:hAnsi="times new roman"/>
                          <w:sz w:val="17"/>
                          <w:u w:val="single"/>
                        </w:rPr>
                        <w:t>Nevada</w:t>
                      </w:r>
                      <w:r>
                        <w:rPr/>
                        <w:br/>
                      </w:r>
                      <w:r>
                        <w:rPr>
                          <w:rFonts w:ascii="times new roman" w:hAnsi="times new roman"/>
                          <w:sz w:val="17"/>
                        </w:rPr>
                        <w:t>(State or other jurisdiction of incorporation or organization)</w:t>
                      </w:r>
                      <w:r>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3175000" cy="296545"/>
                <wp:effectExtent l="0" t="0" r="0" b="0"/>
                <wp:wrapSquare wrapText="largest"/>
                <wp:docPr id="2" name="Frame2"/>
                <a:graphic xmlns:a="http://schemas.openxmlformats.org/drawingml/2006/main">
                  <a:graphicData uri="http://schemas.microsoft.com/office/word/2010/wordprocessingShape">
                    <wps:wsp>
                      <wps:cNvSpPr txBox="1"/>
                      <wps:spPr>
                        <a:xfrm>
                          <a:off x="0" y="0"/>
                          <a:ext cx="3175000" cy="296545"/>
                        </a:xfrm>
                        <a:prstGeom prst="rect"/>
                      </wps:spPr>
                      <wps:txbx>
                        <w:txbxContent>
                          <w:p>
                            <w:pPr>
                              <w:pStyle w:val="TextBody"/>
                              <w:spacing w:before="0" w:after="0"/>
                              <w:ind w:left="0" w:right="0" w:hanging="0"/>
                              <w:jc w:val="center"/>
                              <w:rPr/>
                            </w:pPr>
                            <w:r>
                              <w:rPr>
                                <w:rFonts w:ascii="times new roman" w:hAnsi="times new roman"/>
                                <w:sz w:val="17"/>
                                <w:u w:val="single"/>
                              </w:rPr>
                              <w:t>205093315</w:t>
                            </w:r>
                            <w:r>
                              <w:rPr/>
                              <w:br/>
                            </w:r>
                            <w:r>
                              <w:rPr>
                                <w:rFonts w:ascii="times new roman" w:hAnsi="times new roman"/>
                                <w:sz w:val="17"/>
                              </w:rPr>
                              <w:t>(IRS Employer Identification No.)</w:t>
                            </w:r>
                            <w:r>
                              <w:rPr/>
                              <w:t xml:space="preserve">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23.35pt;mso-wrap-distance-left:0pt;mso-wrap-distance-right:0pt;mso-wrap-distance-top:0pt;mso-wrap-distance-bottom:0pt;margin-top:0pt;mso-position-vertical:top;mso-position-vertical-relative:text;margin-left:250pt;mso-position-horizontal:left;mso-position-horizontal-relative:text">
                <v:textbox>
                  <w:txbxContent>
                    <w:p>
                      <w:pPr>
                        <w:pStyle w:val="TextBody"/>
                        <w:spacing w:before="0" w:after="0"/>
                        <w:ind w:left="0" w:right="0" w:hanging="0"/>
                        <w:jc w:val="center"/>
                        <w:rPr/>
                      </w:pPr>
                      <w:r>
                        <w:rPr>
                          <w:rFonts w:ascii="times new roman" w:hAnsi="times new roman"/>
                          <w:sz w:val="17"/>
                          <w:u w:val="single"/>
                        </w:rPr>
                        <w:t>205093315</w:t>
                      </w:r>
                      <w:r>
                        <w:rPr/>
                        <w:br/>
                      </w:r>
                      <w:r>
                        <w:rPr>
                          <w:rFonts w:ascii="times new roman" w:hAnsi="times new roman"/>
                          <w:sz w:val="17"/>
                        </w:rPr>
                        <w:t>(IRS Employer Identification No.)</w:t>
                      </w:r>
                      <w:r>
                        <w:rPr/>
                        <w:t xml:space="preserve"> </w:t>
                      </w:r>
                    </w:p>
                  </w:txbxContent>
                </v:textbox>
                <w10:wrap type="square" side="right"/>
              </v:rect>
            </w:pict>
          </mc:Fallback>
        </mc:AlternateContent>
      </w:r>
    </w:p>
    <w:p>
      <w:pPr>
        <w:pStyle w:val="TextBody"/>
        <w:spacing w:before="0" w:after="0"/>
        <w:ind w:left="0" w:right="0" w:hanging="0"/>
        <w:jc w:val="center"/>
        <w:rPr/>
      </w:pPr>
      <w:r>
        <w:rPr/>
      </w:r>
    </w:p>
    <w:p>
      <w:pPr>
        <w:pStyle w:val="TextBody"/>
        <w:spacing w:before="0" w:after="0"/>
        <w:ind w:left="0" w:right="0" w:hanging="0"/>
        <w:jc w:val="center"/>
        <w:rPr/>
      </w:pPr>
      <w:r>
        <w:rPr/>
      </w:r>
    </w:p>
    <w:p>
      <w:pPr>
        <w:pStyle w:val="TextBody"/>
        <w:spacing w:before="0" w:after="0"/>
        <w:ind w:left="0" w:right="0" w:hanging="0"/>
        <w:jc w:val="center"/>
        <w:rPr/>
      </w:pPr>
      <w:r>
        <w:rPr>
          <w:rFonts w:ascii="times new roman" w:hAnsi="times new roman"/>
          <w:sz w:val="17"/>
          <w:u w:val="single"/>
        </w:rPr>
        <w:t>384 Oyster Point Blvd, No. 8, South San Francisco, California 94080</w:t>
      </w:r>
      <w:r>
        <w:rPr/>
        <w:br/>
      </w:r>
      <w:r>
        <w:rPr>
          <w:rFonts w:ascii="Times New Roman" w:hAnsi="Times New Roman"/>
          <w:sz w:val="17"/>
        </w:rPr>
        <w:t>(Address of principal executive offices)</w:t>
      </w:r>
      <w:r>
        <w:rPr/>
        <w:t xml:space="preserve"> </w:t>
      </w:r>
    </w:p>
    <w:p>
      <w:pPr>
        <w:pStyle w:val="TextBody"/>
        <w:spacing w:before="0" w:after="0"/>
        <w:ind w:left="0" w:right="0" w:hanging="0"/>
        <w:jc w:val="center"/>
        <w:rPr/>
      </w:pPr>
      <w:r>
        <w:rPr/>
      </w:r>
    </w:p>
    <w:p>
      <w:pPr>
        <w:pStyle w:val="TextBody"/>
        <w:spacing w:before="0" w:after="0"/>
        <w:ind w:left="0" w:right="0" w:hanging="0"/>
        <w:jc w:val="center"/>
        <w:rPr/>
      </w:pPr>
      <w:r>
        <w:rPr>
          <w:rFonts w:ascii="times new roman" w:hAnsi="times new roman"/>
          <w:sz w:val="17"/>
          <w:u w:val="single"/>
        </w:rPr>
        <w:t>650-244-9990</w:t>
      </w:r>
      <w:r>
        <w:rPr/>
        <w:br/>
      </w:r>
      <w:r>
        <w:rPr>
          <w:rFonts w:ascii="Times New Roman" w:hAnsi="Times New Roman"/>
          <w:sz w:val="17"/>
        </w:rPr>
        <w:t>(Registrant's Telephone number)</w:t>
      </w:r>
      <w:r>
        <w:rPr/>
        <w:t xml:space="preserve"> </w:t>
      </w:r>
    </w:p>
    <w:p>
      <w:pPr>
        <w:pStyle w:val="TextBody"/>
        <w:spacing w:before="0" w:after="0"/>
        <w:ind w:left="0" w:right="0" w:hanging="0"/>
        <w:jc w:val="center"/>
        <w:rPr/>
      </w:pPr>
      <w:r>
        <w:rPr/>
      </w:r>
    </w:p>
    <w:p>
      <w:pPr>
        <w:pStyle w:val="TextBody"/>
        <w:spacing w:before="0" w:after="0"/>
        <w:ind w:left="0" w:right="0" w:hanging="0"/>
        <w:jc w:val="center"/>
        <w:rPr/>
      </w:pPr>
      <w:r>
        <w:rPr>
          <w:rFonts w:ascii="Times New Roman" w:hAnsi="Times New Roman"/>
          <w:sz w:val="17"/>
          <w:u w:val="single"/>
        </w:rPr>
        <w:t>Not Applicable</w:t>
      </w:r>
      <w:r>
        <w:rPr/>
        <w:br/>
      </w:r>
      <w:r>
        <w:rPr>
          <w:rFonts w:ascii="Times New Roman" w:hAnsi="Times New Roman"/>
          <w:sz w:val="17"/>
        </w:rPr>
        <w:t>(Former Name or Former Address, if Changed Since Last Report)</w:t>
      </w:r>
      <w:r>
        <w:rPr/>
        <w:t xml:space="preserve"> </w:t>
      </w:r>
    </w:p>
    <w:p>
      <w:pPr>
        <w:pStyle w:val="TextBody"/>
        <w:spacing w:before="0" w:after="0"/>
        <w:ind w:left="0" w:right="0" w:hanging="0"/>
        <w:jc w:val="center"/>
        <w:rPr/>
      </w:pPr>
      <w:r>
        <w:rPr/>
      </w:r>
    </w:p>
    <w:p>
      <w:pPr>
        <w:pStyle w:val="TextBody"/>
        <w:spacing w:before="0" w:after="0"/>
        <w:ind w:left="0" w:right="0" w:hanging="0"/>
        <w:jc w:val="center"/>
        <w:rPr/>
      </w:pPr>
      <w:r>
        <w:rPr/>
      </w:r>
    </w:p>
    <w:p>
      <w:pPr>
        <w:pStyle w:val="TextBody"/>
        <w:spacing w:before="0" w:after="0"/>
        <w:ind w:left="0" w:right="0" w:hanging="0"/>
        <w:jc w:val="both"/>
        <w:rPr/>
      </w:pPr>
      <w:r>
        <w:rPr>
          <w:rFonts w:ascii="Times New Roman" w:hAnsi="Times New Roman"/>
          <w:sz w:val="17"/>
        </w:rPr>
        <w:t>Check the appropriate box below if the Form 8-K filing is intended to simultaneously satisfy the filing obligation of the registrant under any of the following provisions (see General Instruction A.2. below):</w:t>
      </w:r>
      <w:r>
        <w:rPr/>
        <w:t xml:space="preserve"> </w:t>
      </w:r>
    </w:p>
    <w:p>
      <w:pPr>
        <w:pStyle w:val="TextBody"/>
        <w:spacing w:before="0" w:after="0"/>
        <w:ind w:left="0" w:right="0" w:hanging="0"/>
        <w:jc w:val="center"/>
        <w:rPr/>
      </w:pPr>
      <w:r>
        <w:rPr/>
      </w:r>
    </w:p>
    <w:p>
      <w:pPr>
        <w:pStyle w:val="TextBody"/>
        <w:spacing w:before="0" w:after="0"/>
        <w:ind w:left="0" w:right="0" w:hanging="0"/>
        <w:jc w:val="left"/>
        <w:rPr>
          <w:rFonts w:ascii="Times New Roman" w:hAnsi="Times New Roman"/>
          <w:sz w:val="17"/>
        </w:rPr>
      </w:pPr>
      <w:r>
        <w:rPr>
          <w:rFonts w:ascii="Times New Roman" w:hAnsi="Times New Roman"/>
          <w:sz w:val="17"/>
        </w:rPr>
        <w:t>[ ] Written communications pursuant to Rule 425 under the Securities Act (17 CFR 230.425)</w:t>
      </w:r>
    </w:p>
    <w:p>
      <w:pPr>
        <w:pStyle w:val="TextBody"/>
        <w:spacing w:before="0" w:after="0"/>
        <w:ind w:left="0" w:right="0" w:hanging="0"/>
        <w:jc w:val="center"/>
        <w:rPr/>
      </w:pPr>
      <w:r>
        <w:rPr/>
      </w:r>
    </w:p>
    <w:p>
      <w:pPr>
        <w:pStyle w:val="TextBody"/>
        <w:spacing w:before="0" w:after="0"/>
        <w:ind w:left="0" w:right="0" w:hanging="0"/>
        <w:jc w:val="left"/>
        <w:rPr>
          <w:rFonts w:ascii="Times New Roman" w:hAnsi="Times New Roman"/>
          <w:sz w:val="17"/>
        </w:rPr>
      </w:pPr>
      <w:r>
        <w:rPr>
          <w:rFonts w:ascii="Times New Roman" w:hAnsi="Times New Roman"/>
          <w:sz w:val="17"/>
        </w:rPr>
        <w:t>[ ] Soliciting material pursuant to Rule 14a-12 under the Exchange Act (17 CFR 240.14a-12)</w:t>
      </w:r>
    </w:p>
    <w:p>
      <w:pPr>
        <w:pStyle w:val="TextBody"/>
        <w:spacing w:before="0" w:after="0"/>
        <w:ind w:left="0" w:right="0" w:hanging="0"/>
        <w:jc w:val="center"/>
        <w:rPr/>
      </w:pPr>
      <w:r>
        <w:rPr/>
      </w:r>
    </w:p>
    <w:p>
      <w:pPr>
        <w:pStyle w:val="TextBody"/>
        <w:spacing w:before="0" w:after="0"/>
        <w:ind w:left="0" w:right="0" w:hanging="0"/>
        <w:jc w:val="left"/>
        <w:rPr>
          <w:rFonts w:ascii="Times New Roman" w:hAnsi="Times New Roman"/>
          <w:sz w:val="17"/>
        </w:rPr>
      </w:pPr>
      <w:r>
        <w:rPr>
          <w:rFonts w:ascii="Times New Roman" w:hAnsi="Times New Roman"/>
          <w:sz w:val="17"/>
        </w:rPr>
        <w:t>[ ] Pre-commencement communications pursuant to Rule 14d-2(b) under the Exchange Act (17 CFR 240.14d-2(b))</w:t>
      </w:r>
    </w:p>
    <w:p>
      <w:pPr>
        <w:pStyle w:val="TextBody"/>
        <w:spacing w:before="0" w:after="0"/>
        <w:ind w:left="0" w:right="0" w:hanging="0"/>
        <w:jc w:val="center"/>
        <w:rPr/>
      </w:pPr>
      <w:r>
        <w:rPr/>
      </w:r>
    </w:p>
    <w:p>
      <w:pPr>
        <w:pStyle w:val="TextBody"/>
        <w:spacing w:before="0" w:after="0"/>
        <w:ind w:left="0" w:right="0" w:hanging="0"/>
        <w:jc w:val="left"/>
        <w:rPr>
          <w:rFonts w:ascii="Times New Roman" w:hAnsi="Times New Roman"/>
          <w:sz w:val="17"/>
        </w:rPr>
      </w:pPr>
      <w:r>
        <w:rPr>
          <w:rFonts w:ascii="Times New Roman" w:hAnsi="Times New Roman"/>
          <w:sz w:val="17"/>
        </w:rPr>
        <w:t>[ ] Pre-commencement communications pursuant to Rule 13e-4(c) under the Exchange Act (17 CFR 240.13e-4(c))</w:t>
      </w:r>
    </w:p>
    <w:p>
      <w:pPr>
        <w:pStyle w:val="TextBody"/>
        <w:spacing w:before="0" w:after="0"/>
        <w:jc w:val="center"/>
        <w:rPr/>
      </w:pPr>
      <w:r>
        <w:rPr/>
      </w:r>
    </w:p>
    <w:p>
      <w:pPr>
        <w:pStyle w:val="HorizontalLine"/>
        <w:pBdr>
          <w:bottom w:val="single" w:sz="6" w:space="0" w:color="808080"/>
        </w:pBdr>
        <w:jc w:val="center"/>
        <w:rPr/>
      </w:pPr>
      <w:r>
        <w:rPr/>
      </w:r>
    </w:p>
    <w:p>
      <w:pPr>
        <w:pStyle w:val="HorizontalLine"/>
        <w:pBdr>
          <w:bottom w:val="single" w:sz="24" w:space="0" w:color="808080"/>
        </w:pBdr>
        <w:jc w:val="center"/>
        <w:rPr/>
      </w:pPr>
      <w:r>
        <w:rPr/>
      </w:r>
      <w:r>
        <w:br w:type="page"/>
      </w:r>
    </w:p>
    <w:p>
      <w:pPr>
        <w:pStyle w:val="TextBody"/>
        <w:jc w:val="left"/>
        <w:rPr>
          <w:rFonts w:ascii="Times New Roman" w:hAnsi="Times New Roman"/>
          <w:b/>
          <w:sz w:val="17"/>
        </w:rPr>
      </w:pPr>
      <w:r>
        <w:rPr>
          <w:rFonts w:ascii="Times New Roman" w:hAnsi="Times New Roman"/>
          <w:b/>
          <w:sz w:val="17"/>
        </w:rPr>
        <w:t>Item 2.03 Creation of a Direct Financial Obligation or an Obligation Under an Off-Balance Sheet Arrangement of a Registrant.</w:t>
      </w:r>
    </w:p>
    <w:p>
      <w:pPr>
        <w:pStyle w:val="TextBody"/>
        <w:jc w:val="left"/>
        <w:rPr>
          <w:rFonts w:ascii="Times New Roman" w:hAnsi="Times New Roman"/>
          <w:sz w:val="17"/>
        </w:rPr>
      </w:pPr>
      <w:r>
        <w:rPr>
          <w:rFonts w:ascii="Times New Roman" w:hAnsi="Times New Roman"/>
          <w:sz w:val="17"/>
        </w:rPr>
        <w:t>On March 12, 2013, VistaGen Therapeutics, Inc., a Nevada corporation (the "Company"), issued to Platinum Long Term Growth VII, LLC ("Platinum") a senior secured convertible promissory note in the principal amount of $750,000 (the "Investment Note"), and a warrant to purchase 750,000 shares of the Company's common stock at a price of $1.50 per share over a five year term (the "Investment Warrant"), each in accordance with the Note Exchange and Purchase Agreement, as amended (the "Agreement"), entered into by the Company and Platinum on October 11, 2012, and previously reported in the Current Report on Form 8-K filed with the Securities and Exchange Commission on October 16, 2012. The issuance to Platinum represents the final issuance of Investment Notes and Investment Warrants under the amended terms of the Agreement.</w:t>
        <w:br/>
        <w:br/>
        <w:t xml:space="preserve">The Investment Note matures three years from the date of issuance (the "Maturity Date"). Subject to certain conditions set forth in the Investment Note, upon the Maturity Date, all principal and accrued interest under the Investment Note shall be payable by the Company through the issuance of restricted shares of common stock to Platinum. </w:t>
      </w:r>
    </w:p>
    <w:p>
      <w:pPr>
        <w:pStyle w:val="TextBody"/>
        <w:jc w:val="left"/>
        <w:rPr>
          <w:rFonts w:ascii="Times New Roman" w:hAnsi="Times New Roman"/>
          <w:b/>
          <w:sz w:val="17"/>
        </w:rPr>
      </w:pPr>
      <w:r>
        <w:rPr>
          <w:rFonts w:ascii="Times New Roman" w:hAnsi="Times New Roman"/>
          <w:b/>
          <w:sz w:val="17"/>
        </w:rPr>
        <w:t>Item 3.02 Unregistered Sales of Equity Securities.</w:t>
      </w:r>
    </w:p>
    <w:p>
      <w:pPr>
        <w:pStyle w:val="TextBody"/>
        <w:jc w:val="left"/>
        <w:rPr>
          <w:rFonts w:ascii="Times New Roman" w:hAnsi="Times New Roman"/>
          <w:sz w:val="17"/>
        </w:rPr>
      </w:pPr>
      <w:r>
        <w:rPr>
          <w:rFonts w:ascii="Times New Roman" w:hAnsi="Times New Roman"/>
          <w:sz w:val="17"/>
        </w:rPr>
        <w:t>The Investment Note and the Investment Warrant were offered and sold in transactions exempt from registration under the Securities Act of 1933, as amended ("Securities Act"), in reliance on Section 4(2) thereof and Rule 506 of Regulation D thereunder. Platinum represented that it was an "accredited investor" as defined in Regulation D. The proceeds from the sale of the Investment Note and the proceeds received upon exercise of the Investment Warrants are expected to be used for general corporate purposes.</w:t>
      </w:r>
    </w:p>
    <w:p>
      <w:pPr>
        <w:pStyle w:val="TextBody"/>
        <w:jc w:val="left"/>
        <w:rPr>
          <w:rFonts w:ascii="Times New Roman" w:hAnsi="Times New Roman"/>
          <w:b/>
          <w:sz w:val="17"/>
        </w:rPr>
      </w:pPr>
      <w:r>
        <w:rPr>
          <w:rFonts w:ascii="Times New Roman" w:hAnsi="Times New Roman"/>
          <w:b/>
          <w:sz w:val="17"/>
        </w:rPr>
        <w:t>Item 7.01 Regulation FD Disclosure.</w:t>
      </w:r>
    </w:p>
    <w:p>
      <w:pPr>
        <w:pStyle w:val="TextBody"/>
        <w:jc w:val="left"/>
        <w:rPr>
          <w:rFonts w:ascii="Times New Roman" w:hAnsi="Times New Roman"/>
          <w:sz w:val="17"/>
        </w:rPr>
      </w:pPr>
      <w:r>
        <w:rPr>
          <w:rFonts w:ascii="Times New Roman" w:hAnsi="Times New Roman"/>
          <w:sz w:val="17"/>
        </w:rPr>
        <w:t>On March 11, 2013, the Company presented key developments of CardioSafe 3D, its pluripotent stem cell-based bioassay system for heart toxicity, and on March 12, 2013 the Company presented key enhancements to LiverSafe 3D, its human liver cell-based bioassay system designed to predict liver toxicity and drug metabolism issues at the Society of Toxicology's 52nd Annual Meeting. Press releases containing summaries of the information presented are attached to this Current Report on Form 8-K as Exhibit 99.1 and 99.2, respectively.</w:t>
        <w:br/>
        <w:br/>
        <w:t>The information contained in this Item 7.01, including Exhibits 99.1 and 99.2, is being furnished pursuant to Item 7.01 of Form 8-K, "Regulation FD Disclosure." This information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pStyle w:val="TextBody"/>
        <w:jc w:val="left"/>
        <w:rPr>
          <w:rFonts w:ascii="Times New Roman" w:hAnsi="Times New Roman"/>
          <w:b/>
          <w:sz w:val="17"/>
        </w:rPr>
      </w:pPr>
      <w:r>
        <w:rPr>
          <w:rFonts w:ascii="Times New Roman" w:hAnsi="Times New Roman"/>
          <w:b/>
          <w:sz w:val="17"/>
        </w:rPr>
        <w:t>Item 9.01 Financial Statements and Exhibits.</w:t>
      </w:r>
    </w:p>
    <w:p>
      <w:pPr>
        <w:pStyle w:val="TextBody"/>
        <w:jc w:val="left"/>
        <w:rPr>
          <w:rFonts w:ascii="Times New Roman" w:hAnsi="Times New Roman"/>
          <w:sz w:val="17"/>
        </w:rPr>
      </w:pPr>
      <w:r>
        <w:rPr>
          <w:rFonts w:ascii="Times New Roman" w:hAnsi="Times New Roman"/>
          <w:sz w:val="17"/>
        </w:rPr>
        <w:t>See Exhibit Index.</w:t>
      </w:r>
    </w:p>
    <w:p>
      <w:pPr>
        <w:pStyle w:val="TextBody"/>
        <w:jc w:val="left"/>
        <w:rPr>
          <w:rFonts w:ascii="Times New Roman" w:hAnsi="Times New Roman"/>
          <w:b/>
          <w:sz w:val="17"/>
        </w:rPr>
      </w:pPr>
      <w:r>
        <w:rPr>
          <w:rFonts w:ascii="Times New Roman" w:hAnsi="Times New Roman"/>
          <w:b/>
          <w:sz w:val="17"/>
        </w:rPr>
        <w:t>Disclaimer.</w:t>
      </w:r>
    </w:p>
    <w:p>
      <w:pPr>
        <w:pStyle w:val="TextBody"/>
        <w:jc w:val="left"/>
        <w:rPr>
          <w:rFonts w:ascii="Times New Roman" w:hAnsi="Times New Roman"/>
          <w:sz w:val="17"/>
        </w:rPr>
      </w:pPr>
      <w:r>
        <w:rPr>
          <w:rFonts w:ascii="Times New Roman" w:hAnsi="Times New Roman"/>
          <w:sz w:val="17"/>
        </w:rPr>
        <w:t>The descriptions of Agreement, Investment Note and Investment Warrant under Item 2.03 do not purport to be complete, and are qualified in their entirety by reference to the full text of the Agreement, form of Investment Note and form of Investment Warrant, attached as Exhibit 10.1, 10.2 and 10.3, respectively, to the Current Report on Form 8-K filed with the Securities and Exchange Commission on October, 16, 2012, and are incorporated herein by reference.</w:t>
      </w:r>
    </w:p>
    <w:p>
      <w:pPr>
        <w:pStyle w:val="HorizontalLine"/>
        <w:pBdr>
          <w:bottom w:val="single" w:sz="12" w:space="0" w:color="808080"/>
        </w:pBdr>
        <w:jc w:val="center"/>
        <w:rPr/>
      </w:pPr>
      <w:r>
        <w:rPr/>
      </w:r>
      <w:r>
        <w:br w:type="page"/>
      </w:r>
    </w:p>
    <w:p>
      <w:pPr>
        <w:pStyle w:val="TextBody"/>
        <w:spacing w:before="0" w:after="0"/>
        <w:ind w:left="0" w:right="0" w:hanging="0"/>
        <w:jc w:val="center"/>
        <w:rPr>
          <w:rFonts w:ascii="Times New Roman" w:hAnsi="Times New Roman"/>
          <w:b/>
          <w:sz w:val="17"/>
        </w:rPr>
      </w:pPr>
      <w:r>
        <w:rPr>
          <w:rFonts w:ascii="Times New Roman" w:hAnsi="Times New Roman"/>
          <w:b/>
          <w:sz w:val="17"/>
        </w:rPr>
        <w:t xml:space="preserve">SIGNATURES </w:t>
      </w:r>
    </w:p>
    <w:p>
      <w:pPr>
        <w:pStyle w:val="TextBody"/>
        <w:spacing w:before="0" w:after="0"/>
        <w:ind w:left="0" w:right="0" w:hanging="0"/>
        <w:jc w:val="center"/>
        <w:rPr/>
      </w:pPr>
      <w:r>
        <w:rPr/>
        <w:t> </w:t>
      </w:r>
    </w:p>
    <w:p>
      <w:pPr>
        <w:pStyle w:val="TextBody"/>
        <w:spacing w:before="0" w:after="0"/>
        <w:ind w:left="0" w:right="0" w:hanging="0"/>
        <w:jc w:val="both"/>
        <w:rPr>
          <w:rFonts w:ascii="Times New Roman" w:hAnsi="Times New Roman"/>
          <w:sz w:val="17"/>
        </w:rPr>
      </w:pPr>
      <w:r>
        <w:rPr>
          <w:rFonts w:ascii="Times New Roman" w:hAnsi="Times New Roman"/>
          <w:sz w:val="17"/>
        </w:rPr>
        <w:t xml:space="preserve">Pursuant to the requirements of the Securities Exchange Act of 1934, the registrant has duly caused this report to be signed on its behalf by the undersigned hereunto duly authorized. </w:t>
      </w:r>
    </w:p>
    <w:p>
      <w:pPr>
        <w:pStyle w:val="TextBody"/>
        <w:spacing w:before="0" w:after="0"/>
        <w:ind w:left="0" w:right="0" w:hanging="0"/>
        <w:jc w:val="center"/>
        <w:rPr/>
      </w:pPr>
      <w:r>
        <w:rPr/>
        <w:t> </w:t>
      </w:r>
    </w:p>
    <w:p>
      <w:pPr>
        <w:pStyle w:val="TextBody"/>
        <w:ind w:left="0" w:right="0" w:hanging="0"/>
        <w:jc w:val="center"/>
        <w:rPr/>
      </w:pPr>
      <w:r>
        <w:rPr/>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3175000" cy="175260"/>
                <wp:effectExtent l="0" t="0" r="0" b="0"/>
                <wp:wrapSquare wrapText="largest"/>
                <wp:docPr id="3" name="Frame3"/>
                <a:graphic xmlns:a="http://schemas.openxmlformats.org/drawingml/2006/main">
                  <a:graphicData uri="http://schemas.microsoft.com/office/word/2010/wordprocessingShape">
                    <wps:wsp>
                      <wps:cNvSpPr txBox="1"/>
                      <wps:spPr>
                        <a:xfrm>
                          <a:off x="0" y="0"/>
                          <a:ext cx="3175000" cy="175260"/>
                        </a:xfrm>
                        <a:prstGeom prst="rect"/>
                      </wps:spPr>
                      <wps:txbx>
                        <w:txbxContent>
                          <w:p>
                            <w:pPr>
                              <w:pStyle w:val="TextBody"/>
                              <w:spacing w:before="0" w:after="283"/>
                              <w:jc w:val="left"/>
                              <w:rPr/>
                            </w:pPr>
                            <w:r>
                              <w:rPr/>
                              <w:t>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jc w:val="left"/>
                        <w:rPr/>
                      </w:pPr>
                      <w:r>
                        <w:rPr/>
                        <w:t> </w:t>
                      </w:r>
                    </w:p>
                  </w:txbxContent>
                </v:textbox>
                <w10:wrap type="square" side="right"/>
              </v:rect>
            </w:pict>
          </mc:Fallback>
        </mc:AlternateConten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3175000" cy="530225"/>
                <wp:effectExtent l="0" t="0" r="0" b="0"/>
                <wp:wrapSquare wrapText="largest"/>
                <wp:docPr id="4" name="Frame4"/>
                <a:graphic xmlns:a="http://schemas.openxmlformats.org/drawingml/2006/main">
                  <a:graphicData uri="http://schemas.microsoft.com/office/word/2010/wordprocessingShape">
                    <wps:wsp>
                      <wps:cNvSpPr txBox="1"/>
                      <wps:spPr>
                        <a:xfrm>
                          <a:off x="0" y="0"/>
                          <a:ext cx="3175000" cy="530225"/>
                        </a:xfrm>
                        <a:prstGeom prst="rect"/>
                      </wps:spPr>
                      <wps:txbx>
                        <w:txbxContent>
                          <w:tbl>
                            <w:tblPr>
                              <w:tblW w:w="4500" w:type="dxa"/>
                              <w:jc w:val="center"/>
                              <w:tblInd w:w="0" w:type="dxa"/>
                              <w:tblCellMar>
                                <w:top w:w="0" w:type="dxa"/>
                                <w:left w:w="0" w:type="dxa"/>
                                <w:bottom w:w="0" w:type="dxa"/>
                                <w:right w:w="0" w:type="dxa"/>
                              </w:tblCellMar>
                            </w:tblPr>
                            <w:tblGrid>
                              <w:gridCol w:w="4500"/>
                            </w:tblGrid>
                            <w:tr>
                              <w:trPr/>
                              <w:tc>
                                <w:tcPr>
                                  <w:tcW w:w="4500" w:type="dxa"/>
                                  <w:tcBorders/>
                                  <w:shd w:fill="auto" w:val="clear"/>
                                  <w:vAlign w:val="center"/>
                                </w:tcPr>
                                <w:p>
                                  <w:pPr>
                                    <w:pStyle w:val="TableContents"/>
                                    <w:spacing w:before="0" w:after="283"/>
                                    <w:jc w:val="left"/>
                                    <w:rPr/>
                                  </w:pPr>
                                  <w:r>
                                    <w:rPr>
                                      <w:rFonts w:ascii="Times New Roman" w:hAnsi="Times New Roman"/>
                                      <w:b/>
                                      <w:sz w:val="17"/>
                                    </w:rPr>
                                    <w:t>VistaGen Therapeutics, Inc.</w:t>
                                  </w:r>
                                  <w:r>
                                    <w:rPr/>
                                    <w:t xml:space="preserve"> </w:t>
                                  </w:r>
                                </w:p>
                              </w:tc>
                            </w:tr>
                          </w:tbl>
                          <w:p>
                            <w:pPr>
                              <w:pStyle w:val="TextBody"/>
                              <w:spacing w:before="0" w:after="283"/>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41.75pt;mso-wrap-distance-left:0pt;mso-wrap-distance-right:0pt;mso-wrap-distance-top:0pt;mso-wrap-distance-bottom:0pt;margin-top:0pt;mso-position-vertical:top;mso-position-vertical-relative:text;margin-left:250pt;mso-position-horizontal:left;mso-position-horizontal-relative:text">
                <v:textbox>
                  <w:txbxContent>
                    <w:tbl>
                      <w:tblPr>
                        <w:tblW w:w="4500" w:type="dxa"/>
                        <w:jc w:val="center"/>
                        <w:tblInd w:w="0" w:type="dxa"/>
                        <w:tblCellMar>
                          <w:top w:w="0" w:type="dxa"/>
                          <w:left w:w="0" w:type="dxa"/>
                          <w:bottom w:w="0" w:type="dxa"/>
                          <w:right w:w="0" w:type="dxa"/>
                        </w:tblCellMar>
                      </w:tblPr>
                      <w:tblGrid>
                        <w:gridCol w:w="4500"/>
                      </w:tblGrid>
                      <w:tr>
                        <w:trPr/>
                        <w:tc>
                          <w:tcPr>
                            <w:tcW w:w="4500" w:type="dxa"/>
                            <w:tcBorders/>
                            <w:shd w:fill="auto" w:val="clear"/>
                            <w:vAlign w:val="center"/>
                          </w:tcPr>
                          <w:p>
                            <w:pPr>
                              <w:pStyle w:val="TableContents"/>
                              <w:spacing w:before="0" w:after="283"/>
                              <w:jc w:val="left"/>
                              <w:rPr/>
                            </w:pPr>
                            <w:r>
                              <w:rPr>
                                <w:rFonts w:ascii="Times New Roman" w:hAnsi="Times New Roman"/>
                                <w:b/>
                                <w:sz w:val="17"/>
                              </w:rPr>
                              <w:t>VistaGen Therapeutics, Inc.</w:t>
                            </w:r>
                            <w:r>
                              <w:rPr/>
                              <w:t xml:space="preserve"> </w:t>
                            </w:r>
                          </w:p>
                        </w:tc>
                      </w:tr>
                    </w:tbl>
                    <w:p>
                      <w:pPr>
                        <w:pStyle w:val="TextBody"/>
                        <w:spacing w:before="0" w:after="283"/>
                        <w:rPr/>
                      </w:pPr>
                      <w:r>
                        <w:rPr/>
                      </w:r>
                    </w:p>
                  </w:txbxContent>
                </v:textbox>
                <w10:wrap type="square" side="right"/>
              </v:rect>
            </w:pict>
          </mc:Fallback>
        </mc:AlternateContent>
      </w:r>
    </w:p>
    <w:p>
      <w:pPr>
        <w:pStyle w:val="HorizontalLine"/>
        <w:pBdr>
          <w:bottom w:val="single" w:sz="12" w:space="0" w:color="808080"/>
        </w:pBdr>
        <w:jc w:val="center"/>
        <w:rPr/>
      </w:pPr>
      <w:r>
        <w:rPr/>
      </w:r>
      <w:r>
        <w:br w:type="page"/>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3175000" cy="121285"/>
                <wp:effectExtent l="0" t="0" r="0" b="0"/>
                <wp:wrapTopAndBottom/>
                <wp:docPr id="5" name="Frame5"/>
                <a:graphic xmlns:a="http://schemas.openxmlformats.org/drawingml/2006/main">
                  <a:graphicData uri="http://schemas.microsoft.com/office/word/2010/wordprocessingShape">
                    <wps:wsp>
                      <wps:cNvSpPr txBox="1"/>
                      <wps:spPr>
                        <a:xfrm>
                          <a:off x="0" y="0"/>
                          <a:ext cx="3175000" cy="121285"/>
                        </a:xfrm>
                        <a:prstGeom prst="rect"/>
                      </wps:spPr>
                      <wps:txbx>
                        <w:txbxContent>
                          <w:p>
                            <w:pPr>
                              <w:pStyle w:val="TextBody"/>
                              <w:spacing w:before="0" w:after="283"/>
                              <w:jc w:val="left"/>
                              <w:rPr>
                                <w:rFonts w:ascii="Times New Roman" w:hAnsi="Times New Roman"/>
                                <w:sz w:val="17"/>
                              </w:rPr>
                            </w:pPr>
                            <w:r>
                              <w:rPr>
                                <w:rFonts w:ascii="Times New Roman" w:hAnsi="Times New Roman"/>
                                <w:sz w:val="17"/>
                              </w:rPr>
                              <w:t xml:space="preserve">Date:   </w:t>
                            </w:r>
                            <w:r>
                              <w:rPr>
                                <w:rFonts w:ascii="Times New Roman" w:hAnsi="Times New Roman"/>
                                <w:i/>
                                <w:sz w:val="17"/>
                              </w:rPr>
                              <w:t>March 13, 2013</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jc w:val="left"/>
                        <w:rPr>
                          <w:rFonts w:ascii="Times New Roman" w:hAnsi="Times New Roman"/>
                          <w:sz w:val="17"/>
                        </w:rPr>
                      </w:pPr>
                      <w:r>
                        <w:rPr>
                          <w:rFonts w:ascii="Times New Roman" w:hAnsi="Times New Roman"/>
                          <w:sz w:val="17"/>
                        </w:rPr>
                        <w:t xml:space="preserve">Date:   </w:t>
                      </w:r>
                      <w:r>
                        <w:rPr>
                          <w:rFonts w:ascii="Times New Roman" w:hAnsi="Times New Roman"/>
                          <w:i/>
                          <w:sz w:val="17"/>
                        </w:rPr>
                        <w:t>March 13, 2013</w:t>
                      </w:r>
                    </w:p>
                  </w:txbxContent>
                </v:textbox>
                <w10:wrap type="topAndBottom"/>
              </v:rect>
            </w:pict>
          </mc:Fallback>
        </mc:AlternateContent>
      </w:r>
      <w:r>
        <mc:AlternateContent>
          <mc:Choice Requires="wps">
            <w:drawing>
              <wp:anchor behindDoc="0" distT="0" distB="0" distL="0" distR="0" simplePos="0" locked="0" layoutInCell="1" allowOverlap="1" relativeHeight="9">
                <wp:simplePos x="0" y="0"/>
                <wp:positionH relativeFrom="column">
                  <wp:align>left</wp:align>
                </wp:positionH>
                <wp:positionV relativeFrom="line">
                  <wp:posOffset>635</wp:posOffset>
                </wp:positionV>
                <wp:extent cx="3175000" cy="1359535"/>
                <wp:effectExtent l="0" t="0" r="0" b="0"/>
                <wp:wrapTopAndBottom/>
                <wp:docPr id="6" name="Frame6"/>
                <a:graphic xmlns:a="http://schemas.openxmlformats.org/drawingml/2006/main">
                  <a:graphicData uri="http://schemas.microsoft.com/office/word/2010/wordprocessingShape">
                    <wps:wsp>
                      <wps:cNvSpPr txBox="1"/>
                      <wps:spPr>
                        <a:xfrm>
                          <a:off x="0" y="0"/>
                          <a:ext cx="3175000" cy="1359535"/>
                        </a:xfrm>
                        <a:prstGeom prst="rect"/>
                      </wps:spPr>
                      <wps:txbx>
                        <w:txbxContent>
                          <w:tbl>
                            <w:tblPr>
                              <w:tblW w:w="4500" w:type="dxa"/>
                              <w:jc w:val="center"/>
                              <w:tblInd w:w="0" w:type="dxa"/>
                              <w:tblCellMar>
                                <w:top w:w="0" w:type="dxa"/>
                                <w:left w:w="0" w:type="dxa"/>
                                <w:bottom w:w="0" w:type="dxa"/>
                                <w:right w:w="0" w:type="dxa"/>
                              </w:tblCellMar>
                            </w:tblPr>
                            <w:tblGrid>
                              <w:gridCol w:w="843"/>
                              <w:gridCol w:w="3657"/>
                            </w:tblGrid>
                            <w:tr>
                              <w:trPr/>
                              <w:tc>
                                <w:tcPr>
                                  <w:tcW w:w="843" w:type="dxa"/>
                                  <w:vMerge w:val="restart"/>
                                  <w:tcBorders/>
                                  <w:shd w:fill="auto" w:val="clear"/>
                                </w:tcPr>
                                <w:p>
                                  <w:pPr>
                                    <w:pStyle w:val="TableContents"/>
                                    <w:spacing w:before="0" w:after="283"/>
                                    <w:rPr>
                                      <w:rFonts w:ascii="Times New Roman" w:hAnsi="Times New Roman"/>
                                      <w:sz w:val="17"/>
                                    </w:rPr>
                                  </w:pPr>
                                  <w:r>
                                    <w:rPr>
                                      <w:rFonts w:ascii="Times New Roman" w:hAnsi="Times New Roman"/>
                                      <w:sz w:val="17"/>
                                    </w:rPr>
                                    <w:t>By:</w:t>
                                  </w:r>
                                </w:p>
                              </w:tc>
                              <w:tc>
                                <w:tcPr>
                                  <w:tcW w:w="3657" w:type="dxa"/>
                                  <w:tcBorders/>
                                  <w:shd w:fill="auto" w:val="clear"/>
                                  <w:vAlign w:val="center"/>
                                </w:tcPr>
                                <w:p>
                                  <w:pPr>
                                    <w:pStyle w:val="TableContents"/>
                                    <w:spacing w:before="0" w:after="283"/>
                                    <w:jc w:val="left"/>
                                    <w:rPr>
                                      <w:rFonts w:ascii="Times New Roman" w:hAnsi="Times New Roman"/>
                                      <w:sz w:val="17"/>
                                    </w:rPr>
                                  </w:pPr>
                                  <w:r>
                                    <w:rPr>
                                      <w:rFonts w:ascii="Times New Roman" w:hAnsi="Times New Roman"/>
                                      <w:sz w:val="17"/>
                                    </w:rPr>
                                    <w:t>/s/ Shawn K. Singh</w:t>
                                  </w:r>
                                </w:p>
                              </w:tc>
                            </w:tr>
                            <w:tr>
                              <w:trPr/>
                              <w:tc>
                                <w:tcPr>
                                  <w:tcW w:w="843" w:type="dxa"/>
                                  <w:vMerge w:val="continue"/>
                                  <w:tcBorders/>
                                  <w:shd w:fill="auto" w:val="clear"/>
                                </w:tcPr>
                                <w:p>
                                  <w:pPr>
                                    <w:pStyle w:val="Normal"/>
                                    <w:rPr/>
                                  </w:pPr>
                                  <w:r>
                                    <w:rPr/>
                                  </w:r>
                                </w:p>
                              </w:tc>
                              <w:tc>
                                <w:tcPr>
                                  <w:tcW w:w="3657" w:type="dxa"/>
                                  <w:tcBorders/>
                                  <w:shd w:fill="auto" w:val="clear"/>
                                  <w:vAlign w:val="center"/>
                                </w:tcPr>
                                <w:p>
                                  <w:pPr>
                                    <w:pStyle w:val="HorizontalLine"/>
                                    <w:pBdr>
                                      <w:bottom w:val="double" w:sz="2" w:space="0" w:color="808080"/>
                                    </w:pBdr>
                                    <w:spacing w:before="0" w:after="283"/>
                                    <w:rPr/>
                                  </w:pPr>
                                  <w:r>
                                    <w:rPr/>
                                  </w:r>
                                </w:p>
                              </w:tc>
                            </w:tr>
                            <w:tr>
                              <w:trPr/>
                              <w:tc>
                                <w:tcPr>
                                  <w:tcW w:w="843" w:type="dxa"/>
                                  <w:vMerge w:val="continue"/>
                                  <w:tcBorders/>
                                  <w:shd w:fill="auto" w:val="clear"/>
                                </w:tcPr>
                                <w:p>
                                  <w:pPr>
                                    <w:pStyle w:val="Normal"/>
                                    <w:rPr/>
                                  </w:pPr>
                                  <w:r>
                                    <w:rPr/>
                                  </w:r>
                                </w:p>
                              </w:tc>
                              <w:tc>
                                <w:tcPr>
                                  <w:tcW w:w="3657" w:type="dxa"/>
                                  <w:tcBorders/>
                                  <w:shd w:fill="auto" w:val="clear"/>
                                  <w:vAlign w:val="center"/>
                                </w:tcPr>
                                <w:p>
                                  <w:pPr>
                                    <w:pStyle w:val="TableContents"/>
                                    <w:spacing w:before="0" w:after="283"/>
                                    <w:jc w:val="left"/>
                                    <w:rPr>
                                      <w:rFonts w:ascii="Times New Roman" w:hAnsi="Times New Roman"/>
                                      <w:i/>
                                      <w:sz w:val="17"/>
                                    </w:rPr>
                                  </w:pPr>
                                  <w:r>
                                    <w:rPr>
                                      <w:rFonts w:ascii="Times New Roman" w:hAnsi="Times New Roman"/>
                                      <w:i/>
                                      <w:sz w:val="17"/>
                                    </w:rPr>
                                    <w:t>Name: Shawn K. Singh</w:t>
                                  </w:r>
                                </w:p>
                              </w:tc>
                            </w:tr>
                            <w:tr>
                              <w:trPr/>
                              <w:tc>
                                <w:tcPr>
                                  <w:tcW w:w="843" w:type="dxa"/>
                                  <w:vMerge w:val="continue"/>
                                  <w:tcBorders/>
                                  <w:shd w:fill="auto" w:val="clear"/>
                                </w:tcPr>
                                <w:p>
                                  <w:pPr>
                                    <w:pStyle w:val="Normal"/>
                                    <w:rPr/>
                                  </w:pPr>
                                  <w:r>
                                    <w:rPr/>
                                  </w:r>
                                </w:p>
                              </w:tc>
                              <w:tc>
                                <w:tcPr>
                                  <w:tcW w:w="3657" w:type="dxa"/>
                                  <w:tcBorders/>
                                  <w:shd w:fill="auto" w:val="clear"/>
                                  <w:vAlign w:val="center"/>
                                </w:tcPr>
                                <w:p>
                                  <w:pPr>
                                    <w:pStyle w:val="TableContents"/>
                                    <w:spacing w:before="0" w:after="283"/>
                                    <w:jc w:val="left"/>
                                    <w:rPr>
                                      <w:rFonts w:ascii="Times New Roman" w:hAnsi="Times New Roman"/>
                                      <w:i/>
                                      <w:sz w:val="17"/>
                                    </w:rPr>
                                  </w:pPr>
                                  <w:r>
                                    <w:rPr>
                                      <w:rFonts w:ascii="Times New Roman" w:hAnsi="Times New Roman"/>
                                      <w:i/>
                                      <w:sz w:val="17"/>
                                    </w:rPr>
                                    <w:t>Title: Chief Executive Officer</w:t>
                                  </w:r>
                                </w:p>
                              </w:tc>
                            </w:tr>
                          </w:tbl>
                          <w:p>
                            <w:pPr>
                              <w:pStyle w:val="TextBody"/>
                              <w:spacing w:before="0" w:after="283"/>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107.05pt;mso-wrap-distance-left:0pt;mso-wrap-distance-right:0pt;mso-wrap-distance-top:0pt;mso-wrap-distance-bottom:0pt;margin-top:0pt;mso-position-vertical:top;mso-position-vertical-relative:text;margin-left:250pt;mso-position-horizontal:left;mso-position-horizontal-relative:text">
                <v:textbox>
                  <w:txbxContent>
                    <w:tbl>
                      <w:tblPr>
                        <w:tblW w:w="4500" w:type="dxa"/>
                        <w:jc w:val="center"/>
                        <w:tblInd w:w="0" w:type="dxa"/>
                        <w:tblCellMar>
                          <w:top w:w="0" w:type="dxa"/>
                          <w:left w:w="0" w:type="dxa"/>
                          <w:bottom w:w="0" w:type="dxa"/>
                          <w:right w:w="0" w:type="dxa"/>
                        </w:tblCellMar>
                      </w:tblPr>
                      <w:tblGrid>
                        <w:gridCol w:w="843"/>
                        <w:gridCol w:w="3657"/>
                      </w:tblGrid>
                      <w:tr>
                        <w:trPr/>
                        <w:tc>
                          <w:tcPr>
                            <w:tcW w:w="843" w:type="dxa"/>
                            <w:vMerge w:val="restart"/>
                            <w:tcBorders/>
                            <w:shd w:fill="auto" w:val="clear"/>
                          </w:tcPr>
                          <w:p>
                            <w:pPr>
                              <w:pStyle w:val="TableContents"/>
                              <w:spacing w:before="0" w:after="283"/>
                              <w:rPr>
                                <w:rFonts w:ascii="Times New Roman" w:hAnsi="Times New Roman"/>
                                <w:sz w:val="17"/>
                              </w:rPr>
                            </w:pPr>
                            <w:r>
                              <w:rPr>
                                <w:rFonts w:ascii="Times New Roman" w:hAnsi="Times New Roman"/>
                                <w:sz w:val="17"/>
                              </w:rPr>
                              <w:t>By:</w:t>
                            </w:r>
                          </w:p>
                        </w:tc>
                        <w:tc>
                          <w:tcPr>
                            <w:tcW w:w="3657" w:type="dxa"/>
                            <w:tcBorders/>
                            <w:shd w:fill="auto" w:val="clear"/>
                            <w:vAlign w:val="center"/>
                          </w:tcPr>
                          <w:p>
                            <w:pPr>
                              <w:pStyle w:val="TableContents"/>
                              <w:spacing w:before="0" w:after="283"/>
                              <w:jc w:val="left"/>
                              <w:rPr>
                                <w:rFonts w:ascii="Times New Roman" w:hAnsi="Times New Roman"/>
                                <w:sz w:val="17"/>
                              </w:rPr>
                            </w:pPr>
                            <w:r>
                              <w:rPr>
                                <w:rFonts w:ascii="Times New Roman" w:hAnsi="Times New Roman"/>
                                <w:sz w:val="17"/>
                              </w:rPr>
                              <w:t>/s/ Shawn K. Singh</w:t>
                            </w:r>
                          </w:p>
                        </w:tc>
                      </w:tr>
                      <w:tr>
                        <w:trPr/>
                        <w:tc>
                          <w:tcPr>
                            <w:tcW w:w="843" w:type="dxa"/>
                            <w:vMerge w:val="continue"/>
                            <w:tcBorders/>
                            <w:shd w:fill="auto" w:val="clear"/>
                          </w:tcPr>
                          <w:p>
                            <w:pPr>
                              <w:pStyle w:val="Normal"/>
                              <w:rPr/>
                            </w:pPr>
                            <w:r>
                              <w:rPr/>
                            </w:r>
                          </w:p>
                        </w:tc>
                        <w:tc>
                          <w:tcPr>
                            <w:tcW w:w="3657" w:type="dxa"/>
                            <w:tcBorders/>
                            <w:shd w:fill="auto" w:val="clear"/>
                            <w:vAlign w:val="center"/>
                          </w:tcPr>
                          <w:p>
                            <w:pPr>
                              <w:pStyle w:val="HorizontalLine"/>
                              <w:pBdr>
                                <w:bottom w:val="double" w:sz="2" w:space="0" w:color="808080"/>
                              </w:pBdr>
                              <w:spacing w:before="0" w:after="283"/>
                              <w:rPr/>
                            </w:pPr>
                            <w:r>
                              <w:rPr/>
                            </w:r>
                          </w:p>
                        </w:tc>
                      </w:tr>
                      <w:tr>
                        <w:trPr/>
                        <w:tc>
                          <w:tcPr>
                            <w:tcW w:w="843" w:type="dxa"/>
                            <w:vMerge w:val="continue"/>
                            <w:tcBorders/>
                            <w:shd w:fill="auto" w:val="clear"/>
                          </w:tcPr>
                          <w:p>
                            <w:pPr>
                              <w:pStyle w:val="Normal"/>
                              <w:rPr/>
                            </w:pPr>
                            <w:r>
                              <w:rPr/>
                            </w:r>
                          </w:p>
                        </w:tc>
                        <w:tc>
                          <w:tcPr>
                            <w:tcW w:w="3657" w:type="dxa"/>
                            <w:tcBorders/>
                            <w:shd w:fill="auto" w:val="clear"/>
                            <w:vAlign w:val="center"/>
                          </w:tcPr>
                          <w:p>
                            <w:pPr>
                              <w:pStyle w:val="TableContents"/>
                              <w:spacing w:before="0" w:after="283"/>
                              <w:jc w:val="left"/>
                              <w:rPr>
                                <w:rFonts w:ascii="Times New Roman" w:hAnsi="Times New Roman"/>
                                <w:i/>
                                <w:sz w:val="17"/>
                              </w:rPr>
                            </w:pPr>
                            <w:r>
                              <w:rPr>
                                <w:rFonts w:ascii="Times New Roman" w:hAnsi="Times New Roman"/>
                                <w:i/>
                                <w:sz w:val="17"/>
                              </w:rPr>
                              <w:t>Name: Shawn K. Singh</w:t>
                            </w:r>
                          </w:p>
                        </w:tc>
                      </w:tr>
                      <w:tr>
                        <w:trPr/>
                        <w:tc>
                          <w:tcPr>
                            <w:tcW w:w="843" w:type="dxa"/>
                            <w:vMerge w:val="continue"/>
                            <w:tcBorders/>
                            <w:shd w:fill="auto" w:val="clear"/>
                          </w:tcPr>
                          <w:p>
                            <w:pPr>
                              <w:pStyle w:val="Normal"/>
                              <w:rPr/>
                            </w:pPr>
                            <w:r>
                              <w:rPr/>
                            </w:r>
                          </w:p>
                        </w:tc>
                        <w:tc>
                          <w:tcPr>
                            <w:tcW w:w="3657" w:type="dxa"/>
                            <w:tcBorders/>
                            <w:shd w:fill="auto" w:val="clear"/>
                            <w:vAlign w:val="center"/>
                          </w:tcPr>
                          <w:p>
                            <w:pPr>
                              <w:pStyle w:val="TableContents"/>
                              <w:spacing w:before="0" w:after="283"/>
                              <w:jc w:val="left"/>
                              <w:rPr>
                                <w:rFonts w:ascii="Times New Roman" w:hAnsi="Times New Roman"/>
                                <w:i/>
                                <w:sz w:val="17"/>
                              </w:rPr>
                            </w:pPr>
                            <w:r>
                              <w:rPr>
                                <w:rFonts w:ascii="Times New Roman" w:hAnsi="Times New Roman"/>
                                <w:i/>
                                <w:sz w:val="17"/>
                              </w:rPr>
                              <w:t>Title: Chief Executive Officer</w:t>
                            </w:r>
                          </w:p>
                        </w:tc>
                      </w:tr>
                    </w:tbl>
                    <w:p>
                      <w:pPr>
                        <w:pStyle w:val="TextBody"/>
                        <w:spacing w:before="0" w:after="283"/>
                        <w:rPr/>
                      </w:pPr>
                      <w:r>
                        <w:rPr/>
                      </w:r>
                    </w:p>
                  </w:txbxContent>
                </v:textbox>
                <w10:wrap type="topAndBottom"/>
              </v:rect>
            </w:pict>
          </mc:Fallback>
        </mc:AlternateContent>
      </w:r>
    </w:p>
    <w:p>
      <w:pPr>
        <w:pStyle w:val="TextBody"/>
        <w:spacing w:before="0" w:after="0"/>
        <w:jc w:val="center"/>
        <w:rPr>
          <w:rFonts w:ascii="Times New Roman" w:hAnsi="Times New Roman"/>
          <w:b/>
          <w:sz w:val="17"/>
        </w:rPr>
      </w:pPr>
      <w:r>
        <w:rPr>
          <w:rFonts w:ascii="Times New Roman" w:hAnsi="Times New Roman"/>
          <w:b/>
          <w:sz w:val="17"/>
        </w:rPr>
        <w:t>Exhibit Index</w:t>
      </w:r>
    </w:p>
    <w:p>
      <w:pPr>
        <w:pStyle w:val="TextBody"/>
        <w:spacing w:before="0" w:after="0"/>
        <w:jc w:val="center"/>
        <w:rPr/>
      </w:pPr>
      <w:r>
        <w:rPr/>
        <w:t> </w:t>
      </w:r>
    </w:p>
    <w:tbl>
      <w:tblPr>
        <w:tblW w:w="5000" w:type="pct"/>
        <w:jc w:val="center"/>
        <w:tblInd w:w="0" w:type="dxa"/>
        <w:tblCellMar>
          <w:top w:w="0" w:type="dxa"/>
          <w:left w:w="0" w:type="dxa"/>
          <w:bottom w:w="0" w:type="dxa"/>
          <w:right w:w="0" w:type="dxa"/>
        </w:tblCellMar>
      </w:tblPr>
      <w:tblGrid>
        <w:gridCol w:w="1041"/>
        <w:gridCol w:w="311"/>
        <w:gridCol w:w="8853"/>
      </w:tblGrid>
      <w:tr>
        <w:trPr/>
        <w:tc>
          <w:tcPr>
            <w:tcW w:w="1041" w:type="dxa"/>
            <w:tcBorders/>
            <w:shd w:fill="auto" w:val="clear"/>
          </w:tcPr>
          <w:p>
            <w:pPr>
              <w:pStyle w:val="TableContents"/>
              <w:spacing w:before="0" w:after="0"/>
              <w:jc w:val="left"/>
              <w:rPr>
                <w:rFonts w:ascii="Times New Roman" w:hAnsi="Times New Roman"/>
                <w:b/>
                <w:sz w:val="17"/>
              </w:rPr>
            </w:pPr>
            <w:r>
              <w:rPr>
                <w:rFonts w:ascii="Times New Roman" w:hAnsi="Times New Roman"/>
                <w:b/>
                <w:sz w:val="17"/>
              </w:rPr>
              <w:t>Exhibit No.</w:t>
            </w:r>
          </w:p>
          <w:p>
            <w:pPr>
              <w:pStyle w:val="HorizontalLine"/>
              <w:pBdr>
                <w:bottom w:val="single" w:sz="12" w:space="0" w:color="808080"/>
              </w:pBdr>
              <w:spacing w:before="0" w:after="283"/>
              <w:rPr/>
            </w:pPr>
            <w:r>
              <w:rPr/>
            </w:r>
          </w:p>
        </w:tc>
        <w:tc>
          <w:tcPr>
            <w:tcW w:w="311" w:type="dxa"/>
            <w:tcBorders/>
            <w:shd w:fill="auto" w:val="clear"/>
          </w:tcPr>
          <w:p>
            <w:pPr>
              <w:pStyle w:val="TableContents"/>
              <w:spacing w:before="0" w:after="283"/>
              <w:jc w:val="left"/>
              <w:rPr/>
            </w:pPr>
            <w:r>
              <w:rPr/>
              <w:t xml:space="preserve">   </w:t>
            </w:r>
          </w:p>
        </w:tc>
        <w:tc>
          <w:tcPr>
            <w:tcW w:w="8853" w:type="dxa"/>
            <w:tcBorders/>
            <w:shd w:fill="auto" w:val="clear"/>
          </w:tcPr>
          <w:p>
            <w:pPr>
              <w:pStyle w:val="TableContents"/>
              <w:spacing w:before="0" w:after="0"/>
              <w:jc w:val="left"/>
              <w:rPr>
                <w:rFonts w:ascii="Times New Roman" w:hAnsi="Times New Roman"/>
                <w:b/>
                <w:sz w:val="17"/>
              </w:rPr>
            </w:pPr>
            <w:r>
              <w:rPr>
                <w:rFonts w:ascii="Times New Roman" w:hAnsi="Times New Roman"/>
                <w:b/>
                <w:sz w:val="17"/>
              </w:rPr>
              <w:t>Description</w:t>
            </w:r>
          </w:p>
          <w:p>
            <w:pPr>
              <w:pStyle w:val="HorizontalLine"/>
              <w:pBdr>
                <w:bottom w:val="single" w:sz="12" w:space="0" w:color="808080"/>
              </w:pBdr>
              <w:spacing w:before="0" w:after="283"/>
              <w:rPr/>
            </w:pPr>
            <w:r>
              <w:rPr/>
            </w:r>
          </w:p>
        </w:tc>
      </w:tr>
      <w:tr>
        <w:trPr/>
        <w:tc>
          <w:tcPr>
            <w:tcW w:w="1041"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EX-99.1</w:t>
            </w:r>
          </w:p>
        </w:tc>
        <w:tc>
          <w:tcPr>
            <w:tcW w:w="311" w:type="dxa"/>
            <w:tcBorders/>
            <w:shd w:fill="auto" w:val="clear"/>
          </w:tcPr>
          <w:p>
            <w:pPr>
              <w:pStyle w:val="TableContents"/>
              <w:spacing w:before="0" w:after="283"/>
              <w:jc w:val="left"/>
              <w:rPr/>
            </w:pPr>
            <w:r>
              <w:rPr/>
              <w:t xml:space="preserve">   </w:t>
            </w:r>
          </w:p>
        </w:tc>
        <w:tc>
          <w:tcPr>
            <w:tcW w:w="8853"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Press Release, dated March 11, 2013</w:t>
            </w:r>
          </w:p>
        </w:tc>
      </w:tr>
      <w:tr>
        <w:trPr/>
        <w:tc>
          <w:tcPr>
            <w:tcW w:w="1041"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EX-99.2</w:t>
            </w:r>
          </w:p>
        </w:tc>
        <w:tc>
          <w:tcPr>
            <w:tcW w:w="311" w:type="dxa"/>
            <w:tcBorders/>
            <w:shd w:fill="auto" w:val="clear"/>
          </w:tcPr>
          <w:p>
            <w:pPr>
              <w:pStyle w:val="TableContents"/>
              <w:spacing w:before="0" w:after="283"/>
              <w:jc w:val="left"/>
              <w:rPr/>
            </w:pPr>
            <w:r>
              <w:rPr/>
              <w:t xml:space="preserve">   </w:t>
            </w:r>
          </w:p>
        </w:tc>
        <w:tc>
          <w:tcPr>
            <w:tcW w:w="8853"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Press Release, dated March 12, 2013</w:t>
            </w:r>
          </w:p>
        </w:tc>
      </w:tr>
    </w:tbl>
    <w:p>
      <w:pPr>
        <w:pStyle w:val="TextBody"/>
        <w:spacing w:before="0" w:after="105"/>
        <w:jc w:val="center"/>
        <w:rPr/>
      </w:pPr>
      <w:r>
        <w:br w:type="page"/>
      </w:r>
      <w:bookmarkStart w:id="4" w:name="ex99-03132013_090354.htm"/>
      <w:bookmarkStart w:id="5" w:name="ksex9903132013_090354"/>
      <w:bookmarkEnd w:id="4"/>
      <w:bookmarkEnd w:id="5"/>
      <w:r>
        <w:rPr/>
        <w:drawing>
          <wp:inline distT="0" distB="0" distL="0" distR="0">
            <wp:extent cx="2286000" cy="1076325"/>
            <wp:effectExtent l="0" t="0" r="0" b="0"/>
            <wp:docPr id="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1" descr=""/>
                    <pic:cNvPicPr>
                      <a:picLocks noChangeAspect="1" noChangeArrowheads="1"/>
                    </pic:cNvPicPr>
                  </pic:nvPicPr>
                  <pic:blipFill>
                    <a:blip r:embed="rId2"/>
                    <a:stretch>
                      <a:fillRect/>
                    </a:stretch>
                  </pic:blipFill>
                  <pic:spPr bwMode="auto">
                    <a:xfrm>
                      <a:off x="0" y="0"/>
                      <a:ext cx="2286000" cy="1076325"/>
                    </a:xfrm>
                    <a:prstGeom prst="rect">
                      <a:avLst/>
                    </a:prstGeom>
                  </pic:spPr>
                </pic:pic>
              </a:graphicData>
            </a:graphic>
          </wp:inline>
        </w:drawing>
      </w:r>
    </w:p>
    <w:p>
      <w:pPr>
        <w:pStyle w:val="TextBody"/>
        <w:spacing w:before="0" w:after="120"/>
        <w:jc w:val="center"/>
        <w:rPr>
          <w:b/>
          <w:sz w:val="20"/>
        </w:rPr>
      </w:pPr>
      <w:r>
        <w:rPr>
          <w:b/>
          <w:sz w:val="20"/>
        </w:rPr>
        <w:t xml:space="preserve">VistaGen Therapeutics to Present CardioSafe 3D(TM) Developments at Society of Toxicology's 52nd Annual Meeting </w:t>
      </w:r>
    </w:p>
    <w:p>
      <w:pPr>
        <w:pStyle w:val="TextBody"/>
        <w:spacing w:before="0" w:after="165"/>
        <w:jc w:val="center"/>
        <w:rPr>
          <w:i/>
          <w:sz w:val="17"/>
        </w:rPr>
      </w:pPr>
      <w:r>
        <w:rPr>
          <w:i/>
          <w:sz w:val="17"/>
        </w:rPr>
        <w:t>Poster Will Discuss Expanded and Improved Applications of Novel Pluripotent Stem-Based Screening System for Heart Toxicity</w:t>
      </w:r>
    </w:p>
    <w:p>
      <w:pPr>
        <w:pStyle w:val="TextBody"/>
        <w:spacing w:before="0" w:after="180"/>
        <w:jc w:val="both"/>
        <w:rPr>
          <w:sz w:val="18"/>
        </w:rPr>
      </w:pPr>
      <w:r>
        <w:rPr>
          <w:sz w:val="18"/>
        </w:rPr>
        <w:t>SOUTH SAN FRANCISCO, CA--(Marketwire - Mar 11, 2013) - VistaGen Therapeutics, Inc. (OTCQB : VSTA), a biotechnology company applying stem cell technology for drug rescue, predictive toxicology and drug metabolism assays, today announces it will feature key developments involving </w:t>
      </w:r>
      <w:r>
        <w:rPr>
          <w:i/>
          <w:sz w:val="18"/>
        </w:rPr>
        <w:t>CardioSafe</w:t>
      </w:r>
      <w:r>
        <w:rPr>
          <w:sz w:val="18"/>
        </w:rPr>
        <w:t> 3D™, its pluripotent stem cell-based bioassay system for heart toxicity, in a poster presentation at the Society of Toxicology's 52</w:t>
      </w:r>
      <w:r>
        <w:rPr>
          <w:position w:val="6"/>
          <w:sz w:val="15"/>
          <w:sz w:val="18"/>
        </w:rPr>
        <w:t>nd</w:t>
      </w:r>
      <w:r>
        <w:rPr>
          <w:sz w:val="18"/>
        </w:rPr>
        <w:t> Annual Meeting, the world's premier toxicology conference, in San Antonio, Texas, on March 11, 2013, at 7:30 am PDT.</w:t>
      </w:r>
    </w:p>
    <w:p>
      <w:pPr>
        <w:pStyle w:val="TextBody"/>
        <w:spacing w:before="0" w:after="180"/>
        <w:jc w:val="both"/>
        <w:rPr>
          <w:sz w:val="18"/>
        </w:rPr>
      </w:pPr>
      <w:r>
        <w:rPr>
          <w:sz w:val="18"/>
        </w:rPr>
        <w:t>Dr. Hai-Qing Xian, Senior Scientist, will present VistaGen's poster titled "Development of Improved hESC-Based High-Throughput Screening Assays for Cardiotoxicity Assessment," which will detail the following expanded functional and electrophysiological results:</w:t>
      </w:r>
    </w:p>
    <w:p>
      <w:pPr>
        <w:pStyle w:val="TextBody"/>
        <w:spacing w:before="0" w:after="180"/>
        <w:ind w:left="0" w:right="0" w:hanging="30"/>
        <w:jc w:val="both"/>
        <w:rPr>
          <w:sz w:val="18"/>
        </w:rPr>
      </w:pPr>
      <w:r>
        <w:rPr>
          <w:sz w:val="18"/>
        </w:rPr>
        <w:t>Optimized differentiation protocols that, without selection, reproducibly yield more than 80% human cardiomyocytes (human heart cells) that function reliably in various established and newly developed assays relevant to cardiac drug effects</w:t>
      </w:r>
      <w:r>
        <mc:AlternateContent>
          <mc:Choice Requires="wps">
            <w:drawing>
              <wp:anchor behindDoc="0" distT="0" distB="0" distL="0" distR="0" simplePos="0" locked="0" layoutInCell="1" allowOverlap="1" relativeHeight="10">
                <wp:simplePos x="0" y="0"/>
                <wp:positionH relativeFrom="column">
                  <wp:align>left</wp:align>
                </wp:positionH>
                <wp:positionV relativeFrom="line">
                  <wp:posOffset>635</wp:posOffset>
                </wp:positionV>
                <wp:extent cx="457200" cy="105410"/>
                <wp:effectExtent l="0" t="0" r="0" b="0"/>
                <wp:wrapSquare wrapText="largest"/>
                <wp:docPr id="8" name="Frame7"/>
                <a:graphic xmlns:a="http://schemas.openxmlformats.org/drawingml/2006/main">
                  <a:graphicData uri="http://schemas.microsoft.com/office/word/2010/wordprocessingShape">
                    <wps:wsp>
                      <wps:cNvSpPr txBox="1"/>
                      <wps:spPr>
                        <a:xfrm>
                          <a:off x="0" y="0"/>
                          <a:ext cx="457200" cy="105410"/>
                        </a:xfrm>
                        <a:prstGeom prst="rect"/>
                      </wps:spPr>
                      <wps:txbx>
                        <w:txbxContent>
                          <w:p>
                            <w:pPr>
                              <w:pStyle w:val="TextBody"/>
                              <w:spacing w:before="0" w:after="283"/>
                              <w:rPr>
                                <w:rFonts w:ascii="Symbol" w:hAnsi="Symbol"/>
                                <w:sz w:val="18"/>
                              </w:rPr>
                            </w:pPr>
                            <w:r>
                              <w:rPr>
                                <w:rFonts w:ascii="Symbol" w:hAnsi="Symbol"/>
                                <w:sz w:val="18"/>
                              </w:rPr>
                              <w:t>·</w:t>
                            </w:r>
                          </w:p>
                        </w:txbxContent>
                      </wps:txbx>
                      <wps:bodyPr anchor="t" lIns="0" tIns="0" rIns="0" bIns="0">
                        <a:noAutofit/>
                      </wps:bodyPr>
                    </wps:wsp>
                  </a:graphicData>
                </a:graphic>
              </wp:anchor>
            </w:drawing>
          </mc:Choice>
          <mc:Fallback>
            <w:pict>
              <v:rect style="position:absolute;rotation:0;width:36pt;height:8.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rFonts w:ascii="Symbol" w:hAnsi="Symbol"/>
                          <w:sz w:val="18"/>
                        </w:rPr>
                      </w:pPr>
                      <w:r>
                        <w:rPr>
                          <w:rFonts w:ascii="Symbol" w:hAnsi="Symbol"/>
                          <w:sz w:val="18"/>
                        </w:rPr>
                        <w:t>·</w:t>
                      </w:r>
                    </w:p>
                  </w:txbxContent>
                </v:textbox>
                <w10:wrap type="square" side="right"/>
              </v:rect>
            </w:pict>
          </mc:Fallback>
        </mc:AlternateContent>
      </w:r>
    </w:p>
    <w:p>
      <w:pPr>
        <w:pStyle w:val="TextBody"/>
        <w:spacing w:before="0" w:after="180"/>
        <w:ind w:left="0" w:right="0" w:hanging="30"/>
        <w:jc w:val="both"/>
        <w:rPr>
          <w:sz w:val="18"/>
        </w:rPr>
      </w:pPr>
      <w:r>
        <w:rPr>
          <w:sz w:val="18"/>
        </w:rPr>
        <w:t>The use of patented technology involving the CD172a cell surface marker, allows the purification of substantially pure (more than 95%) human cardiomyocytes</w:t>
      </w:r>
      <w:r>
        <mc:AlternateContent>
          <mc:Choice Requires="wps">
            <w:drawing>
              <wp:anchor behindDoc="0" distT="0" distB="0" distL="0" distR="0" simplePos="0" locked="0" layoutInCell="1" allowOverlap="1" relativeHeight="11">
                <wp:simplePos x="0" y="0"/>
                <wp:positionH relativeFrom="column">
                  <wp:align>left</wp:align>
                </wp:positionH>
                <wp:positionV relativeFrom="line">
                  <wp:posOffset>635</wp:posOffset>
                </wp:positionV>
                <wp:extent cx="457200" cy="105410"/>
                <wp:effectExtent l="0" t="0" r="0" b="0"/>
                <wp:wrapSquare wrapText="largest"/>
                <wp:docPr id="9" name="Frame8"/>
                <a:graphic xmlns:a="http://schemas.openxmlformats.org/drawingml/2006/main">
                  <a:graphicData uri="http://schemas.microsoft.com/office/word/2010/wordprocessingShape">
                    <wps:wsp>
                      <wps:cNvSpPr txBox="1"/>
                      <wps:spPr>
                        <a:xfrm>
                          <a:off x="0" y="0"/>
                          <a:ext cx="457200" cy="105410"/>
                        </a:xfrm>
                        <a:prstGeom prst="rect"/>
                      </wps:spPr>
                      <wps:txbx>
                        <w:txbxContent>
                          <w:p>
                            <w:pPr>
                              <w:pStyle w:val="TextBody"/>
                              <w:spacing w:before="0" w:after="283"/>
                              <w:rPr>
                                <w:rFonts w:ascii="Symbol" w:hAnsi="Symbol"/>
                                <w:sz w:val="18"/>
                              </w:rPr>
                            </w:pPr>
                            <w:r>
                              <w:rPr>
                                <w:rFonts w:ascii="Symbol" w:hAnsi="Symbol"/>
                                <w:sz w:val="18"/>
                              </w:rPr>
                              <w:t>·</w:t>
                            </w:r>
                          </w:p>
                        </w:txbxContent>
                      </wps:txbx>
                      <wps:bodyPr anchor="t" lIns="0" tIns="0" rIns="0" bIns="0">
                        <a:noAutofit/>
                      </wps:bodyPr>
                    </wps:wsp>
                  </a:graphicData>
                </a:graphic>
              </wp:anchor>
            </w:drawing>
          </mc:Choice>
          <mc:Fallback>
            <w:pict>
              <v:rect style="position:absolute;rotation:0;width:36pt;height:8.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rFonts w:ascii="Symbol" w:hAnsi="Symbol"/>
                          <w:sz w:val="18"/>
                        </w:rPr>
                      </w:pPr>
                      <w:r>
                        <w:rPr>
                          <w:rFonts w:ascii="Symbol" w:hAnsi="Symbol"/>
                          <w:sz w:val="18"/>
                        </w:rPr>
                        <w:t>·</w:t>
                      </w:r>
                    </w:p>
                  </w:txbxContent>
                </v:textbox>
                <w10:wrap type="square" side="right"/>
              </v:rect>
            </w:pict>
          </mc:Fallback>
        </mc:AlternateContent>
      </w:r>
    </w:p>
    <w:p>
      <w:pPr>
        <w:pStyle w:val="TextBody"/>
        <w:spacing w:before="0" w:after="180"/>
        <w:ind w:left="0" w:right="0" w:hanging="30"/>
        <w:jc w:val="both"/>
        <w:rPr>
          <w:sz w:val="18"/>
        </w:rPr>
      </w:pPr>
      <w:r>
        <w:rPr>
          <w:sz w:val="18"/>
        </w:rPr>
        <w:t>The development of a series of fluorescence or luminescence-based high-throughput assays that are used to assess drug-induced: 1) necrosis; 2) apoptosis; 3) mitochondrial toxicity; and 4) oxidative stress of human cardiomyocytes</w:t>
      </w:r>
      <w:r>
        <mc:AlternateContent>
          <mc:Choice Requires="wps">
            <w:drawing>
              <wp:anchor behindDoc="0" distT="0" distB="0" distL="0" distR="0" simplePos="0" locked="0" layoutInCell="1" allowOverlap="1" relativeHeight="12">
                <wp:simplePos x="0" y="0"/>
                <wp:positionH relativeFrom="column">
                  <wp:align>left</wp:align>
                </wp:positionH>
                <wp:positionV relativeFrom="line">
                  <wp:posOffset>635</wp:posOffset>
                </wp:positionV>
                <wp:extent cx="457200" cy="105410"/>
                <wp:effectExtent l="0" t="0" r="0" b="0"/>
                <wp:wrapSquare wrapText="largest"/>
                <wp:docPr id="10" name="Frame9"/>
                <a:graphic xmlns:a="http://schemas.openxmlformats.org/drawingml/2006/main">
                  <a:graphicData uri="http://schemas.microsoft.com/office/word/2010/wordprocessingShape">
                    <wps:wsp>
                      <wps:cNvSpPr txBox="1"/>
                      <wps:spPr>
                        <a:xfrm>
                          <a:off x="0" y="0"/>
                          <a:ext cx="457200" cy="105410"/>
                        </a:xfrm>
                        <a:prstGeom prst="rect"/>
                      </wps:spPr>
                      <wps:txbx>
                        <w:txbxContent>
                          <w:p>
                            <w:pPr>
                              <w:pStyle w:val="TextBody"/>
                              <w:spacing w:before="0" w:after="283"/>
                              <w:rPr>
                                <w:rFonts w:ascii="Symbol" w:hAnsi="Symbol"/>
                                <w:sz w:val="18"/>
                              </w:rPr>
                            </w:pPr>
                            <w:r>
                              <w:rPr>
                                <w:rFonts w:ascii="Symbol" w:hAnsi="Symbol"/>
                                <w:sz w:val="18"/>
                              </w:rPr>
                              <w:t>·</w:t>
                            </w:r>
                          </w:p>
                        </w:txbxContent>
                      </wps:txbx>
                      <wps:bodyPr anchor="t" lIns="0" tIns="0" rIns="0" bIns="0">
                        <a:noAutofit/>
                      </wps:bodyPr>
                    </wps:wsp>
                  </a:graphicData>
                </a:graphic>
              </wp:anchor>
            </w:drawing>
          </mc:Choice>
          <mc:Fallback>
            <w:pict>
              <v:rect style="position:absolute;rotation:0;width:36pt;height:8.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rFonts w:ascii="Symbol" w:hAnsi="Symbol"/>
                          <w:sz w:val="18"/>
                        </w:rPr>
                      </w:pPr>
                      <w:r>
                        <w:rPr>
                          <w:rFonts w:ascii="Symbol" w:hAnsi="Symbol"/>
                          <w:sz w:val="18"/>
                        </w:rPr>
                        <w:t>·</w:t>
                      </w:r>
                    </w:p>
                  </w:txbxContent>
                </v:textbox>
                <w10:wrap type="square" side="right"/>
              </v:rect>
            </w:pict>
          </mc:Fallback>
        </mc:AlternateContent>
      </w:r>
    </w:p>
    <w:p>
      <w:pPr>
        <w:pStyle w:val="TextBody"/>
        <w:spacing w:before="0" w:after="180"/>
        <w:ind w:left="0" w:right="0" w:hanging="30"/>
        <w:jc w:val="both"/>
        <w:rPr>
          <w:sz w:val="18"/>
        </w:rPr>
      </w:pPr>
      <w:r>
        <w:rPr>
          <w:sz w:val="18"/>
        </w:rPr>
        <w:t>New assays are validated using compounds that include: 1) inhibitors of protein kinases; 2) DNA intercalating agents; 3) ion-channel blockers; and 4) compounds that block the surface expression of critical ion-channels</w:t>
      </w:r>
      <w:r>
        <mc:AlternateContent>
          <mc:Choice Requires="wps">
            <w:drawing>
              <wp:anchor behindDoc="0" distT="0" distB="0" distL="0" distR="0" simplePos="0" locked="0" layoutInCell="1" allowOverlap="1" relativeHeight="13">
                <wp:simplePos x="0" y="0"/>
                <wp:positionH relativeFrom="column">
                  <wp:align>left</wp:align>
                </wp:positionH>
                <wp:positionV relativeFrom="line">
                  <wp:posOffset>635</wp:posOffset>
                </wp:positionV>
                <wp:extent cx="457200" cy="105410"/>
                <wp:effectExtent l="0" t="0" r="0" b="0"/>
                <wp:wrapSquare wrapText="largest"/>
                <wp:docPr id="11" name="Frame10"/>
                <a:graphic xmlns:a="http://schemas.openxmlformats.org/drawingml/2006/main">
                  <a:graphicData uri="http://schemas.microsoft.com/office/word/2010/wordprocessingShape">
                    <wps:wsp>
                      <wps:cNvSpPr txBox="1"/>
                      <wps:spPr>
                        <a:xfrm>
                          <a:off x="0" y="0"/>
                          <a:ext cx="457200" cy="105410"/>
                        </a:xfrm>
                        <a:prstGeom prst="rect"/>
                      </wps:spPr>
                      <wps:txbx>
                        <w:txbxContent>
                          <w:p>
                            <w:pPr>
                              <w:pStyle w:val="TextBody"/>
                              <w:spacing w:before="0" w:after="283"/>
                              <w:rPr>
                                <w:rFonts w:ascii="Symbol" w:hAnsi="Symbol"/>
                                <w:sz w:val="18"/>
                              </w:rPr>
                            </w:pPr>
                            <w:r>
                              <w:rPr>
                                <w:rFonts w:ascii="Symbol" w:hAnsi="Symbol"/>
                                <w:sz w:val="18"/>
                              </w:rPr>
                              <w:t>·</w:t>
                            </w:r>
                          </w:p>
                        </w:txbxContent>
                      </wps:txbx>
                      <wps:bodyPr anchor="t" lIns="0" tIns="0" rIns="0" bIns="0">
                        <a:noAutofit/>
                      </wps:bodyPr>
                    </wps:wsp>
                  </a:graphicData>
                </a:graphic>
              </wp:anchor>
            </w:drawing>
          </mc:Choice>
          <mc:Fallback>
            <w:pict>
              <v:rect style="position:absolute;rotation:0;width:36pt;height:8.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rFonts w:ascii="Symbol" w:hAnsi="Symbol"/>
                          <w:sz w:val="18"/>
                        </w:rPr>
                      </w:pPr>
                      <w:r>
                        <w:rPr>
                          <w:rFonts w:ascii="Symbol" w:hAnsi="Symbol"/>
                          <w:sz w:val="18"/>
                        </w:rPr>
                        <w:t>·</w:t>
                      </w:r>
                    </w:p>
                  </w:txbxContent>
                </v:textbox>
                <w10:wrap type="square" side="right"/>
              </v:rect>
            </w:pict>
          </mc:Fallback>
        </mc:AlternateContent>
      </w:r>
    </w:p>
    <w:p>
      <w:pPr>
        <w:pStyle w:val="TextBody"/>
        <w:spacing w:before="0" w:after="180"/>
        <w:ind w:left="0" w:right="0" w:hanging="30"/>
        <w:jc w:val="both"/>
        <w:rPr>
          <w:sz w:val="18"/>
        </w:rPr>
      </w:pPr>
      <w:r>
        <w:rPr>
          <w:sz w:val="18"/>
        </w:rPr>
        <w:t>The assays measured drug effects with high sensitivity, yielding results consistent with known human biology of the compounds</w:t>
      </w:r>
      <w:r>
        <mc:AlternateContent>
          <mc:Choice Requires="wps">
            <w:drawing>
              <wp:anchor behindDoc="0" distT="0" distB="0" distL="0" distR="0" simplePos="0" locked="0" layoutInCell="1" allowOverlap="1" relativeHeight="14">
                <wp:simplePos x="0" y="0"/>
                <wp:positionH relativeFrom="column">
                  <wp:align>left</wp:align>
                </wp:positionH>
                <wp:positionV relativeFrom="line">
                  <wp:posOffset>635</wp:posOffset>
                </wp:positionV>
                <wp:extent cx="457200" cy="105410"/>
                <wp:effectExtent l="0" t="0" r="0" b="0"/>
                <wp:wrapSquare wrapText="largest"/>
                <wp:docPr id="12" name="Frame11"/>
                <a:graphic xmlns:a="http://schemas.openxmlformats.org/drawingml/2006/main">
                  <a:graphicData uri="http://schemas.microsoft.com/office/word/2010/wordprocessingShape">
                    <wps:wsp>
                      <wps:cNvSpPr txBox="1"/>
                      <wps:spPr>
                        <a:xfrm>
                          <a:off x="0" y="0"/>
                          <a:ext cx="457200" cy="105410"/>
                        </a:xfrm>
                        <a:prstGeom prst="rect"/>
                      </wps:spPr>
                      <wps:txbx>
                        <w:txbxContent>
                          <w:p>
                            <w:pPr>
                              <w:pStyle w:val="TextBody"/>
                              <w:spacing w:before="0" w:after="283"/>
                              <w:rPr>
                                <w:rFonts w:ascii="Symbol" w:hAnsi="Symbol"/>
                                <w:sz w:val="18"/>
                              </w:rPr>
                            </w:pPr>
                            <w:r>
                              <w:rPr>
                                <w:rFonts w:ascii="Symbol" w:hAnsi="Symbol"/>
                                <w:sz w:val="18"/>
                              </w:rPr>
                              <w:t>·</w:t>
                            </w:r>
                          </w:p>
                        </w:txbxContent>
                      </wps:txbx>
                      <wps:bodyPr anchor="t" lIns="0" tIns="0" rIns="0" bIns="0">
                        <a:noAutofit/>
                      </wps:bodyPr>
                    </wps:wsp>
                  </a:graphicData>
                </a:graphic>
              </wp:anchor>
            </w:drawing>
          </mc:Choice>
          <mc:Fallback>
            <w:pict>
              <v:rect style="position:absolute;rotation:0;width:36pt;height:8.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rFonts w:ascii="Symbol" w:hAnsi="Symbol"/>
                          <w:sz w:val="18"/>
                        </w:rPr>
                      </w:pPr>
                      <w:r>
                        <w:rPr>
                          <w:rFonts w:ascii="Symbol" w:hAnsi="Symbol"/>
                          <w:sz w:val="18"/>
                        </w:rPr>
                        <w:t>·</w:t>
                      </w:r>
                    </w:p>
                  </w:txbxContent>
                </v:textbox>
                <w10:wrap type="square" side="right"/>
              </v:rect>
            </w:pict>
          </mc:Fallback>
        </mc:AlternateContent>
      </w:r>
    </w:p>
    <w:p>
      <w:pPr>
        <w:pStyle w:val="TextBody"/>
        <w:spacing w:before="0" w:after="180"/>
        <w:jc w:val="both"/>
        <w:rPr>
          <w:sz w:val="18"/>
        </w:rPr>
      </w:pPr>
      <w:r>
        <w:rPr>
          <w:sz w:val="18"/>
        </w:rPr>
        <w:t>H. Ralph Snodgrass, PhD, VistaGen's President and Chief Scientific Officer, stated, "I am very pleased with these results, because they confirm that our stem cell-based human cardiomyocyte screening systems will provide improved capabilities and resolution for our cardiac drug rescue programs, which we believe will contribute to the efficient and rapid identification of safer and highly effective new drug therapies."</w:t>
      </w:r>
    </w:p>
    <w:p>
      <w:pPr>
        <w:pStyle w:val="TextBody"/>
        <w:spacing w:before="0" w:after="180"/>
        <w:jc w:val="both"/>
        <w:rPr/>
      </w:pPr>
      <w:r>
        <w:rPr/>
      </w:r>
    </w:p>
    <w:p>
      <w:pPr>
        <w:pStyle w:val="TextBody"/>
        <w:spacing w:before="0" w:after="180"/>
        <w:jc w:val="both"/>
        <w:rPr/>
      </w:pPr>
      <w:r>
        <w:rPr/>
      </w:r>
    </w:p>
    <w:p>
      <w:pPr>
        <w:pStyle w:val="HorizontalLine"/>
        <w:pBdr>
          <w:bottom w:val="single" w:sz="6" w:space="0" w:color="808080"/>
        </w:pBdr>
        <w:rPr/>
      </w:pPr>
      <w:r>
        <w:rPr/>
      </w:r>
      <w:r>
        <w:br w:type="page"/>
      </w:r>
    </w:p>
    <w:p>
      <w:pPr>
        <w:pStyle w:val="TextBody"/>
        <w:spacing w:before="0" w:after="180"/>
        <w:jc w:val="both"/>
        <w:rPr>
          <w:sz w:val="18"/>
        </w:rPr>
      </w:pPr>
      <w:r>
        <w:rPr>
          <w:b/>
          <w:sz w:val="18"/>
        </w:rPr>
        <w:t>About VistaGen Therapeutics</w:t>
      </w:r>
      <w:r>
        <w:rPr>
          <w:sz w:val="18"/>
        </w:rPr>
        <w:t xml:space="preserve"> </w:t>
      </w:r>
    </w:p>
    <w:p>
      <w:pPr>
        <w:pStyle w:val="TextBody"/>
        <w:pBdr/>
        <w:spacing w:before="0" w:after="180"/>
        <w:rPr>
          <w:sz w:val="18"/>
        </w:rPr>
      </w:pPr>
      <w:r>
        <w:rPr>
          <w:sz w:val="18"/>
        </w:rPr>
        <w:t xml:space="preserve">VistaGen is a biotechnology company applying human pluripotent stem cell technology for drug rescue, predictive toxicology and drug metabolism screening. VistaGen’s drug rescue activities combine its human pluripotent stem cell technology platform, Human Clinical Trials in a Test Tube™, with modern medicinal chemistry to generate novel, safer chemical variants (Drug Rescue Variants) of once-promising small molecule drug candidates. These are drug candidates discontinued by pharmaceutical companies, the U.S. National Institutes of Health (NIH) or university laboratories, after substantial investment in discovery and development, due to heart or liver toxicity or metabolism issues. VistaGen uses its pluripotent stem cell technology to generate early indications, or predictions, of how humans will ultimately respond to new drug candidates before they are ever tested in humans, bringing human biology to the front end of the drug development process. </w:t>
      </w:r>
    </w:p>
    <w:p>
      <w:pPr>
        <w:pStyle w:val="TextBody"/>
        <w:pBdr/>
        <w:spacing w:before="0" w:after="180"/>
        <w:rPr>
          <w:sz w:val="18"/>
        </w:rPr>
      </w:pPr>
      <w:r>
        <w:rPr>
          <w:sz w:val="18"/>
        </w:rPr>
        <w:t xml:space="preserve">VistaGen’s small molecule prodrug candidate, AV-101, has completed Phase 1 development for treatment of neuropathic pain. Neuropathic pain, a serious and chronic condition causing pain after an injury or disease of the peripheral or central nervous system, affects millions of people worldwide. </w:t>
      </w:r>
    </w:p>
    <w:p>
      <w:pPr>
        <w:pStyle w:val="TextBody"/>
        <w:pBdr/>
        <w:spacing w:before="0" w:after="180"/>
        <w:rPr>
          <w:sz w:val="18"/>
        </w:rPr>
      </w:pPr>
      <w:r>
        <w:rPr>
          <w:sz w:val="18"/>
        </w:rPr>
        <w:t xml:space="preserve">Visit VistaGen at </w:t>
      </w:r>
      <w:r>
        <w:rPr>
          <w:b w:val="false"/>
          <w:color w:val="0000FF"/>
          <w:sz w:val="18"/>
          <w:u w:val="single"/>
        </w:rPr>
        <w:t>http://www.VistaGen.com</w:t>
      </w:r>
      <w:r>
        <w:rPr>
          <w:sz w:val="18"/>
        </w:rPr>
        <w:t xml:space="preserve">, follow VistaGen at </w:t>
      </w:r>
      <w:r>
        <w:rPr>
          <w:b w:val="false"/>
          <w:color w:val="0000FF"/>
          <w:sz w:val="18"/>
          <w:u w:val="single"/>
        </w:rPr>
        <w:t>http://www.twitter.com/VistaGen</w:t>
      </w:r>
      <w:r>
        <w:rPr>
          <w:sz w:val="18"/>
        </w:rPr>
        <w:t xml:space="preserve"> or view VistaGen’s Facebook page at </w:t>
      </w:r>
      <w:r>
        <w:rPr>
          <w:b w:val="false"/>
          <w:color w:val="0000FF"/>
          <w:sz w:val="18"/>
          <w:u w:val="single"/>
        </w:rPr>
        <w:t>http://www.facebook.com/VistaGen</w:t>
      </w:r>
      <w:r>
        <w:rPr>
          <w:sz w:val="18"/>
        </w:rPr>
        <w:t>.</w:t>
      </w:r>
    </w:p>
    <w:p>
      <w:pPr>
        <w:pStyle w:val="TextBody"/>
        <w:pBdr/>
        <w:spacing w:before="0" w:after="180"/>
        <w:rPr>
          <w:sz w:val="18"/>
        </w:rPr>
      </w:pPr>
      <w:r>
        <w:rPr>
          <w:b/>
          <w:sz w:val="18"/>
        </w:rPr>
        <w:t>Cautionary Statement Regarding Forward Looking Statements</w:t>
      </w:r>
      <w:r>
        <w:rPr>
          <w:sz w:val="18"/>
        </w:rPr>
        <w:t xml:space="preserve"> </w:t>
      </w:r>
    </w:p>
    <w:p>
      <w:pPr>
        <w:pStyle w:val="TextBody"/>
        <w:pBdr/>
        <w:spacing w:before="0" w:after="180"/>
        <w:rPr>
          <w:sz w:val="18"/>
        </w:rPr>
      </w:pPr>
      <w:r>
        <w:rPr>
          <w:sz w:val="18"/>
        </w:rPr>
        <w:t xml:space="preserve">The statements in this press release that are not historical facts may constitute forward-looking statements that are based on current expectations and are subject to risks and uncertainties that could cause actual future results to differ materially from those expressed or implied by such statements. Those risks and uncertainties include, but are not limited to, risks related to the success of VistaGen's stem cell technology-based drug rescue, predictive toxicology and metabolism screening activities, further development of stem cell-based bioassay systems, clinical development and commercialization of AV-101 for neuropathic pain or any other disease or condition, its ability to enter into strategic predictive toxicology, metabolism screening, drug rescue and/or drug discovery, development and commercialization collaborations and/or licensing arrangements with respect to one or more drug rescue variants, cell therapies or AV-101, risks and uncertainties relating to the availability of substantial additional capital to support its research, drug rescue, development and commercialization activities, and the success of its research and development plans and strategies, including those plans and strategies related to any drug rescue variant or cell therapy identified and developed by VistaGen, or AV-101. These and other risks and uncertainties are identified and described in more detail in VistaGen's filings with the Securities and Exchange Commission (SEC). These filings are available on the SEC's website at </w:t>
      </w:r>
      <w:r>
        <w:rPr>
          <w:b w:val="false"/>
          <w:color w:val="0000FF"/>
          <w:sz w:val="18"/>
          <w:u w:val="single"/>
        </w:rPr>
        <w:t>www.sec.gov</w:t>
      </w:r>
      <w:r>
        <w:rPr>
          <w:sz w:val="18"/>
        </w:rPr>
        <w:t xml:space="preserve">. VistaGen undertakes no obligation to publicly update or revise any forward-looking statements. </w:t>
      </w:r>
    </w:p>
    <w:p>
      <w:pPr>
        <w:pStyle w:val="TextBody"/>
        <w:spacing w:before="0" w:after="180"/>
        <w:rPr/>
      </w:pPr>
      <w:r>
        <w:rPr/>
      </w:r>
    </w:p>
    <w:p>
      <w:pPr>
        <w:pStyle w:val="TextBody"/>
        <w:spacing w:before="0" w:after="180"/>
        <w:rPr/>
      </w:pPr>
      <w:r>
        <w:rPr/>
      </w:r>
    </w:p>
    <w:p>
      <w:pPr>
        <w:pStyle w:val="HorizontalLine"/>
        <w:pBdr>
          <w:bottom w:val="single" w:sz="6" w:space="0" w:color="808080"/>
        </w:pBdr>
        <w:rPr/>
      </w:pPr>
      <w:r>
        <w:rPr/>
      </w:r>
      <w:r>
        <w:br w:type="page"/>
      </w:r>
    </w:p>
    <w:p>
      <w:pPr>
        <w:pStyle w:val="TextBody"/>
        <w:pBdr/>
        <w:spacing w:before="0" w:after="180"/>
        <w:rPr>
          <w:b/>
          <w:sz w:val="18"/>
        </w:rPr>
      </w:pPr>
      <w:r>
        <w:rPr>
          <w:b/>
          <w:sz w:val="18"/>
        </w:rPr>
        <w:t>For more information:</w:t>
      </w:r>
    </w:p>
    <w:tbl>
      <w:tblPr>
        <w:tblW w:w="10140" w:type="dxa"/>
        <w:jc w:val="center"/>
        <w:tblInd w:w="0" w:type="dxa"/>
        <w:tblCellMar>
          <w:top w:w="0" w:type="dxa"/>
          <w:left w:w="0" w:type="dxa"/>
          <w:bottom w:w="0" w:type="dxa"/>
          <w:right w:w="0" w:type="dxa"/>
        </w:tblCellMar>
      </w:tblPr>
      <w:tblGrid>
        <w:gridCol w:w="5070"/>
        <w:gridCol w:w="5070"/>
      </w:tblGrid>
      <w:tr>
        <w:trPr/>
        <w:tc>
          <w:tcPr>
            <w:tcW w:w="5070" w:type="dxa"/>
            <w:tcBorders/>
            <w:shd w:fill="auto" w:val="clear"/>
            <w:vAlign w:val="center"/>
          </w:tcPr>
          <w:p>
            <w:pPr>
              <w:pStyle w:val="TableContents"/>
              <w:spacing w:before="0" w:after="283"/>
              <w:rPr>
                <w:sz w:val="4"/>
                <w:szCs w:val="4"/>
              </w:rPr>
            </w:pPr>
            <w:r>
              <w:rPr>
                <w:sz w:val="4"/>
                <w:szCs w:val="4"/>
              </w:rPr>
            </w:r>
          </w:p>
        </w:tc>
        <w:tc>
          <w:tcPr>
            <w:tcW w:w="5070" w:type="dxa"/>
            <w:tcBorders/>
            <w:shd w:fill="auto" w:val="clear"/>
            <w:vAlign w:val="center"/>
          </w:tcPr>
          <w:p>
            <w:pPr>
              <w:pStyle w:val="TableContents"/>
              <w:spacing w:before="0" w:after="283"/>
              <w:ind w:left="0" w:right="0" w:firstLine="60"/>
              <w:rPr>
                <w:sz w:val="4"/>
                <w:szCs w:val="4"/>
              </w:rPr>
            </w:pPr>
            <w:r>
              <w:rPr>
                <w:sz w:val="4"/>
                <w:szCs w:val="4"/>
              </w:rPr>
            </w:r>
          </w:p>
        </w:tc>
      </w:tr>
      <w:tr>
        <w:trPr/>
        <w:tc>
          <w:tcPr>
            <w:tcW w:w="5070" w:type="dxa"/>
            <w:tcBorders/>
            <w:shd w:fill="auto" w:val="clear"/>
          </w:tcPr>
          <w:p>
            <w:pPr>
              <w:pStyle w:val="TableContents"/>
              <w:pBdr/>
              <w:spacing w:before="0" w:after="180"/>
              <w:ind w:left="0" w:right="0" w:firstLine="60"/>
              <w:rPr>
                <w:sz w:val="18"/>
              </w:rPr>
            </w:pPr>
            <w:r>
              <w:rPr>
                <w:sz w:val="18"/>
              </w:rPr>
              <w:t>Shawn K. Singh, J.D.</w:t>
            </w:r>
          </w:p>
          <w:p>
            <w:pPr>
              <w:pStyle w:val="TableContents"/>
              <w:pBdr/>
              <w:spacing w:before="0" w:after="180"/>
              <w:ind w:left="0" w:right="0" w:firstLine="60"/>
              <w:rPr>
                <w:sz w:val="18"/>
              </w:rPr>
            </w:pPr>
            <w:r>
              <w:rPr>
                <w:sz w:val="18"/>
              </w:rPr>
              <w:t>Chief Executive Officer</w:t>
            </w:r>
          </w:p>
          <w:p>
            <w:pPr>
              <w:pStyle w:val="TableContents"/>
              <w:pBdr/>
              <w:spacing w:before="0" w:after="180"/>
              <w:ind w:left="0" w:right="0" w:firstLine="60"/>
              <w:rPr>
                <w:sz w:val="18"/>
              </w:rPr>
            </w:pPr>
            <w:r>
              <w:rPr>
                <w:sz w:val="18"/>
              </w:rPr>
              <w:t>VistaGen Therapeutics, Inc.</w:t>
            </w:r>
          </w:p>
          <w:p>
            <w:pPr>
              <w:pStyle w:val="TableContents"/>
              <w:pBdr/>
              <w:spacing w:before="0" w:after="180"/>
              <w:ind w:left="0" w:right="0" w:firstLine="60"/>
              <w:rPr>
                <w:color w:val="0000FF"/>
                <w:sz w:val="18"/>
              </w:rPr>
            </w:pPr>
            <w:r>
              <w:rPr>
                <w:color w:val="0000FF"/>
                <w:sz w:val="18"/>
                <w:u w:val="single"/>
              </w:rPr>
              <w:t>www.VistaGen.com</w:t>
            </w:r>
            <w:r>
              <w:rPr>
                <w:color w:val="000000"/>
                <w:sz w:val="18"/>
              </w:rPr>
              <w:t xml:space="preserve"> </w:t>
            </w:r>
          </w:p>
          <w:p>
            <w:pPr>
              <w:pStyle w:val="TableContents"/>
              <w:pBdr/>
              <w:spacing w:before="0" w:after="180"/>
              <w:ind w:left="0" w:right="0" w:firstLine="60"/>
              <w:rPr>
                <w:sz w:val="18"/>
              </w:rPr>
            </w:pPr>
            <w:r>
              <w:rPr>
                <w:sz w:val="18"/>
              </w:rPr>
              <w:t>650-244-9990 x224</w:t>
            </w:r>
          </w:p>
          <w:p>
            <w:pPr>
              <w:pStyle w:val="TableContents"/>
              <w:pBdr/>
              <w:spacing w:before="0" w:after="180"/>
              <w:ind w:left="0" w:right="0" w:firstLine="60"/>
              <w:rPr>
                <w:color w:val="0000FF"/>
                <w:sz w:val="18"/>
                <w:u w:val="single"/>
              </w:rPr>
            </w:pPr>
            <w:r>
              <w:rPr>
                <w:color w:val="0000FF"/>
                <w:sz w:val="18"/>
                <w:u w:val="single"/>
              </w:rPr>
              <w:t>Investor.Relations@VistaGen.com</w:t>
            </w:r>
          </w:p>
          <w:p>
            <w:pPr>
              <w:pStyle w:val="TableContents"/>
              <w:spacing w:before="0" w:after="180"/>
              <w:ind w:left="0" w:right="0" w:firstLine="60"/>
              <w:rPr/>
            </w:pPr>
            <w:r>
              <w:rPr/>
            </w:r>
          </w:p>
        </w:tc>
        <w:tc>
          <w:tcPr>
            <w:tcW w:w="5070" w:type="dxa"/>
            <w:tcBorders/>
            <w:shd w:fill="auto" w:val="clear"/>
          </w:tcPr>
          <w:p>
            <w:pPr>
              <w:pStyle w:val="TableContents"/>
              <w:pBdr/>
              <w:spacing w:before="0" w:after="180"/>
              <w:ind w:left="0" w:right="0" w:firstLine="60"/>
              <w:rPr>
                <w:sz w:val="18"/>
              </w:rPr>
            </w:pPr>
            <w:r>
              <w:rPr>
                <w:sz w:val="18"/>
              </w:rPr>
              <w:t>Mission Investor Relations</w:t>
            </w:r>
          </w:p>
          <w:p>
            <w:pPr>
              <w:pStyle w:val="TableContents"/>
              <w:pBdr/>
              <w:spacing w:before="0" w:after="180"/>
              <w:ind w:left="0" w:right="0" w:firstLine="60"/>
              <w:rPr>
                <w:sz w:val="18"/>
              </w:rPr>
            </w:pPr>
            <w:r>
              <w:rPr>
                <w:sz w:val="18"/>
              </w:rPr>
              <w:t>IR Communications</w:t>
            </w:r>
          </w:p>
          <w:p>
            <w:pPr>
              <w:pStyle w:val="TableContents"/>
              <w:pBdr/>
              <w:spacing w:before="0" w:after="180"/>
              <w:ind w:left="0" w:right="0" w:firstLine="60"/>
              <w:rPr>
                <w:sz w:val="18"/>
              </w:rPr>
            </w:pPr>
            <w:r>
              <w:rPr>
                <w:sz w:val="18"/>
              </w:rPr>
              <w:t>Atlanta, Georgia</w:t>
            </w:r>
          </w:p>
          <w:p>
            <w:pPr>
              <w:pStyle w:val="TableContents"/>
              <w:pBdr/>
              <w:spacing w:before="0" w:after="180"/>
              <w:ind w:left="0" w:right="0" w:firstLine="60"/>
              <w:rPr>
                <w:color w:val="0000FF"/>
                <w:sz w:val="18"/>
              </w:rPr>
            </w:pPr>
            <w:r>
              <w:rPr>
                <w:color w:val="0000FF"/>
                <w:sz w:val="18"/>
                <w:u w:val="single"/>
              </w:rPr>
              <w:t>www.MissionIR.com</w:t>
            </w:r>
            <w:r>
              <w:rPr>
                <w:color w:val="000000"/>
                <w:sz w:val="18"/>
              </w:rPr>
              <w:t xml:space="preserve"> </w:t>
            </w:r>
          </w:p>
          <w:p>
            <w:pPr>
              <w:pStyle w:val="TableContents"/>
              <w:pBdr/>
              <w:spacing w:before="0" w:after="180"/>
              <w:ind w:left="0" w:right="0" w:firstLine="60"/>
              <w:rPr>
                <w:sz w:val="18"/>
              </w:rPr>
            </w:pPr>
            <w:r>
              <w:rPr>
                <w:sz w:val="18"/>
              </w:rPr>
              <w:t>404-941-8975</w:t>
            </w:r>
          </w:p>
          <w:p>
            <w:pPr>
              <w:pStyle w:val="TableContents"/>
              <w:pBdr/>
              <w:spacing w:before="0" w:after="180"/>
              <w:ind w:left="0" w:right="0" w:firstLine="60"/>
              <w:rPr>
                <w:color w:val="0000FF"/>
                <w:sz w:val="18"/>
                <w:u w:val="single"/>
              </w:rPr>
            </w:pPr>
            <w:r>
              <w:rPr>
                <w:color w:val="0000FF"/>
                <w:sz w:val="18"/>
                <w:u w:val="single"/>
              </w:rPr>
              <w:t>Investors@MissionIR.com</w:t>
            </w:r>
          </w:p>
          <w:p>
            <w:pPr>
              <w:pStyle w:val="TableContents"/>
              <w:spacing w:before="0" w:after="180"/>
              <w:ind w:left="0" w:right="0" w:firstLine="60"/>
              <w:rPr/>
            </w:pPr>
            <w:r>
              <w:rPr/>
            </w:r>
          </w:p>
        </w:tc>
      </w:tr>
    </w:tbl>
    <w:p>
      <w:pPr>
        <w:pStyle w:val="TextBody"/>
        <w:spacing w:before="0" w:after="180"/>
        <w:rPr/>
      </w:pPr>
      <w:r>
        <w:rPr/>
      </w:r>
    </w:p>
    <w:p>
      <w:pPr>
        <w:pStyle w:val="TextBody"/>
        <w:spacing w:before="0" w:after="180"/>
        <w:rPr/>
      </w:pPr>
      <w:r>
        <w:rPr/>
      </w:r>
      <w:r>
        <w:br w:type="page"/>
      </w:r>
    </w:p>
    <w:p>
      <w:pPr>
        <w:pStyle w:val="TextBody"/>
        <w:spacing w:before="0" w:after="105"/>
        <w:jc w:val="center"/>
        <w:rPr/>
      </w:pPr>
      <w:bookmarkStart w:id="6" w:name="ex99-03132013_090356.htm"/>
      <w:bookmarkStart w:id="7" w:name="ksex9903132013_090356"/>
      <w:bookmarkEnd w:id="6"/>
      <w:bookmarkEnd w:id="7"/>
      <w:r>
        <w:rPr/>
        <w:drawing>
          <wp:inline distT="0" distB="0" distL="0" distR="0">
            <wp:extent cx="2286000" cy="1076325"/>
            <wp:effectExtent l="0" t="0" r="0" b="0"/>
            <wp:docPr id="1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2" descr=""/>
                    <pic:cNvPicPr>
                      <a:picLocks noChangeAspect="1" noChangeArrowheads="1"/>
                    </pic:cNvPicPr>
                  </pic:nvPicPr>
                  <pic:blipFill>
                    <a:blip r:embed="rId3"/>
                    <a:stretch>
                      <a:fillRect/>
                    </a:stretch>
                  </pic:blipFill>
                  <pic:spPr bwMode="auto">
                    <a:xfrm>
                      <a:off x="0" y="0"/>
                      <a:ext cx="2286000" cy="1076325"/>
                    </a:xfrm>
                    <a:prstGeom prst="rect">
                      <a:avLst/>
                    </a:prstGeom>
                  </pic:spPr>
                </pic:pic>
              </a:graphicData>
            </a:graphic>
          </wp:inline>
        </w:drawing>
      </w:r>
    </w:p>
    <w:p>
      <w:pPr>
        <w:pStyle w:val="TextBody"/>
        <w:spacing w:before="120" w:after="120"/>
        <w:jc w:val="center"/>
        <w:rPr>
          <w:b/>
          <w:sz w:val="23"/>
        </w:rPr>
      </w:pPr>
      <w:r>
        <w:rPr>
          <w:b/>
          <w:sz w:val="23"/>
        </w:rPr>
        <w:t>VistaGen Therapeutics to Present Enhancements and Expanded Validation of LiverSafe 3D(TM) at Society of Toxicology's 52nd Annual Meeting</w:t>
      </w:r>
    </w:p>
    <w:p>
      <w:pPr>
        <w:pStyle w:val="TextBody"/>
        <w:spacing w:before="0" w:after="180"/>
        <w:jc w:val="both"/>
        <w:rPr>
          <w:sz w:val="18"/>
        </w:rPr>
      </w:pPr>
      <w:r>
        <w:rPr>
          <w:sz w:val="18"/>
        </w:rPr>
        <w:t>SOUTH SAN FRANCISCO, CA--(Marketwire - Mar 12, 2013) - VistaGen Therapeutics, Inc. (OTCQB : VSTA), a biotechnology company applying stem cell technology for drug rescue, predictive toxicology and drug metabolism assays, today announces that it will present key enhancements to </w:t>
      </w:r>
      <w:r>
        <w:rPr>
          <w:i/>
          <w:sz w:val="18"/>
        </w:rPr>
        <w:t>LiverSafe </w:t>
      </w:r>
      <w:r>
        <w:rPr>
          <w:sz w:val="18"/>
        </w:rPr>
        <w:t>3D™, its human liver cell-based bioassay system designed to predict liver toxicity and drug metabolism issues, in a poster presentation at the Society of Toxicology's 52</w:t>
      </w:r>
      <w:r>
        <w:rPr>
          <w:position w:val="6"/>
          <w:sz w:val="15"/>
          <w:sz w:val="18"/>
        </w:rPr>
        <w:t>nd</w:t>
      </w:r>
      <w:r>
        <w:rPr>
          <w:sz w:val="18"/>
        </w:rPr>
        <w:t> Annual Meeting, the world's premier toxicology conference, in San Antonio, Texas, on March 12, 2013, at 11:00 am PDT.</w:t>
      </w:r>
    </w:p>
    <w:p>
      <w:pPr>
        <w:pStyle w:val="TextBody"/>
        <w:spacing w:before="0" w:after="180"/>
        <w:jc w:val="both"/>
        <w:rPr>
          <w:sz w:val="18"/>
        </w:rPr>
      </w:pPr>
      <w:r>
        <w:rPr>
          <w:sz w:val="18"/>
        </w:rPr>
        <w:t>Dr. Kristina Bonham, Senior Scientist, Hepatocyte Biology Project Leader, will present VistaGen's poster titled "Selection of CYP3A4</w:t>
      </w:r>
      <w:r>
        <w:rPr>
          <w:b/>
          <w:sz w:val="18"/>
        </w:rPr>
        <w:t>+</w:t>
      </w:r>
      <w:r>
        <w:rPr>
          <w:sz w:val="18"/>
        </w:rPr>
        <w:t> hESC-derived Hepatocytes for Drug Metabolism and Toxicity Assays," which will detail the following expanded data:</w:t>
      </w:r>
    </w:p>
    <w:p>
      <w:pPr>
        <w:pStyle w:val="TextBody"/>
        <w:spacing w:before="0" w:after="180"/>
        <w:ind w:left="0" w:right="0" w:hanging="30"/>
        <w:jc w:val="both"/>
        <w:rPr>
          <w:sz w:val="18"/>
        </w:rPr>
      </w:pPr>
      <w:r>
        <w:rPr>
          <w:sz w:val="18"/>
        </w:rPr>
        <w:t>3A4BLA-hepatocytes (human liver cells) can be used to: monitor the differentiation of mature hepatocytes; sort for mature hepatocytes; monitor drug induction of the CYP3A4 gene, the crucial adult enzyme responsible for metabolizing approximately 50% of existing drugs; and develop in vitro assays for drug metabolism and toxicity</w:t>
      </w:r>
      <w:r>
        <mc:AlternateContent>
          <mc:Choice Requires="wps">
            <w:drawing>
              <wp:anchor behindDoc="0" distT="0" distB="0" distL="0" distR="0" simplePos="0" locked="0" layoutInCell="1" allowOverlap="1" relativeHeight="15">
                <wp:simplePos x="0" y="0"/>
                <wp:positionH relativeFrom="column">
                  <wp:align>left</wp:align>
                </wp:positionH>
                <wp:positionV relativeFrom="line">
                  <wp:posOffset>635</wp:posOffset>
                </wp:positionV>
                <wp:extent cx="457200" cy="105410"/>
                <wp:effectExtent l="0" t="0" r="0" b="0"/>
                <wp:wrapSquare wrapText="largest"/>
                <wp:docPr id="14" name="Frame12"/>
                <a:graphic xmlns:a="http://schemas.openxmlformats.org/drawingml/2006/main">
                  <a:graphicData uri="http://schemas.microsoft.com/office/word/2010/wordprocessingShape">
                    <wps:wsp>
                      <wps:cNvSpPr txBox="1"/>
                      <wps:spPr>
                        <a:xfrm>
                          <a:off x="0" y="0"/>
                          <a:ext cx="457200" cy="105410"/>
                        </a:xfrm>
                        <a:prstGeom prst="rect"/>
                      </wps:spPr>
                      <wps:txbx>
                        <w:txbxContent>
                          <w:p>
                            <w:pPr>
                              <w:pStyle w:val="TextBody"/>
                              <w:spacing w:before="0" w:after="283"/>
                              <w:rPr>
                                <w:rFonts w:ascii="Symbol" w:hAnsi="Symbol"/>
                                <w:sz w:val="18"/>
                              </w:rPr>
                            </w:pPr>
                            <w:r>
                              <w:rPr>
                                <w:rFonts w:ascii="Symbol" w:hAnsi="Symbol"/>
                                <w:sz w:val="18"/>
                              </w:rPr>
                              <w:t>·</w:t>
                            </w:r>
                          </w:p>
                        </w:txbxContent>
                      </wps:txbx>
                      <wps:bodyPr anchor="t" lIns="0" tIns="0" rIns="0" bIns="0">
                        <a:noAutofit/>
                      </wps:bodyPr>
                    </wps:wsp>
                  </a:graphicData>
                </a:graphic>
              </wp:anchor>
            </w:drawing>
          </mc:Choice>
          <mc:Fallback>
            <w:pict>
              <v:rect style="position:absolute;rotation:0;width:36pt;height:8.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rFonts w:ascii="Symbol" w:hAnsi="Symbol"/>
                          <w:sz w:val="18"/>
                        </w:rPr>
                      </w:pPr>
                      <w:r>
                        <w:rPr>
                          <w:rFonts w:ascii="Symbol" w:hAnsi="Symbol"/>
                          <w:sz w:val="18"/>
                        </w:rPr>
                        <w:t>·</w:t>
                      </w:r>
                    </w:p>
                  </w:txbxContent>
                </v:textbox>
                <w10:wrap type="square" side="right"/>
              </v:rect>
            </w:pict>
          </mc:Fallback>
        </mc:AlternateContent>
      </w:r>
    </w:p>
    <w:p>
      <w:pPr>
        <w:pStyle w:val="TextBody"/>
        <w:spacing w:before="0" w:after="180"/>
        <w:ind w:left="0" w:right="0" w:hanging="30"/>
        <w:jc w:val="both"/>
        <w:rPr>
          <w:sz w:val="18"/>
        </w:rPr>
      </w:pPr>
      <w:r>
        <w:rPr>
          <w:sz w:val="18"/>
        </w:rPr>
        <w:t>Using appropriate reagents, the 3A4BLA system can be used to select and enrich stem cell-derived functionally mature hepatocytes</w:t>
      </w:r>
      <w:r>
        <mc:AlternateContent>
          <mc:Choice Requires="wps">
            <w:drawing>
              <wp:anchor behindDoc="0" distT="0" distB="0" distL="0" distR="0" simplePos="0" locked="0" layoutInCell="1" allowOverlap="1" relativeHeight="16">
                <wp:simplePos x="0" y="0"/>
                <wp:positionH relativeFrom="column">
                  <wp:align>left</wp:align>
                </wp:positionH>
                <wp:positionV relativeFrom="line">
                  <wp:posOffset>635</wp:posOffset>
                </wp:positionV>
                <wp:extent cx="457200" cy="105410"/>
                <wp:effectExtent l="0" t="0" r="0" b="0"/>
                <wp:wrapSquare wrapText="largest"/>
                <wp:docPr id="15" name="Frame13"/>
                <a:graphic xmlns:a="http://schemas.openxmlformats.org/drawingml/2006/main">
                  <a:graphicData uri="http://schemas.microsoft.com/office/word/2010/wordprocessingShape">
                    <wps:wsp>
                      <wps:cNvSpPr txBox="1"/>
                      <wps:spPr>
                        <a:xfrm>
                          <a:off x="0" y="0"/>
                          <a:ext cx="457200" cy="105410"/>
                        </a:xfrm>
                        <a:prstGeom prst="rect"/>
                      </wps:spPr>
                      <wps:txbx>
                        <w:txbxContent>
                          <w:p>
                            <w:pPr>
                              <w:pStyle w:val="TextBody"/>
                              <w:spacing w:before="0" w:after="283"/>
                              <w:rPr>
                                <w:rFonts w:ascii="Symbol" w:hAnsi="Symbol"/>
                                <w:sz w:val="18"/>
                              </w:rPr>
                            </w:pPr>
                            <w:r>
                              <w:rPr>
                                <w:rFonts w:ascii="Symbol" w:hAnsi="Symbol"/>
                                <w:sz w:val="18"/>
                              </w:rPr>
                              <w:t>·</w:t>
                            </w:r>
                          </w:p>
                        </w:txbxContent>
                      </wps:txbx>
                      <wps:bodyPr anchor="t" lIns="0" tIns="0" rIns="0" bIns="0">
                        <a:noAutofit/>
                      </wps:bodyPr>
                    </wps:wsp>
                  </a:graphicData>
                </a:graphic>
              </wp:anchor>
            </w:drawing>
          </mc:Choice>
          <mc:Fallback>
            <w:pict>
              <v:rect style="position:absolute;rotation:0;width:36pt;height:8.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rFonts w:ascii="Symbol" w:hAnsi="Symbol"/>
                          <w:sz w:val="18"/>
                        </w:rPr>
                      </w:pPr>
                      <w:r>
                        <w:rPr>
                          <w:rFonts w:ascii="Symbol" w:hAnsi="Symbol"/>
                          <w:sz w:val="18"/>
                        </w:rPr>
                        <w:t>·</w:t>
                      </w:r>
                    </w:p>
                  </w:txbxContent>
                </v:textbox>
                <w10:wrap type="square" side="right"/>
              </v:rect>
            </w:pict>
          </mc:Fallback>
        </mc:AlternateContent>
      </w:r>
    </w:p>
    <w:p>
      <w:pPr>
        <w:pStyle w:val="TextBody"/>
        <w:spacing w:before="0" w:after="180"/>
        <w:jc w:val="both"/>
        <w:rPr>
          <w:sz w:val="18"/>
        </w:rPr>
      </w:pPr>
      <w:r>
        <w:rPr>
          <w:sz w:val="18"/>
        </w:rPr>
        <w:t>H. Ralph Snodgrass, PhD, VistaGen's President and Chief Scientific Officer, stated, "These data demonstrate that we have substantially improved our </w:t>
      </w:r>
      <w:r>
        <w:rPr>
          <w:i/>
          <w:sz w:val="18"/>
        </w:rPr>
        <w:t>LiverSafe </w:t>
      </w:r>
      <w:r>
        <w:rPr>
          <w:sz w:val="18"/>
        </w:rPr>
        <w:t>3D™ and now have the potential to identify and purify human hepatocytes with more mature functions, as well as provide a novel assay for drugs that effect CYP3A4 enzyme expression, activity and key drug-drug interactions." Dr. Snodgrass continued, "I am excited by the fact that further improvements in our differentiation protocols have enabled our scientists to produce cultures with more than 80% mature hepatocytes expressing CYP3A4 without cell enrichment, which will dramatically accelerate our initiation of drug rescue programs focusing on both liver and heart toxicity." </w:t>
      </w:r>
    </w:p>
    <w:p>
      <w:pPr>
        <w:pStyle w:val="TextBody"/>
        <w:spacing w:before="0" w:after="180"/>
        <w:jc w:val="both"/>
        <w:rPr>
          <w:sz w:val="18"/>
        </w:rPr>
      </w:pPr>
      <w:r>
        <w:rPr>
          <w:b/>
          <w:sz w:val="18"/>
        </w:rPr>
        <w:t>About VistaGen Therapeutics</w:t>
      </w:r>
      <w:r>
        <w:rPr>
          <w:sz w:val="18"/>
        </w:rPr>
        <w:t xml:space="preserve"> </w:t>
      </w:r>
    </w:p>
    <w:p>
      <w:pPr>
        <w:pStyle w:val="TextBody"/>
        <w:pBdr/>
        <w:spacing w:before="0" w:after="180"/>
        <w:rPr>
          <w:sz w:val="18"/>
        </w:rPr>
      </w:pPr>
      <w:r>
        <w:rPr>
          <w:sz w:val="18"/>
        </w:rPr>
        <w:t xml:space="preserve">VistaGen is a biotechnology company applying human pluripotent stem cell technology for drug rescue, predictive toxicology and drug metabolism screening. VistaGen’s drug rescue activities combine its human pluripotent stem cell technology platform, Human Clinical Trials in a Test Tube™, with modern medicinal chemistry to generate novel, safer chemical variants (Drug Rescue Variants) of once-promising small molecule drug candidates. These are drug candidates discontinued by pharmaceutical companies, the U.S. National Institutes of Health (NIH) or university laboratories, after substantial investment in discovery and development, due to heart or liver toxicity or metabolism issues. VistaGen uses its pluripotent stem cell technology to </w:t>
      </w:r>
    </w:p>
    <w:p>
      <w:pPr>
        <w:pStyle w:val="TextBody"/>
        <w:spacing w:before="0" w:after="180"/>
        <w:rPr/>
      </w:pPr>
      <w:r>
        <w:rPr/>
      </w:r>
    </w:p>
    <w:p>
      <w:pPr>
        <w:pStyle w:val="HorizontalLine"/>
        <w:pBdr>
          <w:bottom w:val="single" w:sz="6" w:space="0" w:color="808080"/>
        </w:pBdr>
        <w:rPr/>
      </w:pPr>
      <w:r>
        <w:rPr/>
      </w:r>
      <w:r>
        <w:br w:type="page"/>
      </w:r>
    </w:p>
    <w:p>
      <w:pPr>
        <w:pStyle w:val="TextBody"/>
        <w:pBdr/>
        <w:spacing w:before="0" w:after="180"/>
        <w:rPr>
          <w:sz w:val="18"/>
        </w:rPr>
      </w:pPr>
      <w:r>
        <w:rPr>
          <w:sz w:val="18"/>
        </w:rPr>
        <w:t xml:space="preserve">generate early indications, or predictions, of how humans will ultimately respond to new drug candidates before they are ever tested in humans, bringing human biology to the front end of the drug development process. </w:t>
      </w:r>
    </w:p>
    <w:p>
      <w:pPr>
        <w:pStyle w:val="TextBody"/>
        <w:pBdr/>
        <w:spacing w:before="0" w:after="180"/>
        <w:rPr>
          <w:sz w:val="18"/>
        </w:rPr>
      </w:pPr>
      <w:r>
        <w:rPr>
          <w:sz w:val="18"/>
        </w:rPr>
        <w:t xml:space="preserve">VistaGen’s small molecule prodrug candidate, AV-101, has completed Phase 1 development for treatment of neuropathic pain. Neuropathic pain, a serious and chronic condition causing pain after an injury or disease of the peripheral or central nervous system, affects millions of people worldwide. </w:t>
      </w:r>
    </w:p>
    <w:p>
      <w:pPr>
        <w:pStyle w:val="TextBody"/>
        <w:pBdr/>
        <w:spacing w:before="0" w:after="180"/>
        <w:rPr>
          <w:sz w:val="18"/>
        </w:rPr>
      </w:pPr>
      <w:r>
        <w:rPr>
          <w:sz w:val="18"/>
        </w:rPr>
        <w:t xml:space="preserve">Visit VistaGen at </w:t>
      </w:r>
      <w:r>
        <w:rPr>
          <w:b w:val="false"/>
          <w:color w:val="0000FF"/>
          <w:sz w:val="18"/>
          <w:u w:val="single"/>
        </w:rPr>
        <w:t>http://www.VistaGen.com</w:t>
      </w:r>
      <w:r>
        <w:rPr>
          <w:sz w:val="18"/>
        </w:rPr>
        <w:t xml:space="preserve">, follow VistaGen at </w:t>
      </w:r>
      <w:r>
        <w:rPr>
          <w:b w:val="false"/>
          <w:color w:val="0000FF"/>
          <w:sz w:val="18"/>
          <w:u w:val="single"/>
        </w:rPr>
        <w:t>http://www.twitter.com/VistaGen</w:t>
      </w:r>
      <w:r>
        <w:rPr>
          <w:sz w:val="18"/>
        </w:rPr>
        <w:t xml:space="preserve"> or view VistaGen’s Facebook page at </w:t>
      </w:r>
      <w:r>
        <w:rPr>
          <w:b w:val="false"/>
          <w:color w:val="0000FF"/>
          <w:sz w:val="18"/>
          <w:u w:val="single"/>
        </w:rPr>
        <w:t>http://www.facebook.com/VistaGen</w:t>
      </w:r>
      <w:r>
        <w:rPr>
          <w:sz w:val="18"/>
        </w:rPr>
        <w:t>.</w:t>
      </w:r>
    </w:p>
    <w:p>
      <w:pPr>
        <w:pStyle w:val="TextBody"/>
        <w:pBdr/>
        <w:spacing w:before="0" w:after="180"/>
        <w:rPr>
          <w:sz w:val="18"/>
        </w:rPr>
      </w:pPr>
      <w:r>
        <w:rPr>
          <w:b/>
          <w:sz w:val="18"/>
        </w:rPr>
        <w:t>Cautionary Statement Regarding Forward Looking Statements</w:t>
      </w:r>
      <w:r>
        <w:rPr>
          <w:sz w:val="18"/>
        </w:rPr>
        <w:t xml:space="preserve"> </w:t>
      </w:r>
    </w:p>
    <w:p>
      <w:pPr>
        <w:pStyle w:val="TextBody"/>
        <w:pBdr/>
        <w:spacing w:before="0" w:after="180"/>
        <w:rPr>
          <w:sz w:val="18"/>
        </w:rPr>
      </w:pPr>
      <w:r>
        <w:rPr>
          <w:sz w:val="18"/>
        </w:rPr>
        <w:t xml:space="preserve">The statements in this press release that are not historical facts may constitute forward-looking statements that are based on current expectations and are subject to risks and uncertainties that could cause actual future results to differ materially from those expressed or implied by such statements. Those risks and uncertainties include, but are not limited to, risks related to the success of VistaGen's stem cell technology-based drug rescue, predictive toxicology and metabolism screening activities, further development of stem cell-based bioassay systems, clinical development and commercialization of AV-101 for neuropathic pain or any other disease or condition, its ability to enter into strategic predictive toxicology, metabolism screening, drug rescue and/or drug discovery, development and commercialization collaborations and/or licensing arrangements with respect to one or more drug rescue variants, cell therapies or AV-101, risks and uncertainties relating to the availability of substantial additional capital to support its research, drug rescue, development and commercialization activities, and the success of its research and development plans and strategies, including those plans and strategies related to any drug rescue variant or cell therapy identified and developed by VistaGen, or AV-101. These and other risks and uncertainties are identified and described in more detail in VistaGen's filings with the Securities and Exchange Commission (SEC). These filings are available on the SEC's website at </w:t>
      </w:r>
      <w:r>
        <w:rPr>
          <w:b w:val="false"/>
          <w:color w:val="0000FF"/>
          <w:sz w:val="18"/>
          <w:u w:val="single"/>
        </w:rPr>
        <w:t>www.sec.gov</w:t>
      </w:r>
      <w:r>
        <w:rPr>
          <w:sz w:val="18"/>
        </w:rPr>
        <w:t xml:space="preserve">. VistaGen undertakes no obligation to publicly update or revise any forward-looking statements. </w:t>
      </w:r>
    </w:p>
    <w:p>
      <w:pPr>
        <w:pStyle w:val="TextBody"/>
        <w:pBdr/>
        <w:spacing w:before="0" w:after="180"/>
        <w:rPr>
          <w:b/>
          <w:sz w:val="18"/>
        </w:rPr>
      </w:pPr>
      <w:r>
        <w:rPr>
          <w:b/>
          <w:sz w:val="18"/>
        </w:rPr>
        <w:t>For more information:</w:t>
      </w:r>
    </w:p>
    <w:tbl>
      <w:tblPr>
        <w:tblW w:w="10140" w:type="dxa"/>
        <w:jc w:val="center"/>
        <w:tblInd w:w="0" w:type="dxa"/>
        <w:tblCellMar>
          <w:top w:w="0" w:type="dxa"/>
          <w:left w:w="0" w:type="dxa"/>
          <w:bottom w:w="0" w:type="dxa"/>
          <w:right w:w="0" w:type="dxa"/>
        </w:tblCellMar>
      </w:tblPr>
      <w:tblGrid>
        <w:gridCol w:w="5070"/>
        <w:gridCol w:w="5070"/>
      </w:tblGrid>
      <w:tr>
        <w:trPr/>
        <w:tc>
          <w:tcPr>
            <w:tcW w:w="5070" w:type="dxa"/>
            <w:tcBorders/>
            <w:shd w:fill="auto" w:val="clear"/>
            <w:vAlign w:val="center"/>
          </w:tcPr>
          <w:p>
            <w:pPr>
              <w:pStyle w:val="TableContents"/>
              <w:spacing w:before="0" w:after="283"/>
              <w:rPr>
                <w:sz w:val="4"/>
                <w:szCs w:val="4"/>
              </w:rPr>
            </w:pPr>
            <w:r>
              <w:rPr>
                <w:sz w:val="4"/>
                <w:szCs w:val="4"/>
              </w:rPr>
            </w:r>
          </w:p>
        </w:tc>
        <w:tc>
          <w:tcPr>
            <w:tcW w:w="5070" w:type="dxa"/>
            <w:tcBorders/>
            <w:shd w:fill="auto" w:val="clear"/>
            <w:vAlign w:val="center"/>
          </w:tcPr>
          <w:p>
            <w:pPr>
              <w:pStyle w:val="TableContents"/>
              <w:spacing w:before="0" w:after="283"/>
              <w:ind w:left="0" w:right="0" w:firstLine="60"/>
              <w:rPr>
                <w:sz w:val="4"/>
                <w:szCs w:val="4"/>
              </w:rPr>
            </w:pPr>
            <w:r>
              <w:rPr>
                <w:sz w:val="4"/>
                <w:szCs w:val="4"/>
              </w:rPr>
            </w:r>
          </w:p>
        </w:tc>
      </w:tr>
      <w:tr>
        <w:trPr/>
        <w:tc>
          <w:tcPr>
            <w:tcW w:w="5070" w:type="dxa"/>
            <w:tcBorders/>
            <w:shd w:fill="auto" w:val="clear"/>
          </w:tcPr>
          <w:p>
            <w:pPr>
              <w:pStyle w:val="TableContents"/>
              <w:pBdr/>
              <w:spacing w:before="0" w:after="180"/>
              <w:ind w:left="0" w:right="0" w:firstLine="60"/>
              <w:rPr>
                <w:sz w:val="18"/>
              </w:rPr>
            </w:pPr>
            <w:r>
              <w:rPr>
                <w:sz w:val="18"/>
              </w:rPr>
              <w:t>Shawn K. Singh, J.D.</w:t>
            </w:r>
          </w:p>
          <w:p>
            <w:pPr>
              <w:pStyle w:val="TableContents"/>
              <w:pBdr/>
              <w:spacing w:before="0" w:after="180"/>
              <w:ind w:left="0" w:right="0" w:firstLine="60"/>
              <w:rPr>
                <w:sz w:val="18"/>
              </w:rPr>
            </w:pPr>
            <w:r>
              <w:rPr>
                <w:sz w:val="18"/>
              </w:rPr>
              <w:t>Chief Executive Officer</w:t>
            </w:r>
          </w:p>
          <w:p>
            <w:pPr>
              <w:pStyle w:val="TableContents"/>
              <w:pBdr/>
              <w:spacing w:before="0" w:after="180"/>
              <w:ind w:left="0" w:right="0" w:firstLine="60"/>
              <w:rPr>
                <w:sz w:val="18"/>
              </w:rPr>
            </w:pPr>
            <w:r>
              <w:rPr>
                <w:sz w:val="18"/>
              </w:rPr>
              <w:t>VistaGen Therapeutics, Inc.</w:t>
            </w:r>
          </w:p>
          <w:p>
            <w:pPr>
              <w:pStyle w:val="TableContents"/>
              <w:pBdr/>
              <w:spacing w:before="0" w:after="180"/>
              <w:ind w:left="0" w:right="0" w:firstLine="60"/>
              <w:rPr>
                <w:color w:val="0000FF"/>
                <w:sz w:val="18"/>
              </w:rPr>
            </w:pPr>
            <w:r>
              <w:rPr>
                <w:color w:val="0000FF"/>
                <w:sz w:val="18"/>
                <w:u w:val="single"/>
              </w:rPr>
              <w:t>www.VistaGen.com</w:t>
            </w:r>
            <w:r>
              <w:rPr>
                <w:color w:val="000000"/>
                <w:sz w:val="18"/>
              </w:rPr>
              <w:t xml:space="preserve"> </w:t>
            </w:r>
          </w:p>
          <w:p>
            <w:pPr>
              <w:pStyle w:val="TableContents"/>
              <w:pBdr/>
              <w:spacing w:before="0" w:after="180"/>
              <w:ind w:left="0" w:right="0" w:firstLine="60"/>
              <w:rPr>
                <w:sz w:val="18"/>
              </w:rPr>
            </w:pPr>
            <w:r>
              <w:rPr>
                <w:sz w:val="18"/>
              </w:rPr>
              <w:t>650-244-9990 x224</w:t>
            </w:r>
          </w:p>
          <w:p>
            <w:pPr>
              <w:pStyle w:val="TableContents"/>
              <w:pBdr/>
              <w:spacing w:before="0" w:after="180"/>
              <w:ind w:left="0" w:right="0" w:firstLine="60"/>
              <w:rPr>
                <w:color w:val="0000FF"/>
                <w:sz w:val="18"/>
                <w:u w:val="single"/>
              </w:rPr>
            </w:pPr>
            <w:r>
              <w:rPr>
                <w:color w:val="0000FF"/>
                <w:sz w:val="18"/>
                <w:u w:val="single"/>
              </w:rPr>
              <w:t>Investor.Relations@VistaGen.com</w:t>
            </w:r>
          </w:p>
          <w:p>
            <w:pPr>
              <w:pStyle w:val="TableContents"/>
              <w:spacing w:before="0" w:after="180"/>
              <w:ind w:left="0" w:right="0" w:firstLine="60"/>
              <w:rPr/>
            </w:pPr>
            <w:r>
              <w:rPr/>
            </w:r>
          </w:p>
        </w:tc>
        <w:tc>
          <w:tcPr>
            <w:tcW w:w="5070" w:type="dxa"/>
            <w:tcBorders/>
            <w:shd w:fill="auto" w:val="clear"/>
          </w:tcPr>
          <w:p>
            <w:pPr>
              <w:pStyle w:val="TableContents"/>
              <w:pBdr/>
              <w:spacing w:before="0" w:after="180"/>
              <w:ind w:left="0" w:right="0" w:firstLine="60"/>
              <w:rPr>
                <w:sz w:val="18"/>
              </w:rPr>
            </w:pPr>
            <w:r>
              <w:rPr>
                <w:sz w:val="18"/>
              </w:rPr>
              <w:t>Mission Investor Relations</w:t>
            </w:r>
          </w:p>
          <w:p>
            <w:pPr>
              <w:pStyle w:val="TableContents"/>
              <w:pBdr/>
              <w:spacing w:before="0" w:after="180"/>
              <w:ind w:left="0" w:right="0" w:firstLine="60"/>
              <w:rPr>
                <w:sz w:val="18"/>
              </w:rPr>
            </w:pPr>
            <w:r>
              <w:rPr>
                <w:sz w:val="18"/>
              </w:rPr>
              <w:t>IR Communications</w:t>
            </w:r>
          </w:p>
          <w:p>
            <w:pPr>
              <w:pStyle w:val="TableContents"/>
              <w:pBdr/>
              <w:spacing w:before="0" w:after="180"/>
              <w:ind w:left="0" w:right="0" w:firstLine="60"/>
              <w:rPr>
                <w:sz w:val="18"/>
              </w:rPr>
            </w:pPr>
            <w:r>
              <w:rPr>
                <w:sz w:val="18"/>
              </w:rPr>
              <w:t>Atlanta, Georgia</w:t>
            </w:r>
          </w:p>
          <w:p>
            <w:pPr>
              <w:pStyle w:val="TableContents"/>
              <w:pBdr/>
              <w:spacing w:before="0" w:after="180"/>
              <w:ind w:left="0" w:right="0" w:firstLine="60"/>
              <w:rPr>
                <w:color w:val="0000FF"/>
                <w:sz w:val="18"/>
              </w:rPr>
            </w:pPr>
            <w:r>
              <w:rPr>
                <w:color w:val="0000FF"/>
                <w:sz w:val="18"/>
                <w:u w:val="single"/>
              </w:rPr>
              <w:t>www.MissionIR.com</w:t>
            </w:r>
            <w:r>
              <w:rPr>
                <w:color w:val="000000"/>
                <w:sz w:val="18"/>
              </w:rPr>
              <w:t xml:space="preserve"> </w:t>
            </w:r>
          </w:p>
          <w:p>
            <w:pPr>
              <w:pStyle w:val="TableContents"/>
              <w:pBdr/>
              <w:spacing w:before="0" w:after="180"/>
              <w:ind w:left="0" w:right="0" w:firstLine="60"/>
              <w:rPr>
                <w:sz w:val="18"/>
              </w:rPr>
            </w:pPr>
            <w:r>
              <w:rPr>
                <w:sz w:val="18"/>
              </w:rPr>
              <w:t>404-941-8975</w:t>
            </w:r>
          </w:p>
          <w:p>
            <w:pPr>
              <w:pStyle w:val="TableContents"/>
              <w:pBdr/>
              <w:spacing w:before="0" w:after="180"/>
              <w:ind w:left="0" w:right="0" w:firstLine="60"/>
              <w:rPr>
                <w:color w:val="0000FF"/>
                <w:sz w:val="18"/>
                <w:u w:val="single"/>
              </w:rPr>
            </w:pPr>
            <w:r>
              <w:rPr>
                <w:color w:val="0000FF"/>
                <w:sz w:val="18"/>
                <w:u w:val="single"/>
              </w:rPr>
              <w:t>Investors@MissionIR.com</w:t>
            </w:r>
          </w:p>
          <w:p>
            <w:pPr>
              <w:pStyle w:val="TableContents"/>
              <w:spacing w:before="0" w:after="180"/>
              <w:ind w:left="0" w:right="0" w:firstLine="60"/>
              <w:rPr/>
            </w:pPr>
            <w:r>
              <w:rPr/>
            </w:r>
          </w:p>
        </w:tc>
      </w:tr>
    </w:tbl>
    <w:p>
      <w:pPr>
        <w:pStyle w:val="TextBody"/>
        <w:spacing w:before="0" w:after="180"/>
        <w:rPr/>
      </w:pPr>
      <w:r>
        <w:rPr/>
      </w:r>
    </w:p>
    <w:p>
      <w:pPr>
        <w:pStyle w:val="TextBody"/>
        <w:spacing w:before="0" w:after="180"/>
        <w:rPr/>
      </w:pPr>
      <w:r>
        <w:rPr/>
      </w:r>
    </w:p>
    <w:p>
      <w:pPr>
        <w:pStyle w:val="TextBody"/>
        <w:spacing w:before="0" w:after="180"/>
        <w:rPr/>
      </w:pPr>
      <w:r>
        <w:rPr/>
      </w:r>
    </w:p>
    <w:p>
      <w:pPr>
        <w:pStyle w:val="TextBody"/>
        <w:spacing w:before="0" w:after="180"/>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times new roman">
    <w:charset w:val="00"/>
    <w:family w:val="auto"/>
    <w:pitch w:val="default"/>
  </w:font>
  <w:font w:name="Symbo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9</Pages>
  <Words>2363</Words>
  <CharactersWithSpaces>16599</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