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formsc13ga.htm"/>
      <w:bookmarkStart w:id="1" w:name="ksformsc13ga"/>
      <w:bookmarkStart w:id="2" w:name="formsc13ga.htm"/>
      <w:bookmarkStart w:id="3" w:name="ksformsc13ga"/>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sz w:val="28"/>
        </w:rPr>
      </w:pPr>
      <w:r>
        <w:rPr>
          <w:rFonts w:ascii="Times New Roman" w:hAnsi="Times New Roman"/>
          <w:sz w:val="28"/>
        </w:rPr>
        <w:t>UNITED STATES</w:t>
      </w:r>
    </w:p>
    <w:p>
      <w:pPr>
        <w:pStyle w:val="TextBody"/>
        <w:spacing w:before="0" w:after="0"/>
        <w:ind w:left="0" w:right="0" w:hanging="0"/>
        <w:jc w:val="center"/>
        <w:rPr>
          <w:rFonts w:ascii="Times New Roman" w:hAnsi="Times New Roman"/>
          <w:sz w:val="28"/>
        </w:rPr>
      </w:pPr>
      <w:r>
        <w:rPr>
          <w:rFonts w:ascii="Times New Roman" w:hAnsi="Times New Roman"/>
          <w:sz w:val="28"/>
        </w:rPr>
        <w:t>SECURITIES AND EXCHANGE COMMISSION</w:t>
      </w:r>
    </w:p>
    <w:p>
      <w:pPr>
        <w:pStyle w:val="TextBody"/>
        <w:spacing w:before="0" w:after="0"/>
        <w:ind w:left="0" w:right="0" w:hanging="0"/>
        <w:jc w:val="center"/>
        <w:rPr>
          <w:rFonts w:ascii="Times New Roman" w:hAnsi="Times New Roman"/>
          <w:sz w:val="24"/>
        </w:rPr>
      </w:pPr>
      <w:r>
        <w:rPr>
          <w:rFonts w:ascii="Times New Roman" w:hAnsi="Times New Roman"/>
          <w:sz w:val="24"/>
        </w:rPr>
        <w:t>Washington, D.C. 20549</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36"/>
        </w:rPr>
      </w:pPr>
      <w:r>
        <w:rPr>
          <w:rFonts w:ascii="Times New Roman" w:hAnsi="Times New Roman"/>
          <w:sz w:val="36"/>
        </w:rPr>
        <w:t>SCHEDULE 13G</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Under the Securities Exchange Act of 1934</w:t>
      </w:r>
    </w:p>
    <w:p>
      <w:pPr>
        <w:pStyle w:val="TextBody"/>
        <w:spacing w:before="0" w:after="0"/>
        <w:ind w:left="0" w:right="0" w:hanging="0"/>
        <w:jc w:val="center"/>
        <w:rPr>
          <w:rFonts w:ascii="Times New Roman" w:hAnsi="Times New Roman"/>
          <w:sz w:val="20"/>
        </w:rPr>
      </w:pPr>
      <w:r>
        <w:rPr>
          <w:rFonts w:ascii="Times New Roman" w:hAnsi="Times New Roman"/>
          <w:sz w:val="20"/>
        </w:rPr>
        <w:t>(Amendment No. 2)</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48"/>
          <w:u w:val="single"/>
        </w:rPr>
      </w:pPr>
      <w:r>
        <w:rPr>
          <w:rFonts w:ascii="Times New Roman" w:hAnsi="Times New Roman"/>
          <w:b/>
          <w:sz w:val="48"/>
          <w:u w:val="single"/>
        </w:rPr>
        <w:t>VistaGen Therapeutics, Inc.</w:t>
      </w:r>
    </w:p>
    <w:p>
      <w:pPr>
        <w:pStyle w:val="TextBody"/>
        <w:spacing w:before="0" w:after="0"/>
        <w:ind w:left="0" w:right="0" w:hanging="0"/>
        <w:jc w:val="center"/>
        <w:rPr>
          <w:rFonts w:ascii="Times New Roman" w:hAnsi="Times New Roman"/>
          <w:sz w:val="20"/>
        </w:rPr>
      </w:pPr>
      <w:r>
        <w:rPr>
          <w:rFonts w:ascii="Times New Roman" w:hAnsi="Times New Roman"/>
          <w:sz w:val="20"/>
        </w:rPr>
        <w:t>(Name of Issuer)</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Common Stock, par value $0.001</w:t>
      </w:r>
    </w:p>
    <w:p>
      <w:pPr>
        <w:pStyle w:val="TextBody"/>
        <w:spacing w:before="0" w:after="0"/>
        <w:ind w:left="0" w:right="0" w:hanging="0"/>
        <w:jc w:val="center"/>
        <w:rPr>
          <w:rFonts w:ascii="Times New Roman" w:hAnsi="Times New Roman"/>
          <w:sz w:val="20"/>
        </w:rPr>
      </w:pPr>
      <w:r>
        <w:rPr>
          <w:rFonts w:ascii="Times New Roman" w:hAnsi="Times New Roman"/>
          <w:sz w:val="20"/>
        </w:rPr>
        <w:t>(Title of Class of Securities)</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92840H103</w:t>
      </w:r>
    </w:p>
    <w:p>
      <w:pPr>
        <w:pStyle w:val="TextBody"/>
        <w:spacing w:before="0" w:after="0"/>
        <w:ind w:left="0" w:right="0" w:hanging="0"/>
        <w:jc w:val="center"/>
        <w:rPr>
          <w:rFonts w:ascii="Times New Roman" w:hAnsi="Times New Roman"/>
          <w:sz w:val="20"/>
        </w:rPr>
      </w:pPr>
      <w:r>
        <w:rPr>
          <w:rFonts w:ascii="Times New Roman" w:hAnsi="Times New Roman"/>
          <w:sz w:val="20"/>
        </w:rPr>
        <w:t>(CUSIP Number)</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December 31, 2012</w:t>
      </w:r>
    </w:p>
    <w:p>
      <w:pPr>
        <w:pStyle w:val="TextBody"/>
        <w:spacing w:before="0" w:after="0"/>
        <w:ind w:left="0" w:right="0" w:hanging="0"/>
        <w:jc w:val="center"/>
        <w:rPr>
          <w:rFonts w:ascii="Times New Roman" w:hAnsi="Times New Roman"/>
          <w:sz w:val="20"/>
        </w:rPr>
      </w:pPr>
      <w:r>
        <w:rPr>
          <w:rFonts w:ascii="Times New Roman" w:hAnsi="Times New Roman"/>
          <w:sz w:val="20"/>
        </w:rPr>
        <w:t>(Date of Event Which Requires Filing of this Statement)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Check the appropriate box to designate the rule pursuant to which this Schedule is filed:</w:t>
      </w:r>
    </w:p>
    <w:p>
      <w:pPr>
        <w:pStyle w:val="TextBody"/>
        <w:spacing w:before="0" w:after="0"/>
        <w:ind w:left="0" w:right="0" w:hanging="0"/>
        <w:rPr/>
      </w:pPr>
      <w:r>
        <w:rPr/>
      </w:r>
    </w:p>
    <w:p>
      <w:pPr>
        <w:pStyle w:val="Normal"/>
        <w:spacing w:before="0" w:after="0"/>
        <w:rPr>
          <w:sz w:val="4"/>
          <w:szCs w:val="4"/>
        </w:rPr>
      </w:pPr>
      <w:r>
        <w:rPr>
          <w:sz w:val="4"/>
          <w:szCs w:val="4"/>
        </w:rPr>
      </w:r>
      <w:bookmarkStart w:id="4" w:name="hangingindent"/>
      <w:bookmarkStart w:id="5" w:name="hangingindent"/>
      <w:bookmarkEnd w:id="5"/>
    </w:p>
    <w:tbl>
      <w:tblPr>
        <w:tblW w:w="5000" w:type="pct"/>
        <w:jc w:val="center"/>
        <w:tblInd w:w="0" w:type="dxa"/>
        <w:tblCellMar>
          <w:top w:w="0" w:type="dxa"/>
          <w:left w:w="0" w:type="dxa"/>
          <w:bottom w:w="0" w:type="dxa"/>
          <w:right w:w="0" w:type="dxa"/>
        </w:tblCellMar>
      </w:tblPr>
      <w:tblGrid>
        <w:gridCol w:w="1304"/>
        <w:gridCol w:w="8901"/>
      </w:tblGrid>
      <w:tr>
        <w:trPr/>
        <w:tc>
          <w:tcPr>
            <w:tcW w:w="1304" w:type="dxa"/>
            <w:tcBorders/>
            <w:shd w:fill="auto" w:val="clear"/>
          </w:tcPr>
          <w:p>
            <w:pPr>
              <w:pStyle w:val="TableContents"/>
              <w:spacing w:before="0" w:after="283"/>
              <w:rPr>
                <w:rFonts w:ascii="Wingdings" w:hAnsi="Wingdings"/>
              </w:rPr>
            </w:pPr>
            <w:r>
              <w:rPr>
                <w:rFonts w:ascii="Wingdings" w:hAnsi="Wingdings"/>
              </w:rPr>
              <w:t>o</w:t>
            </w:r>
          </w:p>
        </w:tc>
        <w:tc>
          <w:tcPr>
            <w:tcW w:w="890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Rule 13d-1(b)</w:t>
            </w:r>
          </w:p>
        </w:tc>
      </w:tr>
    </w:tbl>
    <w:p>
      <w:pPr>
        <w:pStyle w:val="Normal"/>
        <w:spacing w:before="0" w:after="0"/>
        <w:rPr>
          <w:sz w:val="4"/>
          <w:szCs w:val="4"/>
        </w:rPr>
      </w:pPr>
      <w:r>
        <w:rPr>
          <w:sz w:val="4"/>
          <w:szCs w:val="4"/>
        </w:rPr>
      </w:r>
      <w:bookmarkStart w:id="6" w:name="hangingindent1"/>
      <w:bookmarkStart w:id="7" w:name="hangingindent1"/>
      <w:bookmarkEnd w:id="7"/>
    </w:p>
    <w:tbl>
      <w:tblPr>
        <w:tblW w:w="5000" w:type="pct"/>
        <w:jc w:val="center"/>
        <w:tblInd w:w="0" w:type="dxa"/>
        <w:tblCellMar>
          <w:top w:w="0" w:type="dxa"/>
          <w:left w:w="0" w:type="dxa"/>
          <w:bottom w:w="0" w:type="dxa"/>
          <w:right w:w="0" w:type="dxa"/>
        </w:tblCellMar>
      </w:tblPr>
      <w:tblGrid>
        <w:gridCol w:w="1111"/>
        <w:gridCol w:w="9094"/>
      </w:tblGrid>
      <w:tr>
        <w:trPr/>
        <w:tc>
          <w:tcPr>
            <w:tcW w:w="1111" w:type="dxa"/>
            <w:tcBorders/>
            <w:shd w:fill="auto" w:val="clear"/>
          </w:tcPr>
          <w:p>
            <w:pPr>
              <w:pStyle w:val="TableContents"/>
              <w:spacing w:before="0" w:after="0"/>
              <w:ind w:left="0" w:right="0" w:hanging="0"/>
              <w:rPr>
                <w:rFonts w:ascii="Wingdings" w:hAnsi="Wingdings"/>
                <w:sz w:val="20"/>
              </w:rPr>
            </w:pPr>
            <w:r>
              <w:rPr>
                <w:rFonts w:ascii="Wingdings" w:hAnsi="Wingdings"/>
                <w:sz w:val="20"/>
              </w:rPr>
              <w:t>x</w:t>
            </w:r>
          </w:p>
        </w:tc>
        <w:tc>
          <w:tcPr>
            <w:tcW w:w="90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Rule 13d-1(c)</w:t>
            </w:r>
          </w:p>
        </w:tc>
      </w:tr>
    </w:tbl>
    <w:p>
      <w:pPr>
        <w:pStyle w:val="Normal"/>
        <w:spacing w:before="0" w:after="0"/>
        <w:rPr>
          <w:sz w:val="4"/>
          <w:szCs w:val="4"/>
        </w:rPr>
      </w:pPr>
      <w:r>
        <w:rPr>
          <w:sz w:val="4"/>
          <w:szCs w:val="4"/>
        </w:rPr>
      </w:r>
      <w:bookmarkStart w:id="8" w:name="hangingindent2"/>
      <w:bookmarkStart w:id="9" w:name="hangingindent2"/>
      <w:bookmarkEnd w:id="9"/>
    </w:p>
    <w:tbl>
      <w:tblPr>
        <w:tblW w:w="5000" w:type="pct"/>
        <w:jc w:val="center"/>
        <w:tblInd w:w="0" w:type="dxa"/>
        <w:tblCellMar>
          <w:top w:w="0" w:type="dxa"/>
          <w:left w:w="0" w:type="dxa"/>
          <w:bottom w:w="0" w:type="dxa"/>
          <w:right w:w="0" w:type="dxa"/>
        </w:tblCellMar>
      </w:tblPr>
      <w:tblGrid>
        <w:gridCol w:w="1304"/>
        <w:gridCol w:w="8901"/>
      </w:tblGrid>
      <w:tr>
        <w:trPr/>
        <w:tc>
          <w:tcPr>
            <w:tcW w:w="1304" w:type="dxa"/>
            <w:tcBorders/>
            <w:shd w:fill="auto" w:val="clear"/>
          </w:tcPr>
          <w:p>
            <w:pPr>
              <w:pStyle w:val="TableContents"/>
              <w:spacing w:before="0" w:after="283"/>
              <w:rPr>
                <w:rFonts w:ascii="Wingdings" w:hAnsi="Wingdings"/>
              </w:rPr>
            </w:pPr>
            <w:r>
              <w:rPr>
                <w:rFonts w:ascii="Wingdings" w:hAnsi="Wingdings"/>
              </w:rPr>
              <w:t>o</w:t>
            </w:r>
          </w:p>
        </w:tc>
        <w:tc>
          <w:tcPr>
            <w:tcW w:w="890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Rule 13d-1(d)</w:t>
            </w:r>
          </w:p>
        </w:tc>
      </w:tr>
    </w:tbl>
    <w:p>
      <w:pPr>
        <w:pStyle w:val="TextBody"/>
        <w:spacing w:before="0" w:after="0"/>
        <w:ind w:left="0" w:right="0" w:hanging="0"/>
        <w:rPr/>
      </w:pPr>
      <w:r>
        <w:rPr/>
        <w:t> </w:t>
      </w:r>
    </w:p>
    <w:p>
      <w:pPr>
        <w:pStyle w:val="HorizontalLine"/>
        <w:pBdr>
          <w:bottom w:val="single" w:sz="6" w:space="0" w:color="808080"/>
        </w:pBdr>
        <w:rPr/>
      </w:pPr>
      <w:r>
        <w:rPr/>
      </w:r>
    </w:p>
    <w:p>
      <w:pPr>
        <w:pStyle w:val="HorizontalLine"/>
        <w:pBdr>
          <w:bottom w:val="single" w:sz="24" w:space="0" w:color="808080"/>
        </w:pBd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CUSIP No. </w:t>
      </w:r>
      <w:r>
        <w:rPr>
          <w:rFonts w:ascii="Times New Roman" w:hAnsi="Times New Roman"/>
          <w:b/>
          <w:sz w:val="20"/>
        </w:rPr>
        <w:t>92840H103</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(1)</w:t>
      </w:r>
      <w:bookmarkStart w:id="10" w:name="tab.1"/>
      <w:bookmarkEnd w:id="10"/>
      <w:r>
        <w:rPr>
          <w:rFonts w:ascii="Times New Roman" w:hAnsi="Times New Roman"/>
          <w:sz w:val="20"/>
        </w:rPr>
        <w:t xml:space="preserve"> Names of Reporting Persons.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Platinum Long Term Growth VII, LLC</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(2)</w:t>
      </w:r>
      <w:bookmarkStart w:id="11" w:name="tab.2"/>
      <w:bookmarkEnd w:id="11"/>
      <w:r>
        <w:rPr>
          <w:rFonts w:ascii="Times New Roman" w:hAnsi="Times New Roman"/>
          <w:sz w:val="20"/>
        </w:rPr>
        <w:t xml:space="preserve"> Check the Appropriate Box if a Member of a Group (See Instructions).</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(a) </w:t>
      </w:r>
      <w:r>
        <w:rPr>
          <w:rFonts w:ascii="Wingdings" w:hAnsi="Wingdings"/>
          <w:sz w:val="20"/>
        </w:rPr>
        <w:t>o</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(b) </w:t>
      </w:r>
      <w:r>
        <w:rPr>
          <w:rFonts w:ascii="Wingdings" w:hAnsi="Wingdings"/>
          <w:sz w:val="20"/>
        </w:rPr>
        <w:t>x</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(3) </w:t>
      </w:r>
      <w:bookmarkStart w:id="12" w:name="tab.3"/>
      <w:bookmarkEnd w:id="12"/>
      <w:r>
        <w:rPr>
          <w:rFonts w:ascii="Times New Roman" w:hAnsi="Times New Roman"/>
          <w:sz w:val="20"/>
        </w:rPr>
        <w:t>SEC Use Only.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(4) </w:t>
      </w:r>
      <w:bookmarkStart w:id="13" w:name="tab.4"/>
      <w:bookmarkEnd w:id="13"/>
      <w:r>
        <w:rPr>
          <w:rFonts w:ascii="Times New Roman" w:hAnsi="Times New Roman"/>
          <w:sz w:val="20"/>
        </w:rPr>
        <w:t>Citizenship or Place of Organization.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Delaware</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530"/>
        <w:gridCol w:w="8675"/>
      </w:tblGrid>
      <w:tr>
        <w:trPr/>
        <w:tc>
          <w:tcPr>
            <w:tcW w:w="153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Number of</w:t>
            </w:r>
          </w:p>
          <w:p>
            <w:pPr>
              <w:pStyle w:val="TableContents"/>
              <w:spacing w:before="0" w:after="0"/>
              <w:ind w:left="0" w:right="0" w:hanging="0"/>
              <w:jc w:val="left"/>
              <w:rPr>
                <w:rFonts w:ascii="times new roman" w:hAnsi="times new roman"/>
                <w:sz w:val="20"/>
              </w:rPr>
            </w:pPr>
            <w:r>
              <w:rPr>
                <w:rFonts w:ascii="times new roman" w:hAnsi="times new roman"/>
                <w:sz w:val="20"/>
              </w:rPr>
              <w:t>Shares</w:t>
            </w:r>
          </w:p>
          <w:p>
            <w:pPr>
              <w:pStyle w:val="TableContents"/>
              <w:spacing w:before="0" w:after="0"/>
              <w:ind w:left="0" w:right="0" w:hanging="0"/>
              <w:jc w:val="left"/>
              <w:rPr>
                <w:rFonts w:ascii="times new roman" w:hAnsi="times new roman"/>
                <w:sz w:val="20"/>
              </w:rPr>
            </w:pPr>
            <w:r>
              <w:rPr>
                <w:rFonts w:ascii="times new roman" w:hAnsi="times new roman"/>
                <w:sz w:val="20"/>
              </w:rPr>
              <w:t>Beneficially</w:t>
            </w:r>
          </w:p>
          <w:p>
            <w:pPr>
              <w:pStyle w:val="TableContents"/>
              <w:spacing w:before="0" w:after="0"/>
              <w:ind w:left="0" w:right="0" w:hanging="0"/>
              <w:jc w:val="left"/>
              <w:rPr>
                <w:rFonts w:ascii="times new roman" w:hAnsi="times new roman"/>
                <w:sz w:val="20"/>
              </w:rPr>
            </w:pPr>
            <w:r>
              <w:rPr>
                <w:rFonts w:ascii="times new roman" w:hAnsi="times new roman"/>
                <w:sz w:val="20"/>
              </w:rPr>
              <w:t>Owned by</w:t>
            </w:r>
          </w:p>
          <w:p>
            <w:pPr>
              <w:pStyle w:val="TableContents"/>
              <w:spacing w:before="0" w:after="0"/>
              <w:ind w:left="0" w:right="0" w:hanging="0"/>
              <w:jc w:val="left"/>
              <w:rPr>
                <w:rFonts w:ascii="times new roman" w:hAnsi="times new roman"/>
                <w:sz w:val="20"/>
              </w:rPr>
            </w:pPr>
            <w:r>
              <w:rPr>
                <w:rFonts w:ascii="times new roman" w:hAnsi="times new roman"/>
                <w:sz w:val="20"/>
              </w:rPr>
              <w:t>Each</w:t>
            </w:r>
          </w:p>
          <w:p>
            <w:pPr>
              <w:pStyle w:val="TableContents"/>
              <w:spacing w:before="0" w:after="0"/>
              <w:ind w:left="0" w:right="0" w:hanging="0"/>
              <w:jc w:val="left"/>
              <w:rPr>
                <w:rFonts w:ascii="times new roman" w:hAnsi="times new roman"/>
                <w:sz w:val="20"/>
              </w:rPr>
            </w:pPr>
            <w:r>
              <w:rPr>
                <w:rFonts w:ascii="times new roman" w:hAnsi="times new roman"/>
                <w:sz w:val="20"/>
              </w:rPr>
              <w:t>Reporting</w:t>
            </w:r>
          </w:p>
          <w:p>
            <w:pPr>
              <w:pStyle w:val="TableContents"/>
              <w:spacing w:before="0" w:after="0"/>
              <w:ind w:left="0" w:right="0" w:hanging="0"/>
              <w:jc w:val="left"/>
              <w:rPr>
                <w:rFonts w:ascii="times new roman" w:hAnsi="times new roman"/>
                <w:sz w:val="20"/>
              </w:rPr>
            </w:pPr>
            <w:r>
              <w:rPr>
                <w:rFonts w:ascii="times new roman" w:hAnsi="times new roman"/>
                <w:sz w:val="20"/>
              </w:rPr>
              <w:t>Person With</w:t>
            </w:r>
          </w:p>
        </w:tc>
        <w:tc>
          <w:tcPr>
            <w:tcW w:w="867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w:t>
            </w:r>
            <w:bookmarkStart w:id="14" w:name="tab.5"/>
            <w:bookmarkEnd w:id="14"/>
            <w:r>
              <w:rPr>
                <w:rFonts w:ascii="times new roman" w:hAnsi="times new roman"/>
                <w:sz w:val="20"/>
              </w:rPr>
              <w:t xml:space="preserve"> Sole Voting Power: </w:t>
            </w:r>
            <w:r>
              <w:rPr>
                <w:rFonts w:ascii="times new roman" w:hAnsi="times new roman"/>
                <w:b/>
                <w:sz w:val="20"/>
              </w:rPr>
              <w:t>0</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(6)</w:t>
            </w:r>
            <w:bookmarkStart w:id="15" w:name="tab.6"/>
            <w:bookmarkEnd w:id="15"/>
            <w:r>
              <w:rPr>
                <w:rFonts w:ascii="times new roman" w:hAnsi="times new roman"/>
                <w:sz w:val="20"/>
              </w:rPr>
              <w:t xml:space="preserve"> Shared Voting Power: </w:t>
            </w:r>
            <w:r>
              <w:rPr>
                <w:rFonts w:ascii="times new roman" w:hAnsi="times new roman"/>
                <w:b/>
                <w:sz w:val="20"/>
              </w:rPr>
              <w:t>929,412</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(7)</w:t>
            </w:r>
            <w:bookmarkStart w:id="16" w:name="tab.7"/>
            <w:bookmarkEnd w:id="16"/>
            <w:r>
              <w:rPr>
                <w:rFonts w:ascii="times new roman" w:hAnsi="times new roman"/>
                <w:sz w:val="20"/>
              </w:rPr>
              <w:t xml:space="preserve"> Sole Dispositive Power: </w:t>
            </w:r>
            <w:r>
              <w:rPr>
                <w:rFonts w:ascii="times new roman" w:hAnsi="times new roman"/>
                <w:b/>
                <w:sz w:val="20"/>
              </w:rPr>
              <w:t>0</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(8)</w:t>
            </w:r>
            <w:bookmarkStart w:id="17" w:name="tab.8"/>
            <w:bookmarkEnd w:id="17"/>
            <w:r>
              <w:rPr>
                <w:rFonts w:ascii="times new roman" w:hAnsi="times new roman"/>
                <w:sz w:val="20"/>
              </w:rPr>
              <w:t xml:space="preserve"> Shared Dispositive Power: </w:t>
            </w:r>
            <w:r>
              <w:rPr>
                <w:rFonts w:ascii="times new roman" w:hAnsi="times new roman"/>
                <w:b/>
                <w:sz w:val="20"/>
              </w:rPr>
              <w:t>929,412</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(9)</w:t>
      </w:r>
      <w:bookmarkStart w:id="18" w:name="tab.9"/>
      <w:bookmarkEnd w:id="18"/>
      <w:r>
        <w:rPr>
          <w:rFonts w:ascii="Times New Roman" w:hAnsi="Times New Roman"/>
          <w:sz w:val="20"/>
        </w:rPr>
        <w:t xml:space="preserve"> Aggregate Amount Beneficially Owned by Each Reporting Person.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929,412 shares of Common Stock.  See Item 4.</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(10)</w:t>
      </w:r>
      <w:bookmarkStart w:id="19" w:name="tab.10"/>
      <w:bookmarkEnd w:id="19"/>
      <w:r>
        <w:rPr>
          <w:rFonts w:ascii="Times New Roman" w:hAnsi="Times New Roman"/>
          <w:sz w:val="20"/>
        </w:rPr>
        <w:t xml:space="preserve"> Check if the Aggregate Amount in Row 9 Excludes Certain Shares. [</w:t>
      </w:r>
      <w:r>
        <w:rPr>
          <w:rFonts w:ascii="Times New Roman" w:hAnsi="Times New Roman"/>
          <w:b/>
          <w:sz w:val="20"/>
        </w:rPr>
        <w:t>X</w:t>
      </w:r>
      <w:r>
        <w:rPr>
          <w:rFonts w:ascii="Times New Roman" w:hAnsi="Times New Roman"/>
          <w:sz w:val="20"/>
        </w:rPr>
        <w:t xml:space="preserve">] </w:t>
      </w:r>
      <w:r>
        <w:rPr>
          <w:rFonts w:ascii="Times New Roman" w:hAnsi="Times New Roman"/>
          <w:b/>
          <w:sz w:val="20"/>
        </w:rPr>
        <w:t>See Item 4.</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(11)</w:t>
      </w:r>
      <w:bookmarkStart w:id="20" w:name="tab.11"/>
      <w:bookmarkEnd w:id="20"/>
      <w:r>
        <w:rPr>
          <w:rFonts w:ascii="Times New Roman" w:hAnsi="Times New Roman"/>
          <w:sz w:val="20"/>
        </w:rPr>
        <w:t xml:space="preserve"> Percent of Class Represented by Amount in Row 9.</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9.9%</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(12)</w:t>
      </w:r>
      <w:bookmarkStart w:id="21" w:name="tab.12"/>
      <w:bookmarkEnd w:id="21"/>
      <w:r>
        <w:rPr>
          <w:rFonts w:ascii="Times New Roman" w:hAnsi="Times New Roman"/>
          <w:sz w:val="20"/>
        </w:rPr>
        <w:t xml:space="preserve"> Type of Reporting Person (See Instructions).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22" w:name="Item.1"/>
      <w:bookmarkEnd w:id="22"/>
      <w:r>
        <w:rPr>
          <w:rFonts w:ascii="Times New Roman" w:hAnsi="Times New Roman"/>
          <w:b/>
          <w:sz w:val="20"/>
        </w:rPr>
        <w:t>OO</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 w:name="PGBRK"/>
      <w:bookmarkStart w:id="24" w:name="PGBRK"/>
      <w:bookmarkEnd w:id="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 w:name="FTR"/>
      <w:bookmarkStart w:id="26" w:name="FTR"/>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 w:name="GLFTR"/>
      <w:bookmarkEnd w:id="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28" w:name="PN"/>
      <w:bookmarkEnd w:id="28"/>
      <w:r>
        <w:rPr>
          <w:rFonts w:ascii="Times New Roman" w:hAnsi="Times New Roman"/>
          <w:sz w:val="16"/>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 w:name="HDR"/>
      <w:bookmarkStart w:id="30" w:name="HDR"/>
      <w:bookmarkEnd w:id="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 w:name="GLHDR"/>
      <w:bookmarkEnd w:id="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CUSIP No. </w:t>
      </w:r>
      <w:r>
        <w:rPr>
          <w:rFonts w:ascii="Times New Roman" w:hAnsi="Times New Roman"/>
          <w:b/>
          <w:sz w:val="20"/>
        </w:rPr>
        <w:t>92840H103</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(1) Names of Reporting Persons.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Platinum Management (NY) LLC</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(2) Check the Appropriate Box if a Member of a Group (See Instructions).</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(a) </w:t>
      </w:r>
      <w:r>
        <w:rPr>
          <w:rFonts w:ascii="Wingdings" w:hAnsi="Wingdings"/>
          <w:sz w:val="20"/>
        </w:rPr>
        <w:t>o</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(b) </w:t>
      </w:r>
      <w:r>
        <w:rPr>
          <w:rFonts w:ascii="Wingdings" w:hAnsi="Wingdings"/>
          <w:sz w:val="20"/>
        </w:rPr>
        <w:t>x</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(3) SEC Use Only.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(4) Citizenship or Place of Organization.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Delaware</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530"/>
        <w:gridCol w:w="8675"/>
      </w:tblGrid>
      <w:tr>
        <w:trPr/>
        <w:tc>
          <w:tcPr>
            <w:tcW w:w="153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Number of</w:t>
            </w:r>
          </w:p>
          <w:p>
            <w:pPr>
              <w:pStyle w:val="TableContents"/>
              <w:spacing w:before="0" w:after="0"/>
              <w:ind w:left="0" w:right="0" w:hanging="0"/>
              <w:jc w:val="left"/>
              <w:rPr>
                <w:rFonts w:ascii="times new roman" w:hAnsi="times new roman"/>
                <w:sz w:val="20"/>
              </w:rPr>
            </w:pPr>
            <w:r>
              <w:rPr>
                <w:rFonts w:ascii="times new roman" w:hAnsi="times new roman"/>
                <w:sz w:val="20"/>
              </w:rPr>
              <w:t>Shares</w:t>
            </w:r>
          </w:p>
          <w:p>
            <w:pPr>
              <w:pStyle w:val="TableContents"/>
              <w:spacing w:before="0" w:after="0"/>
              <w:ind w:left="0" w:right="0" w:hanging="0"/>
              <w:jc w:val="left"/>
              <w:rPr>
                <w:rFonts w:ascii="times new roman" w:hAnsi="times new roman"/>
                <w:sz w:val="20"/>
              </w:rPr>
            </w:pPr>
            <w:r>
              <w:rPr>
                <w:rFonts w:ascii="times new roman" w:hAnsi="times new roman"/>
                <w:sz w:val="20"/>
              </w:rPr>
              <w:t>Beneficially</w:t>
            </w:r>
          </w:p>
          <w:p>
            <w:pPr>
              <w:pStyle w:val="TableContents"/>
              <w:spacing w:before="0" w:after="0"/>
              <w:ind w:left="0" w:right="0" w:hanging="0"/>
              <w:jc w:val="left"/>
              <w:rPr>
                <w:rFonts w:ascii="times new roman" w:hAnsi="times new roman"/>
                <w:sz w:val="20"/>
              </w:rPr>
            </w:pPr>
            <w:r>
              <w:rPr>
                <w:rFonts w:ascii="times new roman" w:hAnsi="times new roman"/>
                <w:sz w:val="20"/>
              </w:rPr>
              <w:t>Owned by</w:t>
            </w:r>
          </w:p>
          <w:p>
            <w:pPr>
              <w:pStyle w:val="TableContents"/>
              <w:spacing w:before="0" w:after="0"/>
              <w:ind w:left="0" w:right="0" w:hanging="0"/>
              <w:jc w:val="left"/>
              <w:rPr>
                <w:rFonts w:ascii="times new roman" w:hAnsi="times new roman"/>
                <w:sz w:val="20"/>
              </w:rPr>
            </w:pPr>
            <w:r>
              <w:rPr>
                <w:rFonts w:ascii="times new roman" w:hAnsi="times new roman"/>
                <w:sz w:val="20"/>
              </w:rPr>
              <w:t>Each</w:t>
            </w:r>
          </w:p>
          <w:p>
            <w:pPr>
              <w:pStyle w:val="TableContents"/>
              <w:spacing w:before="0" w:after="0"/>
              <w:ind w:left="0" w:right="0" w:hanging="0"/>
              <w:jc w:val="left"/>
              <w:rPr>
                <w:rFonts w:ascii="times new roman" w:hAnsi="times new roman"/>
                <w:sz w:val="20"/>
              </w:rPr>
            </w:pPr>
            <w:r>
              <w:rPr>
                <w:rFonts w:ascii="times new roman" w:hAnsi="times new roman"/>
                <w:sz w:val="20"/>
              </w:rPr>
              <w:t>Reporting</w:t>
            </w:r>
          </w:p>
          <w:p>
            <w:pPr>
              <w:pStyle w:val="TableContents"/>
              <w:spacing w:before="0" w:after="0"/>
              <w:ind w:left="0" w:right="0" w:hanging="0"/>
              <w:jc w:val="left"/>
              <w:rPr>
                <w:rFonts w:ascii="times new roman" w:hAnsi="times new roman"/>
                <w:sz w:val="20"/>
              </w:rPr>
            </w:pPr>
            <w:r>
              <w:rPr>
                <w:rFonts w:ascii="times new roman" w:hAnsi="times new roman"/>
                <w:sz w:val="20"/>
              </w:rPr>
              <w:t>Person With</w:t>
            </w:r>
          </w:p>
        </w:tc>
        <w:tc>
          <w:tcPr>
            <w:tcW w:w="867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(5) Sole Voting Power: </w:t>
            </w:r>
            <w:r>
              <w:rPr>
                <w:rFonts w:ascii="times new roman" w:hAnsi="times new roman"/>
                <w:b/>
                <w:sz w:val="20"/>
              </w:rPr>
              <w:t>0</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 xml:space="preserve">(6) Shared Voting Power: </w:t>
            </w:r>
            <w:r>
              <w:rPr>
                <w:rFonts w:ascii="times new roman" w:hAnsi="times new roman"/>
                <w:b/>
                <w:sz w:val="20"/>
              </w:rPr>
              <w:t>929,412</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 xml:space="preserve">(7) Sole Dispositive Power: </w:t>
            </w:r>
            <w:r>
              <w:rPr>
                <w:rFonts w:ascii="times new roman" w:hAnsi="times new roman"/>
                <w:b/>
                <w:sz w:val="20"/>
              </w:rPr>
              <w:t>0</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 xml:space="preserve">(8) Shared Dispositive Power: </w:t>
            </w:r>
            <w:r>
              <w:rPr>
                <w:rFonts w:ascii="times new roman" w:hAnsi="times new roman"/>
                <w:b/>
                <w:sz w:val="20"/>
              </w:rPr>
              <w:t>929,412</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(9) Aggregate Amount Beneficially Owned by Each Reporting Person.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929,412 shares of Common Stock.  See Item 4.</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(10) Check if the Aggregate Amount in Row 9 Excludes Certain Shares. [</w:t>
      </w:r>
      <w:r>
        <w:rPr>
          <w:rFonts w:ascii="Times New Roman" w:hAnsi="Times New Roman"/>
          <w:b/>
          <w:sz w:val="20"/>
        </w:rPr>
        <w:t>X</w:t>
      </w:r>
      <w:r>
        <w:rPr>
          <w:rFonts w:ascii="Times New Roman" w:hAnsi="Times New Roman"/>
          <w:sz w:val="20"/>
        </w:rPr>
        <w:t xml:space="preserve">] </w:t>
      </w:r>
      <w:r>
        <w:rPr>
          <w:rFonts w:ascii="Times New Roman" w:hAnsi="Times New Roman"/>
          <w:b/>
          <w:sz w:val="20"/>
        </w:rPr>
        <w:t>See Item 4.</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(11) Percent of Class Represented by Amount in Row 9.</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9.9%</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(12) Type of Reporting Person (See Instructions).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OO</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 w:name="PGBRK1"/>
      <w:bookmarkStart w:id="33" w:name="PGBRK1"/>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 w:name="FTR1"/>
      <w:bookmarkStart w:id="35" w:name="FTR1"/>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 w:name="GLFTR1"/>
      <w:bookmarkEnd w:id="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37" w:name="PN1"/>
      <w:bookmarkEnd w:id="37"/>
      <w:r>
        <w:rPr>
          <w:rFonts w:ascii="Times New Roman" w:hAnsi="Times New Roman"/>
          <w:sz w:val="16"/>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 w:name="HDR1"/>
      <w:bookmarkStart w:id="39" w:name="HDR1"/>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 w:name="GLHDR1"/>
      <w:bookmarkEnd w:id="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CUSIP No. </w:t>
      </w:r>
      <w:r>
        <w:rPr>
          <w:rFonts w:ascii="Times New Roman" w:hAnsi="Times New Roman"/>
          <w:b/>
          <w:sz w:val="20"/>
        </w:rPr>
        <w:t>92840H103</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(1) Names of Reporting Persons.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Mark Nordlicht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(2) Check the Appropriate Box if a Member of a Group (See Instructions).</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(a) </w:t>
      </w:r>
      <w:r>
        <w:rPr>
          <w:rFonts w:ascii="Wingdings" w:hAnsi="Wingdings"/>
          <w:sz w:val="20"/>
        </w:rPr>
        <w:t>o</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(b) </w:t>
      </w:r>
      <w:r>
        <w:rPr>
          <w:rFonts w:ascii="Wingdings" w:hAnsi="Wingdings"/>
          <w:sz w:val="20"/>
        </w:rPr>
        <w:t>x</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(3) SEC Use Only.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(4) Citizenship or Place of Organization.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United States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530"/>
        <w:gridCol w:w="8675"/>
      </w:tblGrid>
      <w:tr>
        <w:trPr/>
        <w:tc>
          <w:tcPr>
            <w:tcW w:w="153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Number of</w:t>
            </w:r>
          </w:p>
          <w:p>
            <w:pPr>
              <w:pStyle w:val="TableContents"/>
              <w:spacing w:before="0" w:after="0"/>
              <w:ind w:left="0" w:right="0" w:hanging="0"/>
              <w:jc w:val="left"/>
              <w:rPr>
                <w:rFonts w:ascii="times new roman" w:hAnsi="times new roman"/>
                <w:sz w:val="20"/>
              </w:rPr>
            </w:pPr>
            <w:r>
              <w:rPr>
                <w:rFonts w:ascii="times new roman" w:hAnsi="times new roman"/>
                <w:sz w:val="20"/>
              </w:rPr>
              <w:t>Shares</w:t>
            </w:r>
          </w:p>
          <w:p>
            <w:pPr>
              <w:pStyle w:val="TableContents"/>
              <w:spacing w:before="0" w:after="0"/>
              <w:ind w:left="0" w:right="0" w:hanging="0"/>
              <w:jc w:val="left"/>
              <w:rPr>
                <w:rFonts w:ascii="times new roman" w:hAnsi="times new roman"/>
                <w:sz w:val="20"/>
              </w:rPr>
            </w:pPr>
            <w:r>
              <w:rPr>
                <w:rFonts w:ascii="times new roman" w:hAnsi="times new roman"/>
                <w:sz w:val="20"/>
              </w:rPr>
              <w:t>Beneficially</w:t>
            </w:r>
          </w:p>
          <w:p>
            <w:pPr>
              <w:pStyle w:val="TableContents"/>
              <w:spacing w:before="0" w:after="0"/>
              <w:ind w:left="0" w:right="0" w:hanging="0"/>
              <w:jc w:val="left"/>
              <w:rPr>
                <w:rFonts w:ascii="times new roman" w:hAnsi="times new roman"/>
                <w:sz w:val="20"/>
              </w:rPr>
            </w:pPr>
            <w:r>
              <w:rPr>
                <w:rFonts w:ascii="times new roman" w:hAnsi="times new roman"/>
                <w:sz w:val="20"/>
              </w:rPr>
              <w:t>Owned by</w:t>
            </w:r>
          </w:p>
          <w:p>
            <w:pPr>
              <w:pStyle w:val="TableContents"/>
              <w:spacing w:before="0" w:after="0"/>
              <w:ind w:left="0" w:right="0" w:hanging="0"/>
              <w:jc w:val="left"/>
              <w:rPr>
                <w:rFonts w:ascii="times new roman" w:hAnsi="times new roman"/>
                <w:sz w:val="20"/>
              </w:rPr>
            </w:pPr>
            <w:r>
              <w:rPr>
                <w:rFonts w:ascii="times new roman" w:hAnsi="times new roman"/>
                <w:sz w:val="20"/>
              </w:rPr>
              <w:t>Each</w:t>
            </w:r>
          </w:p>
          <w:p>
            <w:pPr>
              <w:pStyle w:val="TableContents"/>
              <w:spacing w:before="0" w:after="0"/>
              <w:ind w:left="0" w:right="0" w:hanging="0"/>
              <w:jc w:val="left"/>
              <w:rPr>
                <w:rFonts w:ascii="times new roman" w:hAnsi="times new roman"/>
                <w:sz w:val="20"/>
              </w:rPr>
            </w:pPr>
            <w:r>
              <w:rPr>
                <w:rFonts w:ascii="times new roman" w:hAnsi="times new roman"/>
                <w:sz w:val="20"/>
              </w:rPr>
              <w:t>Reporting</w:t>
            </w:r>
          </w:p>
          <w:p>
            <w:pPr>
              <w:pStyle w:val="TableContents"/>
              <w:spacing w:before="0" w:after="0"/>
              <w:ind w:left="0" w:right="0" w:hanging="0"/>
              <w:jc w:val="left"/>
              <w:rPr>
                <w:rFonts w:ascii="times new roman" w:hAnsi="times new roman"/>
                <w:sz w:val="20"/>
              </w:rPr>
            </w:pPr>
            <w:r>
              <w:rPr>
                <w:rFonts w:ascii="times new roman" w:hAnsi="times new roman"/>
                <w:sz w:val="20"/>
              </w:rPr>
              <w:t>Person With</w:t>
            </w:r>
          </w:p>
        </w:tc>
        <w:tc>
          <w:tcPr>
            <w:tcW w:w="867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(5) Sole Voting Power: </w:t>
            </w:r>
            <w:r>
              <w:rPr>
                <w:rFonts w:ascii="times new roman" w:hAnsi="times new roman"/>
                <w:b/>
                <w:sz w:val="20"/>
              </w:rPr>
              <w:t>0</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 xml:space="preserve">(6) Shared Voting Power: </w:t>
            </w:r>
            <w:r>
              <w:rPr>
                <w:rFonts w:ascii="times new roman" w:hAnsi="times new roman"/>
                <w:b/>
                <w:sz w:val="20"/>
              </w:rPr>
              <w:t>929,412</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 xml:space="preserve">(7) Sole Dispositive Power: </w:t>
            </w:r>
            <w:r>
              <w:rPr>
                <w:rFonts w:ascii="times new roman" w:hAnsi="times new roman"/>
                <w:b/>
                <w:sz w:val="20"/>
              </w:rPr>
              <w:t>0</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 xml:space="preserve">(8) Shared Dispositive Power: </w:t>
            </w:r>
            <w:r>
              <w:rPr>
                <w:rFonts w:ascii="times new roman" w:hAnsi="times new roman"/>
                <w:b/>
                <w:sz w:val="20"/>
              </w:rPr>
              <w:t>929,412</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(9) Aggregate Amount Beneficially Owned by Each Reporting Person.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929,412 shares of Common Stock.  See Item 4.</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(10) Check if the Aggregate Amount in Row 9 Excludes Certain Shares. [</w:t>
      </w:r>
      <w:r>
        <w:rPr>
          <w:rFonts w:ascii="Times New Roman" w:hAnsi="Times New Roman"/>
          <w:b/>
          <w:sz w:val="20"/>
        </w:rPr>
        <w:t>X</w:t>
      </w:r>
      <w:r>
        <w:rPr>
          <w:rFonts w:ascii="Times New Roman" w:hAnsi="Times New Roman"/>
          <w:sz w:val="20"/>
        </w:rPr>
        <w:t xml:space="preserve">] </w:t>
      </w:r>
      <w:r>
        <w:rPr>
          <w:rFonts w:ascii="Times New Roman" w:hAnsi="Times New Roman"/>
          <w:b/>
          <w:sz w:val="20"/>
        </w:rPr>
        <w:t>See Item 4.</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(11) Percent of Class Represented by Amount in Row 9.</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9.9%</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(12) Type of Reporting Person (See Instructions).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 w:name="PGBRK2"/>
      <w:bookmarkStart w:id="42" w:name="PGBRK2"/>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 w:name="FTR2"/>
      <w:bookmarkStart w:id="44" w:name="FTR2"/>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5" w:name="GLFTR2"/>
      <w:bookmarkEnd w:id="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46" w:name="PN2"/>
      <w:bookmarkEnd w:id="46"/>
      <w:r>
        <w:rPr>
          <w:rFonts w:ascii="Times New Roman" w:hAnsi="Times New Roman"/>
          <w:sz w:val="16"/>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 w:name="HDR2"/>
      <w:bookmarkStart w:id="48" w:name="HDR2"/>
      <w:bookmarkEnd w:id="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 w:name="GLHDR2"/>
      <w:bookmarkEnd w:id="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Item 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bookmarkStart w:id="50" w:name="Item.1.a"/>
      <w:bookmarkEnd w:id="50"/>
      <w:r>
        <w:rPr>
          <w:rFonts w:ascii="Times New Roman" w:hAnsi="Times New Roman"/>
          <w:sz w:val="20"/>
        </w:rPr>
        <w:t>(a) Name of Issuer.</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51" w:name="Item.1.b"/>
      <w:bookmarkEnd w:id="51"/>
      <w:r>
        <w:rPr>
          <w:rFonts w:ascii="Times New Roman" w:hAnsi="Times New Roman"/>
          <w:b/>
          <w:sz w:val="20"/>
        </w:rPr>
        <w:t>VistaGen Therapeutics, Inc.</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(b) Address of Issuer's Principal Executive Offices.</w:t>
      </w:r>
    </w:p>
    <w:p>
      <w:pPr>
        <w:pStyle w:val="TextBody"/>
        <w:spacing w:before="0" w:after="0"/>
        <w:ind w:left="0" w:right="0" w:hanging="0"/>
        <w:jc w:val="left"/>
        <w:rPr/>
      </w:pPr>
      <w:r>
        <w:rPr/>
      </w:r>
      <w:bookmarkStart w:id="52" w:name="Item.2"/>
      <w:bookmarkStart w:id="53" w:name="Item.2"/>
      <w:bookmarkEnd w:id="53"/>
    </w:p>
    <w:p>
      <w:pPr>
        <w:pStyle w:val="TextBody"/>
        <w:spacing w:before="0" w:after="0"/>
        <w:ind w:left="0" w:right="0" w:hanging="0"/>
        <w:jc w:val="left"/>
        <w:rPr>
          <w:rFonts w:ascii="Times New Roman" w:hAnsi="Times New Roman"/>
          <w:b/>
          <w:sz w:val="20"/>
        </w:rPr>
      </w:pPr>
      <w:r>
        <w:rPr>
          <w:rFonts w:ascii="Times New Roman" w:hAnsi="Times New Roman"/>
          <w:b/>
          <w:sz w:val="20"/>
        </w:rPr>
        <w:t>384 Oyster Point Blvd., No. 8</w:t>
      </w:r>
    </w:p>
    <w:p>
      <w:pPr>
        <w:pStyle w:val="TextBody"/>
        <w:spacing w:before="0" w:after="0"/>
        <w:ind w:left="0" w:right="0" w:hanging="0"/>
        <w:jc w:val="left"/>
        <w:rPr>
          <w:rFonts w:ascii="Times New Roman" w:hAnsi="Times New Roman"/>
          <w:b/>
          <w:sz w:val="20"/>
        </w:rPr>
      </w:pPr>
      <w:r>
        <w:rPr>
          <w:rFonts w:ascii="Times New Roman" w:hAnsi="Times New Roman"/>
          <w:b/>
          <w:sz w:val="20"/>
        </w:rPr>
        <w:t>South San Francisco, CA 94080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Item 2.</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bookmarkStart w:id="54" w:name="Item.2.a"/>
      <w:bookmarkEnd w:id="54"/>
      <w:r>
        <w:rPr>
          <w:rFonts w:ascii="Times New Roman" w:hAnsi="Times New Roman"/>
          <w:sz w:val="20"/>
        </w:rPr>
        <w:t>(a) Name of Person Filing.</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Platinum Long Term Growth VII, LLC</w:t>
      </w:r>
    </w:p>
    <w:p>
      <w:pPr>
        <w:pStyle w:val="TextBody"/>
        <w:spacing w:before="0" w:after="0"/>
        <w:ind w:left="0" w:right="0" w:hanging="0"/>
        <w:jc w:val="left"/>
        <w:rPr>
          <w:rFonts w:ascii="Times New Roman" w:hAnsi="Times New Roman"/>
          <w:b/>
          <w:sz w:val="20"/>
        </w:rPr>
      </w:pPr>
      <w:r>
        <w:rPr>
          <w:rFonts w:ascii="Times New Roman" w:hAnsi="Times New Roman"/>
          <w:b/>
          <w:sz w:val="20"/>
        </w:rPr>
        <w:t>Platinum Management (NY) LLC</w:t>
      </w:r>
    </w:p>
    <w:p>
      <w:pPr>
        <w:pStyle w:val="TextBody"/>
        <w:spacing w:before="0" w:after="0"/>
        <w:ind w:left="0" w:right="0" w:hanging="0"/>
        <w:jc w:val="left"/>
        <w:rPr>
          <w:rFonts w:ascii="Times New Roman" w:hAnsi="Times New Roman"/>
          <w:b/>
          <w:sz w:val="20"/>
        </w:rPr>
      </w:pPr>
      <w:r>
        <w:rPr>
          <w:rFonts w:ascii="Times New Roman" w:hAnsi="Times New Roman"/>
          <w:b/>
          <w:sz w:val="20"/>
        </w:rPr>
        <w:t>Mark Nordlicht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bookmarkStart w:id="55" w:name="Item.2.b"/>
      <w:bookmarkEnd w:id="55"/>
      <w:r>
        <w:rPr>
          <w:rFonts w:ascii="Times New Roman" w:hAnsi="Times New Roman"/>
          <w:sz w:val="20"/>
        </w:rPr>
        <w:t>(b) Address or Principal Business Office or, if none, Residence.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152 West 57th Street, 4th Floor</w:t>
      </w:r>
    </w:p>
    <w:p>
      <w:pPr>
        <w:pStyle w:val="TextBody"/>
        <w:spacing w:before="0" w:after="0"/>
        <w:ind w:left="0" w:right="0" w:hanging="0"/>
        <w:jc w:val="left"/>
        <w:rPr>
          <w:rFonts w:ascii="Times New Roman" w:hAnsi="Times New Roman"/>
          <w:b/>
          <w:sz w:val="20"/>
        </w:rPr>
      </w:pPr>
      <w:r>
        <w:rPr>
          <w:rFonts w:ascii="Times New Roman" w:hAnsi="Times New Roman"/>
          <w:b/>
          <w:sz w:val="20"/>
        </w:rPr>
        <w:t>New York, NY 10019</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bookmarkStart w:id="56" w:name="Item.2.c"/>
      <w:bookmarkEnd w:id="56"/>
      <w:r>
        <w:rPr>
          <w:rFonts w:ascii="Times New Roman" w:hAnsi="Times New Roman"/>
          <w:sz w:val="20"/>
        </w:rPr>
        <w:t>(c) Citizenship or Place of Organization.</w:t>
      </w:r>
    </w:p>
    <w:p>
      <w:pPr>
        <w:pStyle w:val="TextBody"/>
        <w:spacing w:before="0" w:after="0"/>
        <w:ind w:left="0" w:right="0" w:hanging="0"/>
        <w:jc w:val="left"/>
        <w:rPr/>
      </w:pPr>
      <w:r>
        <w:rPr/>
      </w:r>
      <w:bookmarkStart w:id="57" w:name="Item.2.d"/>
      <w:bookmarkStart w:id="58" w:name="Item.2.d"/>
      <w:bookmarkEnd w:id="58"/>
    </w:p>
    <w:p>
      <w:pPr>
        <w:pStyle w:val="TextBody"/>
        <w:spacing w:before="0" w:after="0"/>
        <w:ind w:left="0" w:right="0" w:hanging="0"/>
        <w:jc w:val="left"/>
        <w:rPr>
          <w:rFonts w:ascii="Times New Roman" w:hAnsi="Times New Roman"/>
          <w:b/>
          <w:sz w:val="20"/>
        </w:rPr>
      </w:pPr>
      <w:r>
        <w:rPr>
          <w:rFonts w:ascii="Times New Roman" w:hAnsi="Times New Roman"/>
          <w:b/>
          <w:sz w:val="20"/>
        </w:rPr>
        <w:t>Platinum Long Term Growth VII, LLC - Delaware</w:t>
      </w:r>
    </w:p>
    <w:p>
      <w:pPr>
        <w:pStyle w:val="TextBody"/>
        <w:spacing w:before="0" w:after="0"/>
        <w:ind w:left="0" w:right="0" w:hanging="0"/>
        <w:jc w:val="left"/>
        <w:rPr>
          <w:rFonts w:ascii="Times New Roman" w:hAnsi="Times New Roman"/>
          <w:b/>
          <w:sz w:val="20"/>
        </w:rPr>
      </w:pPr>
      <w:r>
        <w:rPr>
          <w:rFonts w:ascii="Times New Roman" w:hAnsi="Times New Roman"/>
          <w:b/>
          <w:sz w:val="20"/>
        </w:rPr>
        <w:t>Platinum Management (NY) LLC - Delaware</w:t>
      </w:r>
    </w:p>
    <w:p>
      <w:pPr>
        <w:pStyle w:val="TextBody"/>
        <w:spacing w:before="0" w:after="0"/>
        <w:ind w:left="0" w:right="0" w:hanging="0"/>
        <w:jc w:val="left"/>
        <w:rPr>
          <w:rFonts w:ascii="Times New Roman" w:hAnsi="Times New Roman"/>
          <w:b/>
          <w:sz w:val="20"/>
        </w:rPr>
      </w:pPr>
      <w:r>
        <w:rPr>
          <w:rFonts w:ascii="Times New Roman" w:hAnsi="Times New Roman"/>
          <w:b/>
          <w:sz w:val="20"/>
        </w:rPr>
        <w:t>Mark Nordlicht – United States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 Title of Class of Securities.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Common Stock, par value $0.001 per share</w:t>
      </w:r>
    </w:p>
    <w:p>
      <w:pPr>
        <w:pStyle w:val="TextBody"/>
        <w:spacing w:before="0" w:after="0"/>
        <w:ind w:left="0" w:right="0" w:hanging="0"/>
        <w:jc w:val="left"/>
        <w:rPr/>
      </w:pPr>
      <w:r>
        <w:rPr/>
      </w:r>
      <w:bookmarkStart w:id="59" w:name="Item.2.e"/>
      <w:bookmarkStart w:id="60" w:name="Item.2.e"/>
      <w:bookmarkEnd w:id="60"/>
    </w:p>
    <w:p>
      <w:pPr>
        <w:pStyle w:val="TextBody"/>
        <w:spacing w:before="0" w:after="0"/>
        <w:ind w:left="0" w:right="0" w:hanging="0"/>
        <w:jc w:val="left"/>
        <w:rPr>
          <w:rFonts w:ascii="Times New Roman" w:hAnsi="Times New Roman"/>
          <w:sz w:val="20"/>
        </w:rPr>
      </w:pPr>
      <w:r>
        <w:rPr>
          <w:rFonts w:ascii="Times New Roman" w:hAnsi="Times New Roman"/>
          <w:sz w:val="20"/>
        </w:rPr>
        <w:t>(e) CUSIP No.</w:t>
      </w:r>
    </w:p>
    <w:p>
      <w:pPr>
        <w:pStyle w:val="TextBody"/>
        <w:spacing w:before="0" w:after="0"/>
        <w:ind w:left="0" w:right="0" w:hanging="0"/>
        <w:jc w:val="left"/>
        <w:rPr/>
      </w:pPr>
      <w:r>
        <w:rPr/>
      </w:r>
      <w:bookmarkStart w:id="61" w:name="Item.3"/>
      <w:bookmarkStart w:id="62" w:name="Item.3"/>
      <w:bookmarkEnd w:id="62"/>
    </w:p>
    <w:p>
      <w:pPr>
        <w:pStyle w:val="TextBody"/>
        <w:spacing w:before="0" w:after="0"/>
        <w:ind w:left="0" w:right="0" w:hanging="0"/>
        <w:jc w:val="left"/>
        <w:rPr>
          <w:rFonts w:ascii="Times New Roman" w:hAnsi="Times New Roman"/>
          <w:b/>
          <w:sz w:val="20"/>
        </w:rPr>
      </w:pPr>
      <w:r>
        <w:rPr>
          <w:rFonts w:ascii="Times New Roman" w:hAnsi="Times New Roman"/>
          <w:b/>
          <w:sz w:val="20"/>
        </w:rPr>
        <w:t>92840H103</w:t>
      </w:r>
    </w:p>
    <w:p>
      <w:pPr>
        <w:pStyle w:val="TextBody"/>
        <w:spacing w:before="0" w:after="0"/>
        <w:ind w:left="0" w:right="0" w:hanging="0"/>
        <w:rPr/>
      </w:pPr>
      <w:r>
        <w:rPr/>
      </w:r>
    </w:p>
    <w:p>
      <w:pPr>
        <w:pStyle w:val="Normal"/>
        <w:spacing w:before="0" w:after="0"/>
        <w:rPr>
          <w:sz w:val="4"/>
          <w:szCs w:val="4"/>
        </w:rPr>
      </w:pPr>
      <w:r>
        <w:rPr>
          <w:sz w:val="4"/>
          <w:szCs w:val="4"/>
        </w:rPr>
      </w:r>
      <w:bookmarkStart w:id="63" w:name="hangingindent3"/>
      <w:bookmarkStart w:id="64" w:name="hangingindent3"/>
      <w:bookmarkEnd w:id="64"/>
    </w:p>
    <w:tbl>
      <w:tblPr>
        <w:tblW w:w="5000" w:type="pct"/>
        <w:jc w:val="center"/>
        <w:tblInd w:w="0" w:type="dxa"/>
        <w:tblCellMar>
          <w:top w:w="0" w:type="dxa"/>
          <w:left w:w="0" w:type="dxa"/>
          <w:bottom w:w="0" w:type="dxa"/>
          <w:right w:w="0" w:type="dxa"/>
        </w:tblCellMar>
      </w:tblPr>
      <w:tblGrid>
        <w:gridCol w:w="638"/>
        <w:gridCol w:w="9567"/>
      </w:tblGrid>
      <w:tr>
        <w:trPr/>
        <w:tc>
          <w:tcPr>
            <w:tcW w:w="63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3.</w:t>
            </w:r>
          </w:p>
        </w:tc>
        <w:tc>
          <w:tcPr>
            <w:tcW w:w="956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If this statement is filed pursuant to Rules 13d-1(b), or 13d-2(b) or (c), check whether the person filing is a:</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306"/>
        <w:gridCol w:w="9084"/>
      </w:tblGrid>
      <w:tr>
        <w:trPr/>
        <w:tc>
          <w:tcPr>
            <w:tcW w:w="509"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0"/>
              <w:ind w:left="0" w:right="0" w:hanging="0"/>
              <w:jc w:val="left"/>
              <w:rPr>
                <w:rFonts w:ascii="times new roman" w:hAnsi="times new roman"/>
                <w:sz w:val="20"/>
              </w:rPr>
            </w:pPr>
            <w:bookmarkStart w:id="65" w:name="item.3.a"/>
            <w:bookmarkEnd w:id="65"/>
            <w:r>
              <w:rPr>
                <w:rFonts w:ascii="times new roman" w:hAnsi="times new roman"/>
                <w:sz w:val="20"/>
              </w:rPr>
              <w:t>(a)</w:t>
            </w:r>
          </w:p>
        </w:tc>
        <w:tc>
          <w:tcPr>
            <w:tcW w:w="306" w:type="dxa"/>
            <w:tcBorders/>
            <w:shd w:fill="auto" w:val="clear"/>
          </w:tcPr>
          <w:p>
            <w:pPr>
              <w:pStyle w:val="TableContents"/>
              <w:spacing w:before="0" w:after="283"/>
              <w:jc w:val="left"/>
              <w:rPr>
                <w:rFonts w:ascii="wingdings" w:hAnsi="wingdings"/>
              </w:rPr>
            </w:pPr>
            <w:r>
              <w:rPr>
                <w:rFonts w:ascii="wingdings" w:hAnsi="wingdings"/>
              </w:rPr>
              <w:t>o</w:t>
            </w:r>
          </w:p>
        </w:tc>
        <w:tc>
          <w:tcPr>
            <w:tcW w:w="90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Broker or dealer registered under section 15 of the Act.</w:t>
            </w:r>
          </w:p>
        </w:tc>
      </w:tr>
      <w:tr>
        <w:trPr/>
        <w:tc>
          <w:tcPr>
            <w:tcW w:w="509"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0"/>
              <w:ind w:left="0" w:right="0" w:hanging="0"/>
              <w:jc w:val="left"/>
              <w:rPr>
                <w:rFonts w:ascii="times new roman" w:hAnsi="times new roman"/>
                <w:sz w:val="20"/>
              </w:rPr>
            </w:pPr>
            <w:bookmarkStart w:id="66" w:name="item.3.b"/>
            <w:bookmarkEnd w:id="66"/>
            <w:r>
              <w:rPr>
                <w:rFonts w:ascii="times new roman" w:hAnsi="times new roman"/>
                <w:sz w:val="20"/>
              </w:rPr>
              <w:t>(b)</w:t>
            </w:r>
          </w:p>
        </w:tc>
        <w:tc>
          <w:tcPr>
            <w:tcW w:w="306" w:type="dxa"/>
            <w:tcBorders/>
            <w:shd w:fill="auto" w:val="clear"/>
          </w:tcPr>
          <w:p>
            <w:pPr>
              <w:pStyle w:val="TableContents"/>
              <w:spacing w:before="0" w:after="283"/>
              <w:jc w:val="left"/>
              <w:rPr>
                <w:rFonts w:ascii="wingdings" w:hAnsi="wingdings"/>
              </w:rPr>
            </w:pPr>
            <w:r>
              <w:rPr>
                <w:rFonts w:ascii="wingdings" w:hAnsi="wingdings"/>
              </w:rPr>
              <w:t>o</w:t>
            </w:r>
          </w:p>
        </w:tc>
        <w:tc>
          <w:tcPr>
            <w:tcW w:w="90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Bank as defined in Section 3(a)(6) of the Act.</w:t>
            </w:r>
          </w:p>
        </w:tc>
      </w:tr>
      <w:tr>
        <w:trPr/>
        <w:tc>
          <w:tcPr>
            <w:tcW w:w="509"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0"/>
              <w:ind w:left="0" w:right="0" w:hanging="0"/>
              <w:jc w:val="left"/>
              <w:rPr>
                <w:rFonts w:ascii="times new roman" w:hAnsi="times new roman"/>
                <w:sz w:val="20"/>
              </w:rPr>
            </w:pPr>
            <w:bookmarkStart w:id="67" w:name="item.3.c"/>
            <w:bookmarkEnd w:id="67"/>
            <w:r>
              <w:rPr>
                <w:rFonts w:ascii="times new roman" w:hAnsi="times new roman"/>
                <w:sz w:val="20"/>
              </w:rPr>
              <w:t>(c)</w:t>
            </w:r>
          </w:p>
        </w:tc>
        <w:tc>
          <w:tcPr>
            <w:tcW w:w="306" w:type="dxa"/>
            <w:tcBorders/>
            <w:shd w:fill="auto" w:val="clear"/>
          </w:tcPr>
          <w:p>
            <w:pPr>
              <w:pStyle w:val="TableContents"/>
              <w:spacing w:before="0" w:after="283"/>
              <w:jc w:val="left"/>
              <w:rPr>
                <w:rFonts w:ascii="wingdings" w:hAnsi="wingdings"/>
              </w:rPr>
            </w:pPr>
            <w:r>
              <w:rPr>
                <w:rFonts w:ascii="wingdings" w:hAnsi="wingdings"/>
              </w:rPr>
              <w:t>o</w:t>
            </w:r>
          </w:p>
        </w:tc>
        <w:tc>
          <w:tcPr>
            <w:tcW w:w="90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Insurance company as defined in Section 3(a)(19) of the Act.</w:t>
            </w:r>
          </w:p>
        </w:tc>
      </w:tr>
      <w:tr>
        <w:trPr/>
        <w:tc>
          <w:tcPr>
            <w:tcW w:w="509"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0"/>
              <w:ind w:left="0" w:right="0" w:hanging="0"/>
              <w:jc w:val="left"/>
              <w:rPr>
                <w:rFonts w:ascii="times new roman" w:hAnsi="times new roman"/>
                <w:sz w:val="20"/>
              </w:rPr>
            </w:pPr>
            <w:bookmarkStart w:id="68" w:name="item.3.d"/>
            <w:bookmarkEnd w:id="68"/>
            <w:r>
              <w:rPr>
                <w:rFonts w:ascii="times new roman" w:hAnsi="times new roman"/>
                <w:sz w:val="20"/>
              </w:rPr>
              <w:t>(d)</w:t>
            </w:r>
          </w:p>
        </w:tc>
        <w:tc>
          <w:tcPr>
            <w:tcW w:w="306" w:type="dxa"/>
            <w:tcBorders/>
            <w:shd w:fill="auto" w:val="clear"/>
          </w:tcPr>
          <w:p>
            <w:pPr>
              <w:pStyle w:val="TableContents"/>
              <w:spacing w:before="0" w:after="283"/>
              <w:jc w:val="left"/>
              <w:rPr>
                <w:rFonts w:ascii="wingdings" w:hAnsi="wingdings"/>
              </w:rPr>
            </w:pPr>
            <w:r>
              <w:rPr>
                <w:rFonts w:ascii="wingdings" w:hAnsi="wingdings"/>
              </w:rPr>
              <w:t>o</w:t>
            </w:r>
          </w:p>
        </w:tc>
        <w:tc>
          <w:tcPr>
            <w:tcW w:w="90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Investment company registered under section 8 of the Investment Company Act of 1940.</w:t>
            </w:r>
          </w:p>
        </w:tc>
      </w:tr>
      <w:tr>
        <w:trPr/>
        <w:tc>
          <w:tcPr>
            <w:tcW w:w="509"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0"/>
              <w:ind w:left="0" w:right="0" w:hanging="0"/>
              <w:jc w:val="left"/>
              <w:rPr>
                <w:rFonts w:ascii="times new roman" w:hAnsi="times new roman"/>
                <w:sz w:val="20"/>
              </w:rPr>
            </w:pPr>
            <w:bookmarkStart w:id="69" w:name="item.3.e"/>
            <w:bookmarkEnd w:id="69"/>
            <w:r>
              <w:rPr>
                <w:rFonts w:ascii="times new roman" w:hAnsi="times new roman"/>
                <w:sz w:val="20"/>
              </w:rPr>
              <w:t>(e)</w:t>
            </w:r>
          </w:p>
        </w:tc>
        <w:tc>
          <w:tcPr>
            <w:tcW w:w="306" w:type="dxa"/>
            <w:tcBorders/>
            <w:shd w:fill="auto" w:val="clear"/>
          </w:tcPr>
          <w:p>
            <w:pPr>
              <w:pStyle w:val="TableContents"/>
              <w:spacing w:before="0" w:after="283"/>
              <w:jc w:val="left"/>
              <w:rPr>
                <w:rFonts w:ascii="wingdings" w:hAnsi="wingdings"/>
              </w:rPr>
            </w:pPr>
            <w:r>
              <w:rPr>
                <w:rFonts w:ascii="wingdings" w:hAnsi="wingdings"/>
              </w:rPr>
              <w:t>o</w:t>
            </w:r>
          </w:p>
        </w:tc>
        <w:tc>
          <w:tcPr>
            <w:tcW w:w="90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An investment adviser in accordance with Rule 13d-1(b)(1)(ii)(E);</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0" w:name="PGBRK3"/>
      <w:bookmarkStart w:id="71" w:name="PGBRK3"/>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 w:name="FTR3"/>
      <w:bookmarkStart w:id="73" w:name="FTR3"/>
      <w:bookmarkEnd w:id="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4" w:name="GLFTR3"/>
      <w:bookmarkEnd w:id="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75" w:name="PN3"/>
      <w:bookmarkEnd w:id="75"/>
      <w:r>
        <w:rPr>
          <w:rFonts w:ascii="Times New Roman" w:hAnsi="Times New Roman"/>
          <w:sz w:val="16"/>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 w:name="HDR3"/>
      <w:bookmarkStart w:id="77" w:name="HDR3"/>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8" w:name="GLHDR3"/>
      <w:bookmarkEnd w:id="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9"/>
        <w:gridCol w:w="306"/>
        <w:gridCol w:w="305"/>
        <w:gridCol w:w="9085"/>
      </w:tblGrid>
      <w:tr>
        <w:trPr/>
        <w:tc>
          <w:tcPr>
            <w:tcW w:w="509"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0"/>
              <w:ind w:left="0" w:right="0" w:hanging="0"/>
              <w:jc w:val="left"/>
              <w:rPr>
                <w:rFonts w:ascii="times new roman" w:hAnsi="times new roman"/>
                <w:sz w:val="20"/>
              </w:rPr>
            </w:pPr>
            <w:bookmarkStart w:id="79" w:name="item.3.f"/>
            <w:bookmarkEnd w:id="79"/>
            <w:r>
              <w:rPr>
                <w:rFonts w:ascii="times new roman" w:hAnsi="times new roman"/>
                <w:sz w:val="20"/>
              </w:rPr>
              <w:t>(f)</w:t>
            </w:r>
          </w:p>
        </w:tc>
        <w:tc>
          <w:tcPr>
            <w:tcW w:w="305" w:type="dxa"/>
            <w:tcBorders/>
            <w:shd w:fill="auto" w:val="clear"/>
          </w:tcPr>
          <w:p>
            <w:pPr>
              <w:pStyle w:val="TableContents"/>
              <w:spacing w:before="0" w:after="0"/>
              <w:ind w:left="0" w:right="0" w:hanging="0"/>
              <w:jc w:val="left"/>
              <w:rPr>
                <w:rFonts w:ascii="wingdings" w:hAnsi="wingdings"/>
                <w:sz w:val="20"/>
              </w:rPr>
            </w:pPr>
            <w:r>
              <w:rPr>
                <w:rFonts w:ascii="wingdings" w:hAnsi="wingdings"/>
                <w:sz w:val="20"/>
              </w:rPr>
              <w:t>o</w:t>
            </w:r>
          </w:p>
        </w:tc>
        <w:tc>
          <w:tcPr>
            <w:tcW w:w="90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An employee benefit plan or endowment fund in accordance with Rule 13d-1(b)(1)(ii)(F);</w:t>
            </w:r>
          </w:p>
        </w:tc>
      </w:tr>
      <w:tr>
        <w:trPr/>
        <w:tc>
          <w:tcPr>
            <w:tcW w:w="509"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0"/>
              <w:ind w:left="0" w:right="0" w:hanging="0"/>
              <w:jc w:val="left"/>
              <w:rPr>
                <w:rFonts w:ascii="times new roman" w:hAnsi="times new roman"/>
                <w:sz w:val="20"/>
              </w:rPr>
            </w:pPr>
            <w:bookmarkStart w:id="80" w:name="item.3.g"/>
            <w:bookmarkEnd w:id="80"/>
            <w:r>
              <w:rPr>
                <w:rFonts w:ascii="times new roman" w:hAnsi="times new roman"/>
                <w:sz w:val="20"/>
              </w:rPr>
              <w:t>(g)</w:t>
            </w:r>
          </w:p>
        </w:tc>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90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 parent holding company or control person in accordance with Rule 13d-1(b)(1)(ii)(G);</w:t>
            </w:r>
          </w:p>
        </w:tc>
      </w:tr>
      <w:tr>
        <w:trPr/>
        <w:tc>
          <w:tcPr>
            <w:tcW w:w="509"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0"/>
              <w:ind w:left="0" w:right="0" w:hanging="0"/>
              <w:jc w:val="left"/>
              <w:rPr>
                <w:rFonts w:ascii="times new roman" w:hAnsi="times new roman"/>
                <w:sz w:val="20"/>
              </w:rPr>
            </w:pPr>
            <w:bookmarkStart w:id="81" w:name="item.3.h"/>
            <w:bookmarkEnd w:id="81"/>
            <w:r>
              <w:rPr>
                <w:rFonts w:ascii="times new roman" w:hAnsi="times new roman"/>
                <w:sz w:val="20"/>
              </w:rPr>
              <w:t>(h)</w:t>
            </w:r>
          </w:p>
        </w:tc>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90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 savings association as defined in Section 3(b) of the Federal Deposit Insurance Act (12 U.S.C. 1813);</w:t>
            </w:r>
          </w:p>
        </w:tc>
      </w:tr>
      <w:tr>
        <w:trPr/>
        <w:tc>
          <w:tcPr>
            <w:tcW w:w="509"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0"/>
              <w:ind w:left="0" w:right="0" w:hanging="0"/>
              <w:jc w:val="left"/>
              <w:rPr>
                <w:rFonts w:ascii="times new roman" w:hAnsi="times new roman"/>
                <w:sz w:val="20"/>
              </w:rPr>
            </w:pPr>
            <w:bookmarkStart w:id="82" w:name="item.3.i"/>
            <w:bookmarkEnd w:id="82"/>
            <w:r>
              <w:rPr>
                <w:rFonts w:ascii="times new roman" w:hAnsi="times new roman"/>
                <w:sz w:val="20"/>
              </w:rPr>
              <w:t>(i)</w:t>
            </w:r>
          </w:p>
        </w:tc>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90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 church plan that is excluded from the definition of an investment company under section 3(c)(14) of the Investment Company Act of 1940;</w:t>
            </w:r>
          </w:p>
        </w:tc>
      </w:tr>
      <w:tr>
        <w:trPr/>
        <w:tc>
          <w:tcPr>
            <w:tcW w:w="509" w:type="dxa"/>
            <w:tcBorders/>
            <w:shd w:fill="auto" w:val="clear"/>
          </w:tcPr>
          <w:p>
            <w:pPr>
              <w:pStyle w:val="TableContents"/>
              <w:spacing w:before="0" w:after="283"/>
              <w:jc w:val="left"/>
              <w:rPr/>
            </w:pPr>
            <w:r>
              <w:rPr/>
              <w:t> </w:t>
            </w:r>
          </w:p>
        </w:tc>
        <w:tc>
          <w:tcPr>
            <w:tcW w:w="306" w:type="dxa"/>
            <w:tcBorders/>
            <w:shd w:fill="auto" w:val="clear"/>
          </w:tcPr>
          <w:p>
            <w:pPr>
              <w:pStyle w:val="TableContents"/>
              <w:spacing w:before="0" w:after="0"/>
              <w:ind w:left="0" w:right="0" w:hanging="0"/>
              <w:jc w:val="left"/>
              <w:rPr>
                <w:rFonts w:ascii="times new roman" w:hAnsi="times new roman"/>
                <w:sz w:val="20"/>
              </w:rPr>
            </w:pPr>
            <w:bookmarkStart w:id="83" w:name="item.3.j"/>
            <w:bookmarkEnd w:id="83"/>
            <w:r>
              <w:rPr>
                <w:rFonts w:ascii="times new roman" w:hAnsi="times new roman"/>
                <w:sz w:val="20"/>
              </w:rPr>
              <w:t>(j)</w:t>
            </w:r>
          </w:p>
        </w:tc>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90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Group, in accordance with Rule 13d-1(b)(1)(ii)(J).</w:t>
            </w:r>
          </w:p>
        </w:tc>
      </w:tr>
    </w:tbl>
    <w:p>
      <w:pPr>
        <w:pStyle w:val="TextBody"/>
        <w:spacing w:before="0" w:after="0"/>
        <w:ind w:left="0" w:right="0" w:hanging="0"/>
        <w:rPr/>
      </w:pPr>
      <w:r>
        <w:rPr/>
      </w:r>
    </w:p>
    <w:p>
      <w:pPr>
        <w:pStyle w:val="Normal"/>
        <w:spacing w:before="0" w:after="0"/>
        <w:rPr>
          <w:sz w:val="4"/>
          <w:szCs w:val="4"/>
        </w:rPr>
      </w:pPr>
      <w:r>
        <w:rPr>
          <w:sz w:val="4"/>
          <w:szCs w:val="4"/>
        </w:rPr>
      </w:r>
      <w:bookmarkStart w:id="84" w:name="hangingindent4"/>
      <w:bookmarkStart w:id="85" w:name="hangingindent4"/>
      <w:bookmarkEnd w:id="85"/>
    </w:p>
    <w:tbl>
      <w:tblPr>
        <w:tblW w:w="5000" w:type="pct"/>
        <w:jc w:val="center"/>
        <w:tblInd w:w="0" w:type="dxa"/>
        <w:tblCellMar>
          <w:top w:w="0" w:type="dxa"/>
          <w:left w:w="0" w:type="dxa"/>
          <w:bottom w:w="0" w:type="dxa"/>
          <w:right w:w="0" w:type="dxa"/>
        </w:tblCellMar>
      </w:tblPr>
      <w:tblGrid>
        <w:gridCol w:w="3886"/>
        <w:gridCol w:w="6319"/>
      </w:tblGrid>
      <w:tr>
        <w:trPr/>
        <w:tc>
          <w:tcPr>
            <w:tcW w:w="3886" w:type="dxa"/>
            <w:tcBorders/>
            <w:shd w:fill="auto" w:val="clear"/>
          </w:tcPr>
          <w:p>
            <w:pPr>
              <w:pStyle w:val="TableContents"/>
              <w:spacing w:before="0" w:after="0"/>
              <w:ind w:left="0" w:right="0" w:hanging="0"/>
              <w:rPr>
                <w:rFonts w:ascii="Times New Roman" w:hAnsi="Times New Roman"/>
                <w:sz w:val="20"/>
              </w:rPr>
            </w:pPr>
            <w:bookmarkStart w:id="86" w:name="Item.4"/>
            <w:bookmarkEnd w:id="86"/>
            <w:r>
              <w:rPr>
                <w:rFonts w:ascii="Times New Roman" w:hAnsi="Times New Roman"/>
                <w:sz w:val="20"/>
              </w:rPr>
              <w:t>Item 4.</w:t>
            </w:r>
          </w:p>
        </w:tc>
        <w:tc>
          <w:tcPr>
            <w:tcW w:w="63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Ownership.</w:t>
            </w:r>
          </w:p>
        </w:tc>
      </w:tr>
    </w:tbl>
    <w:p>
      <w:pPr>
        <w:pStyle w:val="TextBody"/>
        <w:spacing w:before="0" w:after="0"/>
        <w:ind w:left="0" w:right="0" w:hanging="0"/>
        <w:rPr/>
      </w:pPr>
      <w:r>
        <w:rPr/>
      </w:r>
    </w:p>
    <w:p>
      <w:pPr>
        <w:pStyle w:val="TextBody"/>
        <w:spacing w:before="0" w:after="0"/>
        <w:ind w:left="360" w:right="0" w:hanging="0"/>
        <w:jc w:val="left"/>
        <w:rPr>
          <w:rFonts w:ascii="Times New Roman" w:hAnsi="Times New Roman"/>
          <w:sz w:val="20"/>
        </w:rPr>
      </w:pPr>
      <w:r>
        <w:rPr>
          <w:rFonts w:ascii="Times New Roman" w:hAnsi="Times New Roman"/>
          <w:sz w:val="20"/>
        </w:rPr>
        <w:t xml:space="preserve">(a) Amount Beneficially Owned: </w:t>
      </w:r>
      <w:r>
        <w:rPr>
          <w:rFonts w:ascii="Times New Roman" w:hAnsi="Times New Roman"/>
          <w:b/>
          <w:sz w:val="20"/>
        </w:rPr>
        <w:t>929,412 shares of Common Stock.</w:t>
      </w:r>
    </w:p>
    <w:p>
      <w:pPr>
        <w:pStyle w:val="TextBody"/>
        <w:spacing w:before="0" w:after="0"/>
        <w:ind w:left="0" w:right="0" w:hanging="0"/>
        <w:rPr/>
      </w:pPr>
      <w:r>
        <w:rPr/>
      </w:r>
    </w:p>
    <w:p>
      <w:pPr>
        <w:pStyle w:val="TextBody"/>
        <w:spacing w:before="0" w:after="0"/>
        <w:ind w:left="360" w:right="0" w:hanging="0"/>
        <w:jc w:val="left"/>
        <w:rPr>
          <w:rFonts w:ascii="Times New Roman" w:hAnsi="Times New Roman"/>
          <w:b/>
          <w:sz w:val="20"/>
        </w:rPr>
      </w:pPr>
      <w:r>
        <w:rPr>
          <w:rFonts w:ascii="Times New Roman" w:hAnsi="Times New Roman"/>
          <w:b/>
          <w:sz w:val="20"/>
        </w:rPr>
        <w:t>As of December 31, 2012, the number of shares beneficially owned includes 929,412 shares of common stock owned by Platinum Long Term Growth VII, LLC (“Platinum VII”).</w:t>
      </w:r>
    </w:p>
    <w:p>
      <w:pPr>
        <w:pStyle w:val="TextBody"/>
        <w:spacing w:before="0" w:after="0"/>
        <w:ind w:left="0" w:right="0" w:hanging="0"/>
        <w:rPr/>
      </w:pPr>
      <w:r>
        <w:rPr/>
      </w:r>
    </w:p>
    <w:p>
      <w:pPr>
        <w:pStyle w:val="TextBody"/>
        <w:spacing w:before="0" w:after="0"/>
        <w:ind w:left="360" w:right="0" w:hanging="0"/>
        <w:jc w:val="left"/>
        <w:rPr>
          <w:rFonts w:ascii="Times New Roman" w:hAnsi="Times New Roman"/>
          <w:b/>
          <w:sz w:val="20"/>
        </w:rPr>
      </w:pPr>
      <w:r>
        <w:rPr>
          <w:rFonts w:ascii="Times New Roman" w:hAnsi="Times New Roman"/>
          <w:b/>
          <w:sz w:val="20"/>
        </w:rPr>
        <w:t>The number of shares beneficially owned excludes 15,000,000 shares of Common Stock that may be acquired by Platinum VII upon exchange of 500,000 shares of Series A Convertible Preferred Stock.  Pursuant to that Note Exchange and Purchase Agreement by and between the Issuer and Platinum VII, there is a limitation on exchange such that the number of shares of Common Stock that may be acquired by Platinum VII upon exchange of the Series A Convertible Preferred Stock is limited to the extent necessary to ensure that, following such exchange, the total number of shares of Common Stock then beneficially owned by the holder does not exceed 9.99% of the total number of issued and outstanding shares of Common Stock of the Issuer without providing the Issuer with 61 days’ prior notice thereof.</w:t>
      </w:r>
    </w:p>
    <w:p>
      <w:pPr>
        <w:pStyle w:val="TextBody"/>
        <w:spacing w:before="0" w:after="0"/>
        <w:ind w:left="0" w:right="0" w:hanging="0"/>
        <w:rPr/>
      </w:pPr>
      <w:r>
        <w:rPr/>
      </w:r>
    </w:p>
    <w:p>
      <w:pPr>
        <w:pStyle w:val="TextBody"/>
        <w:spacing w:before="0" w:after="0"/>
        <w:ind w:left="360" w:right="0" w:hanging="0"/>
        <w:jc w:val="left"/>
        <w:rPr>
          <w:rFonts w:ascii="Times New Roman" w:hAnsi="Times New Roman"/>
          <w:b/>
          <w:sz w:val="20"/>
        </w:rPr>
      </w:pPr>
      <w:r>
        <w:rPr>
          <w:rFonts w:ascii="Times New Roman" w:hAnsi="Times New Roman"/>
          <w:b/>
          <w:sz w:val="20"/>
        </w:rPr>
        <w:t>Further, the number of shares beneficially owned also excludes 6,817,731 shares of Common Stock that may be acquired by Platinum VII upon conversion of various convertible notes or exercise of various common stock purchase warrants issued by the Issuer (before giving effect to accrued but unpaid interest on such convertible notes).  Pursuant to the terms of the respective convertible notes and common stock purchase warrant agreements, there is a limitation on conversion of the notes and exercise of the warrants such that the number of shares of Common Stock that may be acquired by the holder upon such conversion or exercise is limited to the extent necessary to ensure that, following such conversion or exercise, the total number of shares of Common Stock then beneficially owned by the holder does not exceed 4.99% or 9.99% of the total number of issued and outstanding shares of Common Stock of the Issuer without providing the Issuer with 61 days’ prior notice thereof.</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7" w:name="PGBRK4"/>
      <w:bookmarkStart w:id="88" w:name="PGBRK4"/>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 w:name="FTR4"/>
      <w:bookmarkStart w:id="90" w:name="FTR4"/>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1" w:name="GLFTR4"/>
      <w:bookmarkEnd w:id="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92" w:name="PN4"/>
      <w:bookmarkEnd w:id="92"/>
      <w:r>
        <w:rPr>
          <w:rFonts w:ascii="Times New Roman" w:hAnsi="Times New Roman"/>
          <w:sz w:val="16"/>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 w:name="HDR4"/>
      <w:bookmarkStart w:id="94" w:name="HDR4"/>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5" w:name="GLHDR4"/>
      <w:bookmarkEnd w:id="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360" w:right="0" w:hanging="0"/>
        <w:jc w:val="left"/>
        <w:rPr>
          <w:rFonts w:ascii="Times New Roman" w:hAnsi="Times New Roman"/>
          <w:b/>
          <w:sz w:val="20"/>
        </w:rPr>
      </w:pPr>
      <w:r>
        <w:rPr>
          <w:rFonts w:ascii="Times New Roman" w:hAnsi="Times New Roman"/>
          <w:b/>
          <w:sz w:val="20"/>
        </w:rPr>
        <w:t>Further, the number of shares beneficially owned also excludes Series A Exchange Warrants that may be issued to Platinum VII upon exchange of the Series A Convertible Preferred Stock.  Assuming exchange of all 500,000 shares of Series A Convertible Preferred Stock, the Series A Exchange Warrants entitle the holder to acquire up to 7,500,000 shares of Common Stock.  Pursuant to the terms of the Series A Exchange Warrant agreement, there is a limitation on exercise of the Series A Exchange Warrants such that the number of shares of Common Stock that may be acquired by the holder upon such exercise is limited to the extent necessary to ensure that, following such exercise, the total number of shares of Common Stock then beneficially owned by the holder does not exceed 4.99% or 9.99% of the total number of issued and outstanding shares of Common Stock of the Issuer without providing the Issuer with 61 days’ prior notice thereof.</w:t>
      </w:r>
    </w:p>
    <w:p>
      <w:pPr>
        <w:pStyle w:val="TextBody"/>
        <w:spacing w:before="0" w:after="0"/>
        <w:ind w:left="0" w:right="0" w:hanging="0"/>
        <w:rPr/>
      </w:pPr>
      <w:r>
        <w:rPr/>
      </w:r>
    </w:p>
    <w:p>
      <w:pPr>
        <w:pStyle w:val="TextBody"/>
        <w:spacing w:before="0" w:after="0"/>
        <w:ind w:left="360" w:right="0" w:hanging="0"/>
        <w:jc w:val="left"/>
        <w:rPr>
          <w:rFonts w:ascii="Times New Roman" w:hAnsi="Times New Roman"/>
          <w:sz w:val="20"/>
        </w:rPr>
      </w:pPr>
      <w:r>
        <w:rPr>
          <w:rFonts w:ascii="Times New Roman" w:hAnsi="Times New Roman"/>
          <w:sz w:val="20"/>
        </w:rPr>
        <w:t>(b) Percent of class:  </w:t>
      </w:r>
      <w:r>
        <w:rPr>
          <w:rFonts w:ascii="Times New Roman" w:hAnsi="Times New Roman"/>
          <w:b/>
          <w:sz w:val="20"/>
        </w:rPr>
        <w:t>9.9%</w:t>
      </w:r>
    </w:p>
    <w:p>
      <w:pPr>
        <w:pStyle w:val="TextBody"/>
        <w:spacing w:before="0" w:after="0"/>
        <w:ind w:left="0" w:right="0" w:hanging="0"/>
        <w:rPr/>
      </w:pPr>
      <w:r>
        <w:rPr/>
      </w:r>
    </w:p>
    <w:p>
      <w:pPr>
        <w:pStyle w:val="TextBody"/>
        <w:spacing w:before="0" w:after="0"/>
        <w:ind w:left="360" w:right="0" w:hanging="0"/>
        <w:jc w:val="left"/>
        <w:rPr>
          <w:rFonts w:ascii="Times New Roman" w:hAnsi="Times New Roman"/>
          <w:sz w:val="20"/>
        </w:rPr>
      </w:pPr>
      <w:r>
        <w:rPr>
          <w:rFonts w:ascii="Times New Roman" w:hAnsi="Times New Roman"/>
          <w:sz w:val="20"/>
        </w:rPr>
        <w:t>(c) Number of shares as to which such person has:</w:t>
      </w:r>
    </w:p>
    <w:p>
      <w:pPr>
        <w:pStyle w:val="TextBody"/>
        <w:spacing w:before="0" w:after="0"/>
        <w:ind w:left="360" w:right="0" w:hanging="0"/>
        <w:jc w:val="left"/>
        <w:rPr/>
      </w:pPr>
      <w:r>
        <w:rPr/>
        <w:t> </w:t>
      </w:r>
    </w:p>
    <w:p>
      <w:pPr>
        <w:pStyle w:val="Normal"/>
        <w:spacing w:before="0" w:after="0"/>
        <w:rPr>
          <w:sz w:val="4"/>
          <w:szCs w:val="4"/>
        </w:rPr>
      </w:pPr>
      <w:r>
        <w:rPr>
          <w:sz w:val="4"/>
          <w:szCs w:val="4"/>
        </w:rPr>
      </w:r>
      <w:bookmarkStart w:id="96" w:name="hangingindent5"/>
      <w:bookmarkStart w:id="97" w:name="hangingindent5"/>
      <w:bookmarkEnd w:id="97"/>
    </w:p>
    <w:tbl>
      <w:tblPr>
        <w:tblW w:w="5000" w:type="pct"/>
        <w:jc w:val="center"/>
        <w:tblInd w:w="0" w:type="dxa"/>
        <w:tblCellMar>
          <w:top w:w="0" w:type="dxa"/>
          <w:left w:w="0" w:type="dxa"/>
          <w:bottom w:w="0" w:type="dxa"/>
          <w:right w:w="0" w:type="dxa"/>
        </w:tblCellMar>
      </w:tblPr>
      <w:tblGrid>
        <w:gridCol w:w="330"/>
        <w:gridCol w:w="552"/>
        <w:gridCol w:w="9323"/>
      </w:tblGrid>
      <w:tr>
        <w:trPr/>
        <w:tc>
          <w:tcPr>
            <w:tcW w:w="330" w:type="dxa"/>
            <w:tcBorders/>
            <w:shd w:fill="auto" w:val="clear"/>
          </w:tcPr>
          <w:p>
            <w:pPr>
              <w:pStyle w:val="TableContents"/>
              <w:spacing w:before="0" w:after="0"/>
              <w:rPr/>
            </w:pPr>
            <w:r>
              <w:rPr/>
              <w:t xml:space="preserve">  </w:t>
            </w:r>
          </w:p>
        </w:tc>
        <w:tc>
          <w:tcPr>
            <w:tcW w:w="55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932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Sole power to vote or to direct the vote: </w:t>
            </w:r>
            <w:r>
              <w:rPr>
                <w:rFonts w:ascii="Times New Roman" w:hAnsi="Times New Roman"/>
                <w:b/>
                <w:sz w:val="20"/>
              </w:rPr>
              <w:t>0</w:t>
            </w:r>
          </w:p>
        </w:tc>
      </w:tr>
    </w:tbl>
    <w:p>
      <w:pPr>
        <w:pStyle w:val="Normal"/>
        <w:spacing w:before="0" w:after="0"/>
        <w:rPr>
          <w:sz w:val="4"/>
          <w:szCs w:val="4"/>
        </w:rPr>
      </w:pPr>
      <w:r>
        <w:rPr>
          <w:sz w:val="4"/>
          <w:szCs w:val="4"/>
        </w:rPr>
      </w:r>
      <w:bookmarkStart w:id="98" w:name="hangingindent6"/>
      <w:bookmarkStart w:id="99" w:name="hangingindent6"/>
      <w:bookmarkEnd w:id="99"/>
    </w:p>
    <w:tbl>
      <w:tblPr>
        <w:tblW w:w="5000" w:type="pct"/>
        <w:jc w:val="center"/>
        <w:tblInd w:w="0" w:type="dxa"/>
        <w:tblCellMar>
          <w:top w:w="0" w:type="dxa"/>
          <w:left w:w="0" w:type="dxa"/>
          <w:bottom w:w="0" w:type="dxa"/>
          <w:right w:w="0" w:type="dxa"/>
        </w:tblCellMar>
      </w:tblPr>
      <w:tblGrid>
        <w:gridCol w:w="270"/>
        <w:gridCol w:w="586"/>
        <w:gridCol w:w="9349"/>
      </w:tblGrid>
      <w:tr>
        <w:trPr/>
        <w:tc>
          <w:tcPr>
            <w:tcW w:w="270" w:type="dxa"/>
            <w:tcBorders/>
            <w:shd w:fill="auto" w:val="clear"/>
          </w:tcPr>
          <w:p>
            <w:pPr>
              <w:pStyle w:val="TableContents"/>
              <w:spacing w:before="0" w:after="0"/>
              <w:rPr/>
            </w:pPr>
            <w:r>
              <w:rPr/>
              <w:t xml:space="preserve">  </w:t>
            </w:r>
          </w:p>
        </w:tc>
        <w:tc>
          <w:tcPr>
            <w:tcW w:w="58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w:t>
            </w:r>
          </w:p>
        </w:tc>
        <w:tc>
          <w:tcPr>
            <w:tcW w:w="934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Shared power to vote or to direct the vote: </w:t>
            </w:r>
            <w:r>
              <w:rPr>
                <w:rFonts w:ascii="Times New Roman" w:hAnsi="Times New Roman"/>
                <w:b/>
                <w:sz w:val="20"/>
              </w:rPr>
              <w:t>929,412</w:t>
            </w:r>
          </w:p>
        </w:tc>
      </w:tr>
    </w:tbl>
    <w:p>
      <w:pPr>
        <w:pStyle w:val="Normal"/>
        <w:spacing w:before="0" w:after="0"/>
        <w:rPr>
          <w:sz w:val="4"/>
          <w:szCs w:val="4"/>
        </w:rPr>
      </w:pPr>
      <w:r>
        <w:rPr>
          <w:sz w:val="4"/>
          <w:szCs w:val="4"/>
        </w:rPr>
      </w:r>
      <w:bookmarkStart w:id="100" w:name="hangingindent7"/>
      <w:bookmarkStart w:id="101" w:name="hangingindent7"/>
      <w:bookmarkEnd w:id="101"/>
    </w:p>
    <w:tbl>
      <w:tblPr>
        <w:tblW w:w="5000" w:type="pct"/>
        <w:jc w:val="center"/>
        <w:tblInd w:w="0" w:type="dxa"/>
        <w:tblCellMar>
          <w:top w:w="0" w:type="dxa"/>
          <w:left w:w="0" w:type="dxa"/>
          <w:bottom w:w="0" w:type="dxa"/>
          <w:right w:w="0" w:type="dxa"/>
        </w:tblCellMar>
      </w:tblPr>
      <w:tblGrid>
        <w:gridCol w:w="252"/>
        <w:gridCol w:w="675"/>
        <w:gridCol w:w="9278"/>
      </w:tblGrid>
      <w:tr>
        <w:trPr/>
        <w:tc>
          <w:tcPr>
            <w:tcW w:w="252" w:type="dxa"/>
            <w:tcBorders/>
            <w:shd w:fill="auto" w:val="clear"/>
          </w:tcPr>
          <w:p>
            <w:pPr>
              <w:pStyle w:val="TableContents"/>
              <w:spacing w:before="0" w:after="0"/>
              <w:rPr/>
            </w:pPr>
            <w:r>
              <w:rPr/>
              <w:t xml:space="preserve">  </w:t>
            </w:r>
          </w:p>
        </w:tc>
        <w:tc>
          <w:tcPr>
            <w:tcW w:w="67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(iii)</w:t>
            </w:r>
          </w:p>
        </w:tc>
        <w:tc>
          <w:tcPr>
            <w:tcW w:w="927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Sole power to dispose or to direct the disposition of: </w:t>
            </w:r>
            <w:r>
              <w:rPr>
                <w:rFonts w:ascii="Times New Roman" w:hAnsi="Times New Roman"/>
                <w:b/>
                <w:sz w:val="20"/>
              </w:rPr>
              <w:t>0</w:t>
            </w:r>
          </w:p>
        </w:tc>
      </w:tr>
    </w:tbl>
    <w:p>
      <w:pPr>
        <w:pStyle w:val="Normal"/>
        <w:spacing w:before="0" w:after="0"/>
        <w:rPr>
          <w:sz w:val="4"/>
          <w:szCs w:val="4"/>
        </w:rPr>
      </w:pPr>
      <w:r>
        <w:rPr>
          <w:sz w:val="4"/>
          <w:szCs w:val="4"/>
        </w:rPr>
      </w:r>
      <w:bookmarkStart w:id="102" w:name="hangingindent8"/>
      <w:bookmarkStart w:id="103" w:name="hangingindent8"/>
      <w:bookmarkEnd w:id="103"/>
    </w:p>
    <w:tbl>
      <w:tblPr>
        <w:tblW w:w="5000" w:type="pct"/>
        <w:jc w:val="center"/>
        <w:tblInd w:w="0" w:type="dxa"/>
        <w:tblCellMar>
          <w:top w:w="0" w:type="dxa"/>
          <w:left w:w="0" w:type="dxa"/>
          <w:bottom w:w="0" w:type="dxa"/>
          <w:right w:w="0" w:type="dxa"/>
        </w:tblCellMar>
      </w:tblPr>
      <w:tblGrid>
        <w:gridCol w:w="218"/>
        <w:gridCol w:w="557"/>
        <w:gridCol w:w="9430"/>
      </w:tblGrid>
      <w:tr>
        <w:trPr/>
        <w:tc>
          <w:tcPr>
            <w:tcW w:w="218" w:type="dxa"/>
            <w:tcBorders/>
            <w:shd w:fill="auto" w:val="clear"/>
          </w:tcPr>
          <w:p>
            <w:pPr>
              <w:pStyle w:val="TableContents"/>
              <w:spacing w:before="0" w:after="0"/>
              <w:rPr/>
            </w:pPr>
            <w:r>
              <w:rPr/>
              <w:t xml:space="preserve">  </w:t>
            </w:r>
          </w:p>
        </w:tc>
        <w:tc>
          <w:tcPr>
            <w:tcW w:w="557"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(iv)</w:t>
            </w:r>
          </w:p>
        </w:tc>
        <w:tc>
          <w:tcPr>
            <w:tcW w:w="943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Shared power to dispose or to direct the disposition of: </w:t>
            </w:r>
            <w:r>
              <w:rPr>
                <w:rFonts w:ascii="Times New Roman" w:hAnsi="Times New Roman"/>
                <w:b/>
                <w:sz w:val="20"/>
              </w:rPr>
              <w:t>929,412</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The shares of Common Stock (the “Shares”) reported in this Schedule 13G are held directly by Platinum Long Term Growth VII, LLC.  Platinum Management (NY) LLC is the investment manager of Platinum Long Term Growth VII, LLC.  Mr. Nordlicht is the Chief Investment Officer of Platinum Management (NY) LLC and has voting and investment control of the Shares held by Platinum Long Term Growth VII, LLC.  Each of Platinum Management (NY) LLC and Mr. Nordlicht expressly disclaims beneficial ownership of the Shares held by Platinum Long Term Growth VII, LLC.</w:t>
      </w:r>
    </w:p>
    <w:p>
      <w:pPr>
        <w:pStyle w:val="TextBody"/>
        <w:spacing w:before="0" w:after="0"/>
        <w:ind w:left="0" w:right="0" w:hanging="0"/>
        <w:rPr/>
      </w:pPr>
      <w:r>
        <w:rPr/>
      </w:r>
    </w:p>
    <w:p>
      <w:pPr>
        <w:pStyle w:val="Normal"/>
        <w:spacing w:before="0" w:after="0"/>
        <w:rPr>
          <w:sz w:val="4"/>
          <w:szCs w:val="4"/>
        </w:rPr>
      </w:pPr>
      <w:r>
        <w:rPr>
          <w:sz w:val="4"/>
          <w:szCs w:val="4"/>
        </w:rPr>
      </w:r>
      <w:bookmarkStart w:id="104" w:name="hangingindent9"/>
      <w:bookmarkStart w:id="105" w:name="hangingindent9"/>
      <w:bookmarkEnd w:id="105"/>
    </w:p>
    <w:tbl>
      <w:tblPr>
        <w:tblW w:w="5000" w:type="pct"/>
        <w:jc w:val="center"/>
        <w:tblInd w:w="0" w:type="dxa"/>
        <w:tblCellMar>
          <w:top w:w="0" w:type="dxa"/>
          <w:left w:w="0" w:type="dxa"/>
          <w:bottom w:w="0" w:type="dxa"/>
          <w:right w:w="0" w:type="dxa"/>
        </w:tblCellMar>
      </w:tblPr>
      <w:tblGrid>
        <w:gridCol w:w="1393"/>
        <w:gridCol w:w="8812"/>
      </w:tblGrid>
      <w:tr>
        <w:trPr/>
        <w:tc>
          <w:tcPr>
            <w:tcW w:w="139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Item 5.</w:t>
            </w:r>
          </w:p>
        </w:tc>
        <w:tc>
          <w:tcPr>
            <w:tcW w:w="881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Ownership of Five Percent or Less of a Class.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If this statement is being filed to report the fact that as of the date hereof the reporting person has ceased to be the beneficial owner of more than 5 percent of the class of securities, check the following </w:t>
      </w:r>
      <w:r>
        <w:rPr>
          <w:rFonts w:ascii="Wingdings" w:hAnsi="Wingdings"/>
          <w:sz w:val="20"/>
        </w:rPr>
        <w:t>o</w:t>
      </w:r>
      <w:r>
        <w:rPr>
          <w:rFonts w:ascii="Times New Roman" w:hAnsi="Times New Roman"/>
          <w:sz w:val="20"/>
        </w:rPr>
        <w:t>.</w:t>
      </w:r>
    </w:p>
    <w:p>
      <w:pPr>
        <w:pStyle w:val="TextBody"/>
        <w:spacing w:before="0" w:after="0"/>
        <w:ind w:left="0" w:right="0" w:hanging="0"/>
        <w:rPr/>
      </w:pPr>
      <w:r>
        <w:rPr/>
      </w:r>
    </w:p>
    <w:p>
      <w:pPr>
        <w:pStyle w:val="Normal"/>
        <w:spacing w:before="0" w:after="0"/>
        <w:rPr>
          <w:sz w:val="4"/>
          <w:szCs w:val="4"/>
        </w:rPr>
      </w:pPr>
      <w:r>
        <w:rPr>
          <w:sz w:val="4"/>
          <w:szCs w:val="4"/>
        </w:rPr>
      </w:r>
      <w:bookmarkStart w:id="106" w:name="hangingindent10"/>
      <w:bookmarkStart w:id="107" w:name="hangingindent10"/>
      <w:bookmarkEnd w:id="107"/>
    </w:p>
    <w:tbl>
      <w:tblPr>
        <w:tblW w:w="5000" w:type="pct"/>
        <w:jc w:val="center"/>
        <w:tblInd w:w="0" w:type="dxa"/>
        <w:tblCellMar>
          <w:top w:w="0" w:type="dxa"/>
          <w:left w:w="0" w:type="dxa"/>
          <w:bottom w:w="0" w:type="dxa"/>
          <w:right w:w="0" w:type="dxa"/>
        </w:tblCellMar>
      </w:tblPr>
      <w:tblGrid>
        <w:gridCol w:w="1022"/>
        <w:gridCol w:w="9183"/>
      </w:tblGrid>
      <w:tr>
        <w:trPr/>
        <w:tc>
          <w:tcPr>
            <w:tcW w:w="1022" w:type="dxa"/>
            <w:tcBorders/>
            <w:shd w:fill="auto" w:val="clear"/>
          </w:tcPr>
          <w:p>
            <w:pPr>
              <w:pStyle w:val="TableContents"/>
              <w:spacing w:before="0" w:after="0"/>
              <w:ind w:left="0" w:right="0" w:hanging="0"/>
              <w:rPr>
                <w:rFonts w:ascii="Times New Roman" w:hAnsi="Times New Roman"/>
                <w:sz w:val="20"/>
              </w:rPr>
            </w:pPr>
            <w:bookmarkStart w:id="108" w:name="Item.6"/>
            <w:bookmarkStart w:id="109" w:name="Item.5.inst"/>
            <w:bookmarkEnd w:id="108"/>
            <w:bookmarkEnd w:id="109"/>
            <w:r>
              <w:rPr>
                <w:rFonts w:ascii="Times New Roman" w:hAnsi="Times New Roman"/>
                <w:sz w:val="20"/>
              </w:rPr>
              <w:t>Item 6.</w:t>
            </w:r>
          </w:p>
        </w:tc>
        <w:tc>
          <w:tcPr>
            <w:tcW w:w="918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Ownership of More than 5 Percent on Behalf of Another Person.</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  </w:t>
      </w:r>
      <w:r>
        <w:rPr>
          <w:rFonts w:ascii="Times New Roman" w:hAnsi="Times New Roman"/>
          <w:b/>
          <w:sz w:val="20"/>
        </w:rPr>
        <w:t>N/A</w:t>
      </w:r>
    </w:p>
    <w:p>
      <w:pPr>
        <w:pStyle w:val="TextBody"/>
        <w:spacing w:before="0" w:after="0"/>
        <w:ind w:left="0" w:right="0" w:hanging="0"/>
        <w:rPr/>
      </w:pPr>
      <w:r>
        <w:rPr/>
      </w:r>
    </w:p>
    <w:p>
      <w:pPr>
        <w:pStyle w:val="Normal"/>
        <w:spacing w:before="0" w:after="0"/>
        <w:rPr>
          <w:sz w:val="4"/>
          <w:szCs w:val="4"/>
        </w:rPr>
      </w:pPr>
      <w:r>
        <w:rPr>
          <w:sz w:val="4"/>
          <w:szCs w:val="4"/>
        </w:rPr>
      </w:r>
      <w:bookmarkStart w:id="110" w:name="hangingindent11"/>
      <w:bookmarkStart w:id="111" w:name="hangingindent11"/>
      <w:bookmarkEnd w:id="111"/>
    </w:p>
    <w:tbl>
      <w:tblPr>
        <w:tblW w:w="5000" w:type="pct"/>
        <w:jc w:val="center"/>
        <w:tblInd w:w="0" w:type="dxa"/>
        <w:tblCellMar>
          <w:top w:w="0" w:type="dxa"/>
          <w:left w:w="0" w:type="dxa"/>
          <w:bottom w:w="0" w:type="dxa"/>
          <w:right w:w="0" w:type="dxa"/>
        </w:tblCellMar>
      </w:tblPr>
      <w:tblGrid>
        <w:gridCol w:w="528"/>
        <w:gridCol w:w="9677"/>
      </w:tblGrid>
      <w:tr>
        <w:trPr/>
        <w:tc>
          <w:tcPr>
            <w:tcW w:w="528" w:type="dxa"/>
            <w:tcBorders/>
            <w:shd w:fill="auto" w:val="clear"/>
          </w:tcPr>
          <w:p>
            <w:pPr>
              <w:pStyle w:val="TableContents"/>
              <w:spacing w:before="0" w:after="0"/>
              <w:ind w:left="0" w:right="0" w:hanging="0"/>
              <w:rPr>
                <w:rFonts w:ascii="Times New Roman" w:hAnsi="Times New Roman"/>
                <w:sz w:val="20"/>
              </w:rPr>
            </w:pPr>
            <w:bookmarkStart w:id="112" w:name="Item.7"/>
            <w:bookmarkEnd w:id="112"/>
            <w:r>
              <w:rPr>
                <w:rFonts w:ascii="Times New Roman" w:hAnsi="Times New Roman"/>
                <w:sz w:val="20"/>
              </w:rPr>
              <w:t>Item 7.</w:t>
            </w:r>
          </w:p>
        </w:tc>
        <w:tc>
          <w:tcPr>
            <w:tcW w:w="96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Identification and Classification of the Subsidiary Which Acquired the Security Being Reported on By the Parent Holding Company or Control Person.</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  </w:t>
      </w:r>
      <w:r>
        <w:rPr>
          <w:rFonts w:ascii="Times New Roman" w:hAnsi="Times New Roman"/>
          <w:b/>
          <w:sz w:val="20"/>
        </w:rPr>
        <w:t>N/A</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3" w:name="PGBRK5"/>
      <w:bookmarkStart w:id="114" w:name="PGBRK5"/>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 w:name="FTR5"/>
      <w:bookmarkStart w:id="116" w:name="FTR5"/>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7" w:name="GLFTR5"/>
      <w:bookmarkEnd w:id="1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18" w:name="PN5"/>
      <w:bookmarkEnd w:id="118"/>
      <w:r>
        <w:rPr>
          <w:rFonts w:ascii="Times New Roman" w:hAnsi="Times New Roman"/>
          <w:sz w:val="16"/>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 w:name="HDR5"/>
      <w:bookmarkStart w:id="120" w:name="HDR5"/>
      <w:bookmarkEnd w:id="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1" w:name="GLHDR5"/>
      <w:bookmarkEnd w:id="1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22" w:name="hangingindent12"/>
      <w:bookmarkStart w:id="123" w:name="hangingindent12"/>
      <w:bookmarkEnd w:id="123"/>
    </w:p>
    <w:tbl>
      <w:tblPr>
        <w:tblW w:w="5000" w:type="pct"/>
        <w:jc w:val="center"/>
        <w:tblInd w:w="0" w:type="dxa"/>
        <w:tblCellMar>
          <w:top w:w="0" w:type="dxa"/>
          <w:left w:w="0" w:type="dxa"/>
          <w:bottom w:w="0" w:type="dxa"/>
          <w:right w:w="0" w:type="dxa"/>
        </w:tblCellMar>
      </w:tblPr>
      <w:tblGrid>
        <w:gridCol w:w="1099"/>
        <w:gridCol w:w="9106"/>
      </w:tblGrid>
      <w:tr>
        <w:trPr/>
        <w:tc>
          <w:tcPr>
            <w:tcW w:w="1099" w:type="dxa"/>
            <w:tcBorders/>
            <w:shd w:fill="auto" w:val="clear"/>
          </w:tcPr>
          <w:p>
            <w:pPr>
              <w:pStyle w:val="TableContents"/>
              <w:spacing w:before="0" w:after="0"/>
              <w:ind w:left="0" w:right="0" w:hanging="0"/>
              <w:rPr>
                <w:rFonts w:ascii="Times New Roman" w:hAnsi="Times New Roman"/>
                <w:sz w:val="20"/>
              </w:rPr>
            </w:pPr>
            <w:bookmarkStart w:id="124" w:name="Item.8"/>
            <w:bookmarkEnd w:id="124"/>
            <w:r>
              <w:rPr>
                <w:rFonts w:ascii="Times New Roman" w:hAnsi="Times New Roman"/>
                <w:sz w:val="20"/>
              </w:rPr>
              <w:t>Item 8.</w:t>
            </w:r>
          </w:p>
        </w:tc>
        <w:tc>
          <w:tcPr>
            <w:tcW w:w="910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Identification and Classification of Members of the Group.</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If a group has filed this schedule pursuant to Rule 13d-1(b)(1)(ii)(J), so indicate under Item 3(j) and attach an exhibit stating the identity and Item 3 classification of each member of the group. If a group has filed this schedule pursuant to Rule 13d-1(c) or Rule 13d-1(d), attach an exhibit stating the identity of each member of the group.  </w:t>
      </w:r>
      <w:r>
        <w:rPr>
          <w:rFonts w:ascii="Times New Roman" w:hAnsi="Times New Roman"/>
          <w:b/>
          <w:sz w:val="20"/>
        </w:rPr>
        <w:t>See attached Joint Filing Agreement</w:t>
      </w:r>
      <w:r>
        <w:rPr>
          <w:rFonts w:ascii="Times New Roman" w:hAnsi="Times New Roman"/>
          <w:sz w:val="20"/>
        </w:rPr>
        <w:t>.</w:t>
      </w:r>
    </w:p>
    <w:p>
      <w:pPr>
        <w:pStyle w:val="TextBody"/>
        <w:spacing w:before="0" w:after="0"/>
        <w:ind w:left="0" w:right="0" w:hanging="0"/>
        <w:rPr/>
      </w:pPr>
      <w:r>
        <w:rPr/>
      </w:r>
    </w:p>
    <w:p>
      <w:pPr>
        <w:pStyle w:val="Normal"/>
        <w:spacing w:before="0" w:after="0"/>
        <w:rPr>
          <w:sz w:val="4"/>
          <w:szCs w:val="4"/>
        </w:rPr>
      </w:pPr>
      <w:r>
        <w:rPr>
          <w:sz w:val="4"/>
          <w:szCs w:val="4"/>
        </w:rPr>
      </w:r>
      <w:bookmarkStart w:id="125" w:name="hangingindent13"/>
      <w:bookmarkStart w:id="126" w:name="hangingindent13"/>
      <w:bookmarkEnd w:id="126"/>
    </w:p>
    <w:tbl>
      <w:tblPr>
        <w:tblW w:w="5000" w:type="pct"/>
        <w:jc w:val="center"/>
        <w:tblInd w:w="0" w:type="dxa"/>
        <w:tblCellMar>
          <w:top w:w="0" w:type="dxa"/>
          <w:left w:w="0" w:type="dxa"/>
          <w:bottom w:w="0" w:type="dxa"/>
          <w:right w:w="0" w:type="dxa"/>
        </w:tblCellMar>
      </w:tblPr>
      <w:tblGrid>
        <w:gridCol w:w="1865"/>
        <w:gridCol w:w="8340"/>
      </w:tblGrid>
      <w:tr>
        <w:trPr/>
        <w:tc>
          <w:tcPr>
            <w:tcW w:w="1865" w:type="dxa"/>
            <w:tcBorders/>
            <w:shd w:fill="auto" w:val="clear"/>
          </w:tcPr>
          <w:p>
            <w:pPr>
              <w:pStyle w:val="TableContents"/>
              <w:spacing w:before="0" w:after="0"/>
              <w:ind w:left="0" w:right="0" w:hanging="0"/>
              <w:rPr>
                <w:rFonts w:ascii="Times New Roman" w:hAnsi="Times New Roman"/>
                <w:sz w:val="20"/>
              </w:rPr>
            </w:pPr>
            <w:bookmarkStart w:id="127" w:name="Item.9"/>
            <w:bookmarkEnd w:id="127"/>
            <w:r>
              <w:rPr>
                <w:rFonts w:ascii="Times New Roman" w:hAnsi="Times New Roman"/>
                <w:sz w:val="20"/>
              </w:rPr>
              <w:t>Item 9.</w:t>
            </w:r>
          </w:p>
        </w:tc>
        <w:tc>
          <w:tcPr>
            <w:tcW w:w="834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Notice of Dissolution of Group.</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Notice of dissolution of a group may be furnished as an exhibit stating the date of the dissolution and that all further filings with respect to transactions in the security reported on will be filed, if required, by members of the group, in their individual capacity.  </w:t>
      </w:r>
      <w:r>
        <w:rPr>
          <w:rFonts w:ascii="Times New Roman" w:hAnsi="Times New Roman"/>
          <w:b/>
          <w:sz w:val="20"/>
        </w:rPr>
        <w:t>N/A</w:t>
      </w:r>
    </w:p>
    <w:p>
      <w:pPr>
        <w:pStyle w:val="TextBody"/>
        <w:spacing w:before="0" w:after="0"/>
        <w:ind w:left="0" w:right="0" w:hanging="0"/>
        <w:rPr/>
      </w:pPr>
      <w:r>
        <w:rPr/>
      </w:r>
    </w:p>
    <w:p>
      <w:pPr>
        <w:pStyle w:val="Normal"/>
        <w:spacing w:before="0" w:after="0"/>
        <w:rPr>
          <w:sz w:val="4"/>
          <w:szCs w:val="4"/>
        </w:rPr>
      </w:pPr>
      <w:r>
        <w:rPr>
          <w:sz w:val="4"/>
          <w:szCs w:val="4"/>
        </w:rPr>
      </w:r>
      <w:bookmarkStart w:id="128" w:name="hangingindent14"/>
      <w:bookmarkStart w:id="129" w:name="hangingindent14"/>
      <w:bookmarkEnd w:id="129"/>
    </w:p>
    <w:tbl>
      <w:tblPr>
        <w:tblW w:w="5000" w:type="pct"/>
        <w:jc w:val="center"/>
        <w:tblInd w:w="0" w:type="dxa"/>
        <w:tblCellMar>
          <w:top w:w="0" w:type="dxa"/>
          <w:left w:w="0" w:type="dxa"/>
          <w:bottom w:w="0" w:type="dxa"/>
          <w:right w:w="0" w:type="dxa"/>
        </w:tblCellMar>
      </w:tblPr>
      <w:tblGrid>
        <w:gridCol w:w="3833"/>
        <w:gridCol w:w="6372"/>
      </w:tblGrid>
      <w:tr>
        <w:trPr/>
        <w:tc>
          <w:tcPr>
            <w:tcW w:w="3833" w:type="dxa"/>
            <w:tcBorders/>
            <w:shd w:fill="auto" w:val="clear"/>
          </w:tcPr>
          <w:p>
            <w:pPr>
              <w:pStyle w:val="TableContents"/>
              <w:spacing w:before="0" w:after="0"/>
              <w:ind w:left="0" w:right="0" w:hanging="0"/>
              <w:rPr>
                <w:rFonts w:ascii="Times New Roman" w:hAnsi="Times New Roman"/>
                <w:sz w:val="20"/>
              </w:rPr>
            </w:pPr>
            <w:bookmarkStart w:id="130" w:name="Item.10"/>
            <w:bookmarkEnd w:id="130"/>
            <w:r>
              <w:rPr>
                <w:rFonts w:ascii="Times New Roman" w:hAnsi="Times New Roman"/>
                <w:sz w:val="20"/>
              </w:rPr>
              <w:t>Item 10.</w:t>
            </w:r>
          </w:p>
        </w:tc>
        <w:tc>
          <w:tcPr>
            <w:tcW w:w="637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Certifications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1" w:name="PGBRK6"/>
      <w:bookmarkStart w:id="132" w:name="PGBRK6"/>
      <w:bookmarkEnd w:id="1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 w:name="FTR6"/>
      <w:bookmarkStart w:id="134" w:name="FTR6"/>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5" w:name="GLFTR6"/>
      <w:bookmarkEnd w:id="1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36" w:name="PN6"/>
      <w:bookmarkEnd w:id="136"/>
      <w:r>
        <w:rPr>
          <w:rFonts w:ascii="Times New Roman" w:hAnsi="Times New Roman"/>
          <w:sz w:val="16"/>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7" w:name="HDR6"/>
      <w:bookmarkStart w:id="138" w:name="HDR6"/>
      <w:bookmarkEnd w:id="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9" w:name="GLHDR6"/>
      <w:bookmarkEnd w:id="1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SIGNATURE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After reasonable inquiry and to the best of my knowledge and belief, I certify that the information set forth in this statement is true, complete and correct.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Dated: February 14, 2013</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Platinum Long Term Growth VII, LLC</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OLIVER JIMENEZ</w:t>
      </w:r>
    </w:p>
    <w:p>
      <w:pPr>
        <w:pStyle w:val="TextBody"/>
        <w:spacing w:before="0" w:after="0"/>
        <w:ind w:left="0" w:right="0" w:hanging="0"/>
        <w:jc w:val="left"/>
        <w:rPr>
          <w:rFonts w:ascii="Times New Roman" w:hAnsi="Times New Roman"/>
          <w:sz w:val="20"/>
        </w:rPr>
      </w:pPr>
      <w:r>
        <w:rPr>
          <w:rFonts w:ascii="Times New Roman" w:hAnsi="Times New Roman"/>
          <w:sz w:val="20"/>
        </w:rPr>
        <w:t>Oliver Jimenez</w:t>
      </w:r>
    </w:p>
    <w:p>
      <w:pPr>
        <w:pStyle w:val="TextBody"/>
        <w:spacing w:before="0" w:after="0"/>
        <w:ind w:left="0" w:right="0" w:hanging="0"/>
        <w:jc w:val="left"/>
        <w:rPr>
          <w:rFonts w:ascii="Times New Roman" w:hAnsi="Times New Roman"/>
          <w:sz w:val="20"/>
        </w:rPr>
      </w:pPr>
      <w:r>
        <w:rPr>
          <w:rFonts w:ascii="Times New Roman" w:hAnsi="Times New Roman"/>
          <w:sz w:val="20"/>
        </w:rPr>
        <w:t>Chief Compliance Officer</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Platinum Management (NY) LLC</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OLIVER JIMENEZ</w:t>
      </w:r>
    </w:p>
    <w:p>
      <w:pPr>
        <w:pStyle w:val="TextBody"/>
        <w:spacing w:before="0" w:after="0"/>
        <w:ind w:left="0" w:right="0" w:hanging="0"/>
        <w:jc w:val="left"/>
        <w:rPr>
          <w:rFonts w:ascii="Times New Roman" w:hAnsi="Times New Roman"/>
          <w:sz w:val="20"/>
        </w:rPr>
      </w:pPr>
      <w:r>
        <w:rPr>
          <w:rFonts w:ascii="Times New Roman" w:hAnsi="Times New Roman"/>
          <w:sz w:val="20"/>
        </w:rPr>
        <w:t>Name: Oliver Jimenez</w:t>
      </w:r>
    </w:p>
    <w:p>
      <w:pPr>
        <w:pStyle w:val="TextBody"/>
        <w:spacing w:before="0" w:after="0"/>
        <w:ind w:left="0" w:right="0" w:hanging="0"/>
        <w:jc w:val="left"/>
        <w:rPr>
          <w:rFonts w:ascii="Times New Roman" w:hAnsi="Times New Roman"/>
          <w:sz w:val="20"/>
        </w:rPr>
      </w:pPr>
      <w:r>
        <w:rPr>
          <w:rFonts w:ascii="Times New Roman" w:hAnsi="Times New Roman"/>
          <w:sz w:val="20"/>
        </w:rPr>
        <w:t>Title: Chief Compliance Officer</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MARK NORDLICHT</w:t>
      </w:r>
    </w:p>
    <w:p>
      <w:pPr>
        <w:pStyle w:val="TextBody"/>
        <w:spacing w:before="0" w:after="0"/>
        <w:ind w:left="0" w:right="0" w:hanging="0"/>
        <w:jc w:val="left"/>
        <w:rPr>
          <w:rFonts w:ascii="Times New Roman" w:hAnsi="Times New Roman"/>
          <w:sz w:val="20"/>
        </w:rPr>
      </w:pPr>
      <w:r>
        <w:rPr>
          <w:rFonts w:ascii="Times New Roman" w:hAnsi="Times New Roman"/>
          <w:sz w:val="20"/>
        </w:rPr>
        <w:t>Mark Nordlicht</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0" w:name="PGBRK7"/>
      <w:bookmarkStart w:id="141" w:name="PGBRK7"/>
      <w:bookmarkEnd w:id="1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2" w:name="FTR7"/>
      <w:bookmarkStart w:id="143" w:name="FTR7"/>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4" w:name="GLFTR7"/>
      <w:bookmarkEnd w:id="1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16"/>
        </w:rPr>
      </w:pPr>
      <w:bookmarkStart w:id="145" w:name="PN7"/>
      <w:bookmarkEnd w:id="145"/>
      <w:r>
        <w:rPr>
          <w:rFonts w:ascii="Times New Roman" w:hAnsi="Times New Roman"/>
          <w:sz w:val="16"/>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6" w:name="HDR7"/>
      <w:bookmarkStart w:id="147" w:name="HDR7"/>
      <w:bookmarkEnd w:id="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8" w:name="GLHDR7"/>
      <w:bookmarkEnd w:id="1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Exhibit 1</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JOINT FILING AGREEMENT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In accordance with Rule 13d-1(k) promulgated under the Securities Exchange Act of 1934, as amended, each of the undersigned does hereby consent and agree to the joint filing on behalf of each of them of a statement on Schedule 13G and all amendments thereto with respect to the Common Stock of VistaGen Therapeutics, Inc. beneficially owned by each of them, and to the inclusion of this Joint Filing Agreement as an exhibit thereto.</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Dated: February 14, 2013</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Platinum Partners Value Arbitrage Fund L.P.</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OLIVER JIMENEZ</w:t>
      </w:r>
    </w:p>
    <w:p>
      <w:pPr>
        <w:pStyle w:val="TextBody"/>
        <w:spacing w:before="0" w:after="0"/>
        <w:ind w:left="0" w:right="0" w:hanging="0"/>
        <w:jc w:val="left"/>
        <w:rPr>
          <w:rFonts w:ascii="Times New Roman" w:hAnsi="Times New Roman"/>
          <w:sz w:val="20"/>
        </w:rPr>
      </w:pPr>
      <w:r>
        <w:rPr>
          <w:rFonts w:ascii="Times New Roman" w:hAnsi="Times New Roman"/>
          <w:sz w:val="20"/>
        </w:rPr>
        <w:t>Name: Oliver Jimenez</w:t>
      </w:r>
    </w:p>
    <w:p>
      <w:pPr>
        <w:pStyle w:val="TextBody"/>
        <w:spacing w:before="0" w:after="0"/>
        <w:ind w:left="0" w:right="0" w:hanging="0"/>
        <w:jc w:val="left"/>
        <w:rPr>
          <w:rFonts w:ascii="Times New Roman" w:hAnsi="Times New Roman"/>
          <w:sz w:val="20"/>
        </w:rPr>
      </w:pPr>
      <w:r>
        <w:rPr>
          <w:rFonts w:ascii="Times New Roman" w:hAnsi="Times New Roman"/>
          <w:sz w:val="20"/>
        </w:rPr>
        <w:t>Title: Chief Compliance Officer</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Platinum Management (NY) LLC</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OLIVER JIMENEZ</w:t>
      </w:r>
    </w:p>
    <w:p>
      <w:pPr>
        <w:pStyle w:val="TextBody"/>
        <w:spacing w:before="0" w:after="0"/>
        <w:ind w:left="0" w:right="0" w:hanging="0"/>
        <w:jc w:val="left"/>
        <w:rPr>
          <w:rFonts w:ascii="Times New Roman" w:hAnsi="Times New Roman"/>
          <w:sz w:val="20"/>
        </w:rPr>
      </w:pPr>
      <w:r>
        <w:rPr>
          <w:rFonts w:ascii="Times New Roman" w:hAnsi="Times New Roman"/>
          <w:sz w:val="20"/>
        </w:rPr>
        <w:t>Name: Oliver Jimenez</w:t>
      </w:r>
    </w:p>
    <w:p>
      <w:pPr>
        <w:pStyle w:val="TextBody"/>
        <w:spacing w:before="0" w:after="0"/>
        <w:ind w:left="0" w:right="0" w:hanging="0"/>
        <w:jc w:val="left"/>
        <w:rPr>
          <w:rFonts w:ascii="Times New Roman" w:hAnsi="Times New Roman"/>
          <w:sz w:val="20"/>
        </w:rPr>
      </w:pPr>
      <w:r>
        <w:rPr>
          <w:rFonts w:ascii="Times New Roman" w:hAnsi="Times New Roman"/>
          <w:sz w:val="20"/>
        </w:rPr>
        <w:t>Title: Chief Compliance Officer</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MARK NORDLICHT</w:t>
      </w:r>
    </w:p>
    <w:p>
      <w:pPr>
        <w:pStyle w:val="TextBody"/>
        <w:spacing w:before="0" w:after="0"/>
        <w:ind w:left="0" w:right="0" w:hanging="0"/>
        <w:jc w:val="left"/>
        <w:rPr>
          <w:rFonts w:ascii="Times New Roman" w:hAnsi="Times New Roman"/>
          <w:sz w:val="20"/>
        </w:rPr>
      </w:pPr>
      <w:r>
        <w:rPr>
          <w:rFonts w:ascii="Times New Roman" w:hAnsi="Times New Roman"/>
          <w:sz w:val="20"/>
        </w:rPr>
        <w:t>Mark Nordlicht</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16"/>
        </w:rPr>
      </w:pPr>
      <w:r>
        <w:rPr>
          <w:rFonts w:ascii="Times New Roman" w:hAnsi="Times New Roman"/>
          <w:sz w:val="16"/>
        </w:rPr>
        <w:t>10</w:t>
      </w:r>
    </w:p>
    <w:p>
      <w:pPr>
        <w:pStyle w:val="HorizontalLine"/>
        <w:pBdr>
          <w:bottom w:val="single" w:sz="12" w:space="0" w:color="808080"/>
        </w:pBdr>
        <w:spacing w:before="0" w:after="283"/>
        <w:jc w:val="left"/>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2006</Words>
  <CharactersWithSpaces>11919</CharactersWithSpaces>
  <Paragraphs>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