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VistaGen Therapeutics,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92840H202</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April 6, 2022</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800" w:hanging="455"/>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800" w:hanging="455"/>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96" w:lineRule="exact"/>
        <w:rPr>
          <w:sz w:val="24"/>
          <w:szCs w:val="24"/>
          <w:color w:val="auto"/>
        </w:rPr>
      </w:pPr>
    </w:p>
    <w:p>
      <w:pPr>
        <w:ind w:left="3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53" w:lineRule="exact"/>
        <w:rPr>
          <w:sz w:val="24"/>
          <w:szCs w:val="24"/>
          <w:color w:val="auto"/>
        </w:rPr>
      </w:pPr>
    </w:p>
    <w:p>
      <w:pPr>
        <w:ind w:left="340" w:right="40" w:hanging="337"/>
        <w:spacing w:after="0" w:line="282" w:lineRule="auto"/>
        <w:rPr>
          <w:sz w:val="24"/>
          <w:szCs w:val="24"/>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00" w:right="379" w:bottom="1440" w:gutter="0" w:footer="0" w:header="0"/>
        </w:sectPr>
      </w:pPr>
    </w:p>
    <w:bookmarkStart w:id="1" w:name="page2"/>
    <w:bookmarkEnd w:id="1"/>
    <w:p>
      <w:pPr>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7"/>
          <w:szCs w:val="17"/>
          <w:color w:val="auto"/>
        </w:rPr>
        <w:t>Page 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709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277" w:lineRule="exact"/>
        <w:rPr>
          <w:sz w:val="20"/>
          <w:szCs w:val="20"/>
          <w:color w:val="auto"/>
        </w:rPr>
      </w:pPr>
    </w:p>
    <w:p>
      <w:pPr>
        <w:ind w:left="740" w:hanging="669"/>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 L.P.</w:t>
      </w:r>
    </w:p>
    <w:p>
      <w:pPr>
        <w:spacing w:after="0" w:line="90"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8" w:lineRule="exact"/>
        <w:rPr>
          <w:rFonts w:ascii="Times New Roman" w:cs="Times New Roman" w:eastAsia="Times New Roman" w:hAnsi="Times New Roman"/>
          <w:sz w:val="18"/>
          <w:szCs w:val="18"/>
          <w:color w:val="auto"/>
        </w:rPr>
      </w:pPr>
    </w:p>
    <w:p>
      <w:pPr>
        <w:ind w:left="1000" w:hanging="254"/>
        <w:spacing w:after="0" w:line="334" w:lineRule="exact"/>
        <w:tabs>
          <w:tab w:leader="none" w:pos="100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86" w:lineRule="exact"/>
        <w:rPr>
          <w:rFonts w:ascii="Times New Roman" w:cs="Times New Roman" w:eastAsia="Times New Roman" w:hAnsi="Times New Roman"/>
          <w:sz w:val="18"/>
          <w:szCs w:val="18"/>
          <w:color w:val="auto"/>
        </w:rPr>
      </w:pPr>
    </w:p>
    <w:p>
      <w:pPr>
        <w:ind w:left="740" w:right="7860" w:hanging="669"/>
        <w:spacing w:after="0" w:line="42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980" w:hanging="681"/>
        <w:spacing w:after="0"/>
        <w:tabs>
          <w:tab w:leader="none" w:pos="1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1040" w:type="dxa"/>
            <w:vAlign w:val="bottom"/>
            <w:vMerge w:val="continue"/>
          </w:tcPr>
          <w:p>
            <w:pPr>
              <w:spacing w:after="0"/>
              <w:rPr>
                <w:sz w:val="7"/>
                <w:szCs w:val="7"/>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Shares</w:t>
            </w:r>
          </w:p>
        </w:tc>
        <w:tc>
          <w:tcPr>
            <w:tcW w:w="4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4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Reporting</w:t>
            </w:r>
          </w:p>
        </w:tc>
        <w:tc>
          <w:tcPr>
            <w:tcW w:w="46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Person</w:t>
            </w:r>
          </w:p>
        </w:tc>
        <w:tc>
          <w:tcPr>
            <w:tcW w:w="460" w:type="dxa"/>
            <w:vAlign w:val="bottom"/>
          </w:tcPr>
          <w:p>
            <w:pPr>
              <w:spacing w:after="0"/>
              <w:rPr>
                <w:sz w:val="19"/>
                <w:szCs w:val="19"/>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14" w:lineRule="exact"/>
        <w:rPr>
          <w:sz w:val="20"/>
          <w:szCs w:val="20"/>
          <w:color w:val="auto"/>
        </w:rPr>
      </w:pPr>
    </w:p>
    <w:p>
      <w:pPr>
        <w:ind w:left="80"/>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3"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PN</w:t>
      </w:r>
    </w:p>
    <w:p>
      <w:pPr>
        <w:spacing w:after="0" w:line="333" w:lineRule="exact"/>
        <w:rPr>
          <w:sz w:val="20"/>
          <w:szCs w:val="20"/>
          <w:color w:val="auto"/>
        </w:rPr>
      </w:pPr>
    </w:p>
    <w:p>
      <w:pPr>
        <w:ind w:left="340" w:right="440" w:hanging="339"/>
        <w:spacing w:after="0" w:line="266" w:lineRule="auto"/>
        <w:tabs>
          <w:tab w:leader="none" w:pos="320" w:val="left"/>
        </w:tabs>
        <w:rPr>
          <w:sz w:val="20"/>
          <w:szCs w:val="20"/>
          <w:color w:val="auto"/>
        </w:rPr>
      </w:pPr>
      <w:r>
        <w:rPr>
          <w:rFonts w:ascii="Times New Roman" w:cs="Times New Roman" w:eastAsia="Times New Roman" w:hAnsi="Times New Roman"/>
          <w:sz w:val="18"/>
          <w:szCs w:val="18"/>
          <w:color w:val="auto"/>
        </w:rPr>
        <w:t>1</w:t>
        <w:tab/>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76" w:lineRule="exact"/>
        <w:rPr>
          <w:sz w:val="20"/>
          <w:szCs w:val="20"/>
          <w:color w:val="auto"/>
        </w:rPr>
      </w:pPr>
    </w:p>
    <w:p>
      <w:pPr>
        <w:ind w:left="340" w:right="10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4,949,368 shares of common stock held by Venrock Healthcare Capital Partners II, L.P., (ii) 2,005,785 shares of common stock held by VHCP Co-Investment Holdings II, LLC, (iii) 1,617,270 shares of common stock held by Venrock Healthcare Capital Partners III, L.P., (iv) 161,820 shares of common stock held by VHCP Co-Investment Holdings III, LLC and (v) 11,963,043 shares of common stock held by Venrock Healthcare Capital Partners EG, L.P.</w:t>
      </w:r>
    </w:p>
    <w:p>
      <w:pPr>
        <w:spacing w:after="0" w:line="180" w:lineRule="exact"/>
        <w:rPr>
          <w:sz w:val="20"/>
          <w:szCs w:val="20"/>
          <w:color w:val="auto"/>
        </w:rPr>
      </w:pPr>
    </w:p>
    <w:p>
      <w:pPr>
        <w:ind w:left="340" w:right="10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206,640,955 shares of the Issuer’s common stock outstanding as of June 22, 2022, as reported in the Issuer’s Annual Report on Form 10-K filed with the Securities and Exchange Commission on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7"/>
          <w:szCs w:val="17"/>
          <w:color w:val="auto"/>
        </w:rPr>
        <w:t>Page 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709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277" w:lineRule="exact"/>
        <w:rPr>
          <w:sz w:val="20"/>
          <w:szCs w:val="20"/>
          <w:color w:val="auto"/>
        </w:rPr>
      </w:pPr>
    </w:p>
    <w:p>
      <w:pPr>
        <w:ind w:left="740" w:hanging="669"/>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VHCP Co-Investment Holdings II, LLC</w:t>
      </w:r>
    </w:p>
    <w:p>
      <w:pPr>
        <w:spacing w:after="0" w:line="90"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8" w:lineRule="exact"/>
        <w:rPr>
          <w:rFonts w:ascii="Times New Roman" w:cs="Times New Roman" w:eastAsia="Times New Roman" w:hAnsi="Times New Roman"/>
          <w:sz w:val="18"/>
          <w:szCs w:val="18"/>
          <w:color w:val="auto"/>
        </w:rPr>
      </w:pPr>
    </w:p>
    <w:p>
      <w:pPr>
        <w:ind w:left="1000" w:hanging="254"/>
        <w:spacing w:after="0" w:line="334" w:lineRule="exact"/>
        <w:tabs>
          <w:tab w:leader="none" w:pos="100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86" w:lineRule="exact"/>
        <w:rPr>
          <w:rFonts w:ascii="Times New Roman" w:cs="Times New Roman" w:eastAsia="Times New Roman" w:hAnsi="Times New Roman"/>
          <w:sz w:val="18"/>
          <w:szCs w:val="18"/>
          <w:color w:val="auto"/>
        </w:rPr>
      </w:pPr>
    </w:p>
    <w:p>
      <w:pPr>
        <w:ind w:left="740" w:right="7860" w:hanging="669"/>
        <w:spacing w:after="0" w:line="42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980" w:hanging="681"/>
        <w:spacing w:after="0"/>
        <w:tabs>
          <w:tab w:leader="none" w:pos="19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1040" w:type="dxa"/>
            <w:vAlign w:val="bottom"/>
            <w:vMerge w:val="continue"/>
          </w:tcPr>
          <w:p>
            <w:pPr>
              <w:spacing w:after="0"/>
              <w:rPr>
                <w:sz w:val="7"/>
                <w:szCs w:val="7"/>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Shares</w:t>
            </w:r>
          </w:p>
        </w:tc>
        <w:tc>
          <w:tcPr>
            <w:tcW w:w="4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4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Reporting</w:t>
            </w:r>
          </w:p>
        </w:tc>
        <w:tc>
          <w:tcPr>
            <w:tcW w:w="46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Person</w:t>
            </w:r>
          </w:p>
        </w:tc>
        <w:tc>
          <w:tcPr>
            <w:tcW w:w="460" w:type="dxa"/>
            <w:vAlign w:val="bottom"/>
          </w:tcPr>
          <w:p>
            <w:pPr>
              <w:spacing w:after="0"/>
              <w:rPr>
                <w:sz w:val="19"/>
                <w:szCs w:val="19"/>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14" w:lineRule="exact"/>
        <w:rPr>
          <w:sz w:val="20"/>
          <w:szCs w:val="20"/>
          <w:color w:val="auto"/>
        </w:rPr>
      </w:pPr>
    </w:p>
    <w:p>
      <w:pPr>
        <w:ind w:left="80"/>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3"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OO</w:t>
      </w:r>
    </w:p>
    <w:p>
      <w:pPr>
        <w:spacing w:after="0" w:line="333" w:lineRule="exact"/>
        <w:rPr>
          <w:sz w:val="20"/>
          <w:szCs w:val="20"/>
          <w:color w:val="auto"/>
        </w:rPr>
      </w:pPr>
    </w:p>
    <w:p>
      <w:pPr>
        <w:ind w:left="340" w:right="440" w:hanging="339"/>
        <w:spacing w:after="0" w:line="266" w:lineRule="auto"/>
        <w:tabs>
          <w:tab w:leader="none" w:pos="320" w:val="left"/>
        </w:tabs>
        <w:rPr>
          <w:sz w:val="20"/>
          <w:szCs w:val="20"/>
          <w:color w:val="auto"/>
        </w:rPr>
      </w:pPr>
      <w:r>
        <w:rPr>
          <w:rFonts w:ascii="Times New Roman" w:cs="Times New Roman" w:eastAsia="Times New Roman" w:hAnsi="Times New Roman"/>
          <w:sz w:val="18"/>
          <w:szCs w:val="18"/>
          <w:color w:val="auto"/>
        </w:rPr>
        <w:t>1</w:t>
        <w:tab/>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76" w:lineRule="exact"/>
        <w:rPr>
          <w:sz w:val="20"/>
          <w:szCs w:val="20"/>
          <w:color w:val="auto"/>
        </w:rPr>
      </w:pPr>
    </w:p>
    <w:p>
      <w:pPr>
        <w:ind w:left="340" w:right="10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4,949,368 shares of common stock held by Venrock Healthcare Capital Partners II, L.P., (ii) 2,005,785 shares of common stock held by VHCP Co-Investment Holdings II, LLC, (iii) 1,617,270 shares of common stock held by Venrock Healthcare Capital Partners III, L.P., (iv) 161,820 shares of common stock held by VHCP Co-Investment Holdings III, LLC and (v) 11,963,043 shares of common stock held by Venrock Healthcare Capital Partners EG, L.P.</w:t>
      </w:r>
    </w:p>
    <w:p>
      <w:pPr>
        <w:spacing w:after="0" w:line="180" w:lineRule="exact"/>
        <w:rPr>
          <w:sz w:val="20"/>
          <w:szCs w:val="20"/>
          <w:color w:val="auto"/>
        </w:rPr>
      </w:pPr>
    </w:p>
    <w:p>
      <w:pPr>
        <w:ind w:left="340" w:right="10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206,640,955 shares of the Issuer’s common stock outstanding as of June 22, 2022, as reported in the Issuer’s Annual Report on Form 10-K filed with the Securities and Exchange Commission on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7"/>
          <w:szCs w:val="17"/>
          <w:color w:val="auto"/>
        </w:rPr>
        <w:t>Page 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709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277" w:lineRule="exact"/>
        <w:rPr>
          <w:sz w:val="20"/>
          <w:szCs w:val="20"/>
          <w:color w:val="auto"/>
        </w:rPr>
      </w:pPr>
    </w:p>
    <w:p>
      <w:pPr>
        <w:ind w:left="740" w:hanging="66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w:t>
      </w:r>
    </w:p>
    <w:p>
      <w:pPr>
        <w:spacing w:after="0" w:line="90"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8" w:lineRule="exact"/>
        <w:rPr>
          <w:rFonts w:ascii="Times New Roman" w:cs="Times New Roman" w:eastAsia="Times New Roman" w:hAnsi="Times New Roman"/>
          <w:sz w:val="18"/>
          <w:szCs w:val="18"/>
          <w:color w:val="auto"/>
        </w:rPr>
      </w:pPr>
    </w:p>
    <w:p>
      <w:pPr>
        <w:ind w:left="1000" w:hanging="254"/>
        <w:spacing w:after="0" w:line="334" w:lineRule="exact"/>
        <w:tabs>
          <w:tab w:leader="none" w:pos="100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86" w:lineRule="exact"/>
        <w:rPr>
          <w:rFonts w:ascii="Times New Roman" w:cs="Times New Roman" w:eastAsia="Times New Roman" w:hAnsi="Times New Roman"/>
          <w:sz w:val="18"/>
          <w:szCs w:val="18"/>
          <w:color w:val="auto"/>
        </w:rPr>
      </w:pPr>
    </w:p>
    <w:p>
      <w:pPr>
        <w:ind w:left="740" w:right="7860" w:hanging="669"/>
        <w:spacing w:after="0" w:line="42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980" w:hanging="681"/>
        <w:spacing w:after="0"/>
        <w:tabs>
          <w:tab w:leader="none" w:pos="19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1040" w:type="dxa"/>
            <w:vAlign w:val="bottom"/>
            <w:vMerge w:val="continue"/>
          </w:tcPr>
          <w:p>
            <w:pPr>
              <w:spacing w:after="0"/>
              <w:rPr>
                <w:sz w:val="7"/>
                <w:szCs w:val="7"/>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Shares</w:t>
            </w:r>
          </w:p>
        </w:tc>
        <w:tc>
          <w:tcPr>
            <w:tcW w:w="4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4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Reporting</w:t>
            </w:r>
          </w:p>
        </w:tc>
        <w:tc>
          <w:tcPr>
            <w:tcW w:w="46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Person</w:t>
            </w:r>
          </w:p>
        </w:tc>
        <w:tc>
          <w:tcPr>
            <w:tcW w:w="460" w:type="dxa"/>
            <w:vAlign w:val="bottom"/>
          </w:tcPr>
          <w:p>
            <w:pPr>
              <w:spacing w:after="0"/>
              <w:rPr>
                <w:sz w:val="19"/>
                <w:szCs w:val="19"/>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14" w:lineRule="exact"/>
        <w:rPr>
          <w:sz w:val="20"/>
          <w:szCs w:val="20"/>
          <w:color w:val="auto"/>
        </w:rPr>
      </w:pPr>
    </w:p>
    <w:p>
      <w:pPr>
        <w:ind w:left="80"/>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3"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PN</w:t>
      </w:r>
    </w:p>
    <w:p>
      <w:pPr>
        <w:spacing w:after="0" w:line="333" w:lineRule="exact"/>
        <w:rPr>
          <w:sz w:val="20"/>
          <w:szCs w:val="20"/>
          <w:color w:val="auto"/>
        </w:rPr>
      </w:pPr>
    </w:p>
    <w:p>
      <w:pPr>
        <w:ind w:left="340" w:right="440" w:hanging="339"/>
        <w:spacing w:after="0" w:line="266" w:lineRule="auto"/>
        <w:tabs>
          <w:tab w:leader="none" w:pos="320" w:val="left"/>
        </w:tabs>
        <w:rPr>
          <w:sz w:val="20"/>
          <w:szCs w:val="20"/>
          <w:color w:val="auto"/>
        </w:rPr>
      </w:pPr>
      <w:r>
        <w:rPr>
          <w:rFonts w:ascii="Times New Roman" w:cs="Times New Roman" w:eastAsia="Times New Roman" w:hAnsi="Times New Roman"/>
          <w:sz w:val="18"/>
          <w:szCs w:val="18"/>
          <w:color w:val="auto"/>
        </w:rPr>
        <w:t>1</w:t>
        <w:tab/>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76" w:lineRule="exact"/>
        <w:rPr>
          <w:sz w:val="20"/>
          <w:szCs w:val="20"/>
          <w:color w:val="auto"/>
        </w:rPr>
      </w:pPr>
    </w:p>
    <w:p>
      <w:pPr>
        <w:ind w:left="340" w:right="10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4,949,368 shares of common stock held by Venrock Healthcare Capital Partners II, L.P., (ii) 2,005,785 shares of common stock held by VHCP Co-Investment Holdings II, LLC, (iii) 1,617,270 shares of common stock held by Venrock Healthcare Capital Partners III, L.P., (iv) 161,820 shares of common stock held by VHCP Co-Investment Holdings III, LLC and (v) 11,963,043 shares of common stock held by Venrock Healthcare Capital Partners EG, L.P.</w:t>
      </w:r>
    </w:p>
    <w:p>
      <w:pPr>
        <w:spacing w:after="0" w:line="180" w:lineRule="exact"/>
        <w:rPr>
          <w:sz w:val="20"/>
          <w:szCs w:val="20"/>
          <w:color w:val="auto"/>
        </w:rPr>
      </w:pPr>
    </w:p>
    <w:p>
      <w:pPr>
        <w:ind w:left="340" w:right="1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206,640,955 shares of the Issuer’s common stock outstanding as of June 22, 2022, as reported in the Issuer’s Annual Report on Form 10-K filed with the Securities and Exchange Commission on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7"/>
          <w:szCs w:val="17"/>
          <w:color w:val="auto"/>
        </w:rPr>
        <w:t>Page 5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709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277" w:lineRule="exact"/>
        <w:rPr>
          <w:sz w:val="20"/>
          <w:szCs w:val="20"/>
          <w:color w:val="auto"/>
        </w:rPr>
      </w:pPr>
    </w:p>
    <w:p>
      <w:pPr>
        <w:ind w:left="740" w:hanging="669"/>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VHCP Co-Investment Holdings III, LLC</w:t>
      </w:r>
    </w:p>
    <w:p>
      <w:pPr>
        <w:spacing w:after="0" w:line="90"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8" w:lineRule="exact"/>
        <w:rPr>
          <w:rFonts w:ascii="Times New Roman" w:cs="Times New Roman" w:eastAsia="Times New Roman" w:hAnsi="Times New Roman"/>
          <w:sz w:val="18"/>
          <w:szCs w:val="18"/>
          <w:color w:val="auto"/>
        </w:rPr>
      </w:pPr>
    </w:p>
    <w:p>
      <w:pPr>
        <w:ind w:left="1000" w:hanging="254"/>
        <w:spacing w:after="0" w:line="334" w:lineRule="exact"/>
        <w:tabs>
          <w:tab w:leader="none" w:pos="1000" w:val="left"/>
        </w:tabs>
        <w:numPr>
          <w:ilvl w:val="1"/>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86" w:lineRule="exact"/>
        <w:rPr>
          <w:rFonts w:ascii="Times New Roman" w:cs="Times New Roman" w:eastAsia="Times New Roman" w:hAnsi="Times New Roman"/>
          <w:sz w:val="18"/>
          <w:szCs w:val="18"/>
          <w:color w:val="auto"/>
        </w:rPr>
      </w:pPr>
    </w:p>
    <w:p>
      <w:pPr>
        <w:ind w:left="740" w:right="7860" w:hanging="669"/>
        <w:spacing w:after="0" w:line="42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980" w:hanging="681"/>
        <w:spacing w:after="0"/>
        <w:tabs>
          <w:tab w:leader="none" w:pos="19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1040" w:type="dxa"/>
            <w:vAlign w:val="bottom"/>
            <w:vMerge w:val="continue"/>
          </w:tcPr>
          <w:p>
            <w:pPr>
              <w:spacing w:after="0"/>
              <w:rPr>
                <w:sz w:val="7"/>
                <w:szCs w:val="7"/>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Shares</w:t>
            </w:r>
          </w:p>
        </w:tc>
        <w:tc>
          <w:tcPr>
            <w:tcW w:w="4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4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Reporting</w:t>
            </w:r>
          </w:p>
        </w:tc>
        <w:tc>
          <w:tcPr>
            <w:tcW w:w="46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Person</w:t>
            </w:r>
          </w:p>
        </w:tc>
        <w:tc>
          <w:tcPr>
            <w:tcW w:w="460" w:type="dxa"/>
            <w:vAlign w:val="bottom"/>
          </w:tcPr>
          <w:p>
            <w:pPr>
              <w:spacing w:after="0"/>
              <w:rPr>
                <w:sz w:val="19"/>
                <w:szCs w:val="19"/>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14" w:lineRule="exact"/>
        <w:rPr>
          <w:sz w:val="20"/>
          <w:szCs w:val="20"/>
          <w:color w:val="auto"/>
        </w:rPr>
      </w:pPr>
    </w:p>
    <w:p>
      <w:pPr>
        <w:ind w:left="80"/>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3"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OO</w:t>
      </w:r>
    </w:p>
    <w:p>
      <w:pPr>
        <w:spacing w:after="0" w:line="333" w:lineRule="exact"/>
        <w:rPr>
          <w:sz w:val="20"/>
          <w:szCs w:val="20"/>
          <w:color w:val="auto"/>
        </w:rPr>
      </w:pPr>
    </w:p>
    <w:p>
      <w:pPr>
        <w:ind w:left="340" w:right="440" w:hanging="339"/>
        <w:spacing w:after="0" w:line="266" w:lineRule="auto"/>
        <w:tabs>
          <w:tab w:leader="none" w:pos="320" w:val="left"/>
        </w:tabs>
        <w:rPr>
          <w:sz w:val="20"/>
          <w:szCs w:val="20"/>
          <w:color w:val="auto"/>
        </w:rPr>
      </w:pPr>
      <w:r>
        <w:rPr>
          <w:rFonts w:ascii="Times New Roman" w:cs="Times New Roman" w:eastAsia="Times New Roman" w:hAnsi="Times New Roman"/>
          <w:sz w:val="18"/>
          <w:szCs w:val="18"/>
          <w:color w:val="auto"/>
        </w:rPr>
        <w:t>1</w:t>
        <w:tab/>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76" w:lineRule="exact"/>
        <w:rPr>
          <w:sz w:val="20"/>
          <w:szCs w:val="20"/>
          <w:color w:val="auto"/>
        </w:rPr>
      </w:pPr>
    </w:p>
    <w:p>
      <w:pPr>
        <w:ind w:left="340" w:right="10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4,949,368 shares of common stock held by Venrock Healthcare Capital Partners II, L.P., (ii) 2,005,785 shares of common stock held by VHCP Co-Investment Holdings II, LLC, (iii) 1,617,270 shares of common stock held by Venrock Healthcare Capital Partners III, L.P., (iv) 161,820 shares of common stock held by VHCP Co-Investment Holdings III, LLC and (v) 11,963,043 shares of common stock held by Venrock Healthcare Capital Partners EG, L.P.</w:t>
      </w:r>
    </w:p>
    <w:p>
      <w:pPr>
        <w:spacing w:after="0" w:line="180" w:lineRule="exact"/>
        <w:rPr>
          <w:sz w:val="20"/>
          <w:szCs w:val="20"/>
          <w:color w:val="auto"/>
        </w:rPr>
      </w:pPr>
    </w:p>
    <w:p>
      <w:pPr>
        <w:ind w:left="340" w:right="1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206,640,955 shares of the Issuer’s common stock outstanding as of June 22, 2022, as reported in the Issuer’s Annual Report on Form 10-K filed with the Securities and Exchange Commission on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7"/>
          <w:szCs w:val="17"/>
          <w:color w:val="auto"/>
        </w:rPr>
        <w:t>Page 6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709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277" w:lineRule="exact"/>
        <w:rPr>
          <w:sz w:val="20"/>
          <w:szCs w:val="20"/>
          <w:color w:val="auto"/>
        </w:rPr>
      </w:pPr>
    </w:p>
    <w:p>
      <w:pPr>
        <w:ind w:left="740" w:hanging="669"/>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25"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EG, L.P.</w:t>
      </w:r>
    </w:p>
    <w:p>
      <w:pPr>
        <w:spacing w:after="0" w:line="90"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8" w:lineRule="exact"/>
        <w:rPr>
          <w:rFonts w:ascii="Times New Roman" w:cs="Times New Roman" w:eastAsia="Times New Roman" w:hAnsi="Times New Roman"/>
          <w:sz w:val="18"/>
          <w:szCs w:val="18"/>
          <w:color w:val="auto"/>
        </w:rPr>
      </w:pPr>
    </w:p>
    <w:p>
      <w:pPr>
        <w:ind w:left="1000" w:hanging="254"/>
        <w:spacing w:after="0" w:line="334" w:lineRule="exact"/>
        <w:tabs>
          <w:tab w:leader="none" w:pos="100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86" w:lineRule="exact"/>
        <w:rPr>
          <w:rFonts w:ascii="Times New Roman" w:cs="Times New Roman" w:eastAsia="Times New Roman" w:hAnsi="Times New Roman"/>
          <w:sz w:val="18"/>
          <w:szCs w:val="18"/>
          <w:color w:val="auto"/>
        </w:rPr>
      </w:pPr>
    </w:p>
    <w:p>
      <w:pPr>
        <w:ind w:left="740" w:right="7860" w:hanging="669"/>
        <w:spacing w:after="0" w:line="42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980" w:hanging="681"/>
        <w:spacing w:after="0"/>
        <w:tabs>
          <w:tab w:leader="none" w:pos="19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1040" w:type="dxa"/>
            <w:vAlign w:val="bottom"/>
            <w:vMerge w:val="continue"/>
          </w:tcPr>
          <w:p>
            <w:pPr>
              <w:spacing w:after="0"/>
              <w:rPr>
                <w:sz w:val="7"/>
                <w:szCs w:val="7"/>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Shares</w:t>
            </w:r>
          </w:p>
        </w:tc>
        <w:tc>
          <w:tcPr>
            <w:tcW w:w="4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4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Reporting</w:t>
            </w:r>
          </w:p>
        </w:tc>
        <w:tc>
          <w:tcPr>
            <w:tcW w:w="46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Person</w:t>
            </w:r>
          </w:p>
        </w:tc>
        <w:tc>
          <w:tcPr>
            <w:tcW w:w="460" w:type="dxa"/>
            <w:vAlign w:val="bottom"/>
          </w:tcPr>
          <w:p>
            <w:pPr>
              <w:spacing w:after="0"/>
              <w:rPr>
                <w:sz w:val="19"/>
                <w:szCs w:val="19"/>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14" w:lineRule="exact"/>
        <w:rPr>
          <w:sz w:val="20"/>
          <w:szCs w:val="20"/>
          <w:color w:val="auto"/>
        </w:rPr>
      </w:pPr>
    </w:p>
    <w:p>
      <w:pPr>
        <w:ind w:left="80"/>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3"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PN</w:t>
      </w:r>
    </w:p>
    <w:p>
      <w:pPr>
        <w:spacing w:after="0" w:line="333" w:lineRule="exact"/>
        <w:rPr>
          <w:sz w:val="20"/>
          <w:szCs w:val="20"/>
          <w:color w:val="auto"/>
        </w:rPr>
      </w:pPr>
    </w:p>
    <w:p>
      <w:pPr>
        <w:ind w:left="340" w:right="440" w:hanging="339"/>
        <w:spacing w:after="0" w:line="266" w:lineRule="auto"/>
        <w:tabs>
          <w:tab w:leader="none" w:pos="320" w:val="left"/>
        </w:tabs>
        <w:rPr>
          <w:sz w:val="20"/>
          <w:szCs w:val="20"/>
          <w:color w:val="auto"/>
        </w:rPr>
      </w:pPr>
      <w:r>
        <w:rPr>
          <w:rFonts w:ascii="Times New Roman" w:cs="Times New Roman" w:eastAsia="Times New Roman" w:hAnsi="Times New Roman"/>
          <w:sz w:val="18"/>
          <w:szCs w:val="18"/>
          <w:color w:val="auto"/>
        </w:rPr>
        <w:t>1</w:t>
        <w:tab/>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76" w:lineRule="exact"/>
        <w:rPr>
          <w:sz w:val="20"/>
          <w:szCs w:val="20"/>
          <w:color w:val="auto"/>
        </w:rPr>
      </w:pPr>
    </w:p>
    <w:p>
      <w:pPr>
        <w:ind w:left="340" w:right="100" w:hanging="332"/>
        <w:spacing w:after="0" w:line="26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4,949,368 shares of common stock held by Venrock Healthcare Capital Partners II, L.P., (ii) 2,005,785 shares of common stock held by VHCP Co-Investment Holdings II, LLC, (iii) 1,617,270 shares of common stock held by Venrock Healthcare Capital Partners III, L.P., (iv) 161,820 shares of common stock held by VHCP Co-Investment Holdings III, LLC and (v) 11,963,043 shares of common stock held by Venrock Healthcare Capital Partners EG, L.P.</w:t>
      </w:r>
    </w:p>
    <w:p>
      <w:pPr>
        <w:spacing w:after="0" w:line="180" w:lineRule="exact"/>
        <w:rPr>
          <w:sz w:val="20"/>
          <w:szCs w:val="20"/>
          <w:color w:val="auto"/>
        </w:rPr>
      </w:pPr>
    </w:p>
    <w:p>
      <w:pPr>
        <w:ind w:left="340" w:right="10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206,640,955 shares of the Issuer’s common stock outstanding as of June 22, 2022, as reported in the Issuer’s Annual Report on Form 10-K filed with the Securities and Exchange Commission on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7"/>
          <w:szCs w:val="17"/>
          <w:color w:val="auto"/>
        </w:rPr>
        <w:t>Page 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709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277" w:lineRule="exact"/>
        <w:rPr>
          <w:sz w:val="20"/>
          <w:szCs w:val="20"/>
          <w:color w:val="auto"/>
        </w:rPr>
      </w:pPr>
    </w:p>
    <w:p>
      <w:pPr>
        <w:ind w:left="740" w:right="8440" w:hanging="669"/>
        <w:spacing w:after="0" w:line="447" w:lineRule="auto"/>
        <w:tabs>
          <w:tab w:leader="none" w:pos="7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VHCP Management II, LLC</w:t>
      </w:r>
    </w:p>
    <w:p>
      <w:pPr>
        <w:ind w:left="740" w:hanging="669"/>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8" w:lineRule="exact"/>
        <w:rPr>
          <w:rFonts w:ascii="Times New Roman" w:cs="Times New Roman" w:eastAsia="Times New Roman" w:hAnsi="Times New Roman"/>
          <w:sz w:val="18"/>
          <w:szCs w:val="18"/>
          <w:color w:val="auto"/>
        </w:rPr>
      </w:pPr>
    </w:p>
    <w:p>
      <w:pPr>
        <w:ind w:left="1000" w:hanging="254"/>
        <w:spacing w:after="0" w:line="334" w:lineRule="exact"/>
        <w:tabs>
          <w:tab w:leader="none" w:pos="1000"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86" w:lineRule="exact"/>
        <w:rPr>
          <w:rFonts w:ascii="Times New Roman" w:cs="Times New Roman" w:eastAsia="Times New Roman" w:hAnsi="Times New Roman"/>
          <w:sz w:val="18"/>
          <w:szCs w:val="18"/>
          <w:color w:val="auto"/>
        </w:rPr>
      </w:pPr>
    </w:p>
    <w:p>
      <w:pPr>
        <w:ind w:left="740" w:right="7860" w:hanging="669"/>
        <w:spacing w:after="0" w:line="422"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980" w:hanging="681"/>
        <w:spacing w:after="0"/>
        <w:tabs>
          <w:tab w:leader="none" w:pos="19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1040" w:type="dxa"/>
            <w:vAlign w:val="bottom"/>
            <w:vMerge w:val="continue"/>
          </w:tcPr>
          <w:p>
            <w:pPr>
              <w:spacing w:after="0"/>
              <w:rPr>
                <w:sz w:val="7"/>
                <w:szCs w:val="7"/>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Shares</w:t>
            </w:r>
          </w:p>
        </w:tc>
        <w:tc>
          <w:tcPr>
            <w:tcW w:w="4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4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Reporting</w:t>
            </w:r>
          </w:p>
        </w:tc>
        <w:tc>
          <w:tcPr>
            <w:tcW w:w="46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Person</w:t>
            </w:r>
          </w:p>
        </w:tc>
        <w:tc>
          <w:tcPr>
            <w:tcW w:w="460" w:type="dxa"/>
            <w:vAlign w:val="bottom"/>
          </w:tcPr>
          <w:p>
            <w:pPr>
              <w:spacing w:after="0"/>
              <w:rPr>
                <w:sz w:val="19"/>
                <w:szCs w:val="19"/>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14" w:lineRule="exact"/>
        <w:rPr>
          <w:sz w:val="20"/>
          <w:szCs w:val="20"/>
          <w:color w:val="auto"/>
        </w:rPr>
      </w:pPr>
    </w:p>
    <w:p>
      <w:pPr>
        <w:ind w:left="80"/>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3"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OO</w:t>
      </w:r>
    </w:p>
    <w:p>
      <w:pPr>
        <w:spacing w:after="0" w:line="333" w:lineRule="exact"/>
        <w:rPr>
          <w:sz w:val="20"/>
          <w:szCs w:val="20"/>
          <w:color w:val="auto"/>
        </w:rPr>
      </w:pPr>
    </w:p>
    <w:p>
      <w:pPr>
        <w:ind w:left="340" w:right="440" w:hanging="339"/>
        <w:spacing w:after="0" w:line="266" w:lineRule="auto"/>
        <w:tabs>
          <w:tab w:leader="none" w:pos="320" w:val="left"/>
        </w:tabs>
        <w:rPr>
          <w:sz w:val="20"/>
          <w:szCs w:val="20"/>
          <w:color w:val="auto"/>
        </w:rPr>
      </w:pPr>
      <w:r>
        <w:rPr>
          <w:rFonts w:ascii="Times New Roman" w:cs="Times New Roman" w:eastAsia="Times New Roman" w:hAnsi="Times New Roman"/>
          <w:sz w:val="18"/>
          <w:szCs w:val="18"/>
          <w:color w:val="auto"/>
        </w:rPr>
        <w:t>1</w:t>
        <w:tab/>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76" w:lineRule="exact"/>
        <w:rPr>
          <w:sz w:val="20"/>
          <w:szCs w:val="20"/>
          <w:color w:val="auto"/>
        </w:rPr>
      </w:pPr>
    </w:p>
    <w:p>
      <w:pPr>
        <w:ind w:left="340" w:right="100" w:hanging="332"/>
        <w:spacing w:after="0" w:line="261"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4,949,368 shares of common stock held by Venrock Healthcare Capital Partners II, L.P., (ii) 2,005,785 shares of common stock held by VHCP Co-Investment Holdings II, LLC, (iii) 1,617,270 shares of common stock held by Venrock Healthcare Capital Partners III, L.P., (iv) 161,820 shares of common stock held by VHCP Co-Investment Holdings III, LLC and (v) 11,963,043 shares of common stock held by Venrock Healthcare Capital Partners EG, L.P.</w:t>
      </w:r>
    </w:p>
    <w:p>
      <w:pPr>
        <w:spacing w:after="0" w:line="180" w:lineRule="exact"/>
        <w:rPr>
          <w:sz w:val="20"/>
          <w:szCs w:val="20"/>
          <w:color w:val="auto"/>
        </w:rPr>
      </w:pPr>
    </w:p>
    <w:p>
      <w:pPr>
        <w:ind w:left="340" w:right="10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206,640,955 shares of the Issuer’s common stock outstanding as of June 22, 2022, as reported in the Issuer’s Annual Report on Form 10-K filed with the Securities and Exchange Commission on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7"/>
          <w:szCs w:val="17"/>
          <w:color w:val="auto"/>
        </w:rPr>
        <w:t>Page 8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709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277" w:lineRule="exact"/>
        <w:rPr>
          <w:sz w:val="20"/>
          <w:szCs w:val="20"/>
          <w:color w:val="auto"/>
        </w:rPr>
      </w:pPr>
    </w:p>
    <w:p>
      <w:pPr>
        <w:ind w:left="740" w:right="8380" w:hanging="669"/>
        <w:spacing w:after="0" w:line="447" w:lineRule="auto"/>
        <w:tabs>
          <w:tab w:leader="none" w:pos="7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VHCP Management III, LLC</w:t>
      </w:r>
    </w:p>
    <w:p>
      <w:pPr>
        <w:ind w:left="740" w:hanging="669"/>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8" w:lineRule="exact"/>
        <w:rPr>
          <w:rFonts w:ascii="Times New Roman" w:cs="Times New Roman" w:eastAsia="Times New Roman" w:hAnsi="Times New Roman"/>
          <w:sz w:val="18"/>
          <w:szCs w:val="18"/>
          <w:color w:val="auto"/>
        </w:rPr>
      </w:pPr>
    </w:p>
    <w:p>
      <w:pPr>
        <w:ind w:left="1000" w:hanging="254"/>
        <w:spacing w:after="0" w:line="334" w:lineRule="exact"/>
        <w:tabs>
          <w:tab w:leader="none" w:pos="1000" w:val="left"/>
        </w:tabs>
        <w:numPr>
          <w:ilvl w:val="1"/>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86" w:lineRule="exact"/>
        <w:rPr>
          <w:rFonts w:ascii="Times New Roman" w:cs="Times New Roman" w:eastAsia="Times New Roman" w:hAnsi="Times New Roman"/>
          <w:sz w:val="18"/>
          <w:szCs w:val="18"/>
          <w:color w:val="auto"/>
        </w:rPr>
      </w:pPr>
    </w:p>
    <w:p>
      <w:pPr>
        <w:ind w:left="740" w:right="7860" w:hanging="669"/>
        <w:spacing w:after="0" w:line="422"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980" w:hanging="681"/>
        <w:spacing w:after="0"/>
        <w:tabs>
          <w:tab w:leader="none" w:pos="198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1040" w:type="dxa"/>
            <w:vAlign w:val="bottom"/>
            <w:vMerge w:val="continue"/>
          </w:tcPr>
          <w:p>
            <w:pPr>
              <w:spacing w:after="0"/>
              <w:rPr>
                <w:sz w:val="7"/>
                <w:szCs w:val="7"/>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Shares</w:t>
            </w:r>
          </w:p>
        </w:tc>
        <w:tc>
          <w:tcPr>
            <w:tcW w:w="4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4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Reporting</w:t>
            </w:r>
          </w:p>
        </w:tc>
        <w:tc>
          <w:tcPr>
            <w:tcW w:w="46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Person</w:t>
            </w:r>
          </w:p>
        </w:tc>
        <w:tc>
          <w:tcPr>
            <w:tcW w:w="460" w:type="dxa"/>
            <w:vAlign w:val="bottom"/>
          </w:tcPr>
          <w:p>
            <w:pPr>
              <w:spacing w:after="0"/>
              <w:rPr>
                <w:sz w:val="19"/>
                <w:szCs w:val="19"/>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14" w:lineRule="exact"/>
        <w:rPr>
          <w:sz w:val="20"/>
          <w:szCs w:val="20"/>
          <w:color w:val="auto"/>
        </w:rPr>
      </w:pPr>
    </w:p>
    <w:p>
      <w:pPr>
        <w:ind w:left="80"/>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3"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OO</w:t>
      </w:r>
    </w:p>
    <w:p>
      <w:pPr>
        <w:spacing w:after="0" w:line="333" w:lineRule="exact"/>
        <w:rPr>
          <w:sz w:val="20"/>
          <w:szCs w:val="20"/>
          <w:color w:val="auto"/>
        </w:rPr>
      </w:pPr>
    </w:p>
    <w:p>
      <w:pPr>
        <w:ind w:left="340" w:right="440" w:hanging="339"/>
        <w:spacing w:after="0" w:line="266" w:lineRule="auto"/>
        <w:tabs>
          <w:tab w:leader="none" w:pos="320" w:val="left"/>
        </w:tabs>
        <w:rPr>
          <w:sz w:val="20"/>
          <w:szCs w:val="20"/>
          <w:color w:val="auto"/>
        </w:rPr>
      </w:pPr>
      <w:r>
        <w:rPr>
          <w:rFonts w:ascii="Times New Roman" w:cs="Times New Roman" w:eastAsia="Times New Roman" w:hAnsi="Times New Roman"/>
          <w:sz w:val="18"/>
          <w:szCs w:val="18"/>
          <w:color w:val="auto"/>
        </w:rPr>
        <w:t>1</w:t>
        <w:tab/>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76" w:lineRule="exact"/>
        <w:rPr>
          <w:sz w:val="20"/>
          <w:szCs w:val="20"/>
          <w:color w:val="auto"/>
        </w:rPr>
      </w:pPr>
    </w:p>
    <w:p>
      <w:pPr>
        <w:ind w:left="340" w:right="100" w:hanging="332"/>
        <w:spacing w:after="0" w:line="261"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4,949,368 shares of common stock held by Venrock Healthcare Capital Partners II, L.P., (ii) 2,005,785 shares of common stock held by VHCP Co-Investment Holdings II, LLC, (iii) 1,617,270 shares of common stock held by Venrock Healthcare Capital Partners III, L.P., (iv) 161,820 shares of common stock held by VHCP Co-Investment Holdings III, LLC and (v) 11,963,043 shares of common stock held by Venrock Healthcare Capital Partners EG, L.P.</w:t>
      </w:r>
    </w:p>
    <w:p>
      <w:pPr>
        <w:spacing w:after="0" w:line="180" w:lineRule="exact"/>
        <w:rPr>
          <w:sz w:val="20"/>
          <w:szCs w:val="20"/>
          <w:color w:val="auto"/>
        </w:rPr>
      </w:pPr>
    </w:p>
    <w:p>
      <w:pPr>
        <w:ind w:left="340" w:right="10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206,640,955 shares of the Issuer’s common stock outstanding as of June 22, 2022, as reported in the Issuer’s Annual Report on Form 10-K filed with the Securities and Exchange Commission on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7"/>
          <w:szCs w:val="17"/>
          <w:color w:val="auto"/>
        </w:rPr>
        <w:t>Page 9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709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277" w:lineRule="exact"/>
        <w:rPr>
          <w:sz w:val="20"/>
          <w:szCs w:val="20"/>
          <w:color w:val="auto"/>
        </w:rPr>
      </w:pPr>
    </w:p>
    <w:p>
      <w:pPr>
        <w:ind w:left="740" w:right="8320" w:hanging="669"/>
        <w:spacing w:after="0" w:line="447" w:lineRule="auto"/>
        <w:tabs>
          <w:tab w:leader="none" w:pos="7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VHCP Management EG, LLC</w:t>
      </w:r>
    </w:p>
    <w:p>
      <w:pPr>
        <w:ind w:left="740" w:hanging="669"/>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8" w:lineRule="exact"/>
        <w:rPr>
          <w:rFonts w:ascii="Times New Roman" w:cs="Times New Roman" w:eastAsia="Times New Roman" w:hAnsi="Times New Roman"/>
          <w:sz w:val="18"/>
          <w:szCs w:val="18"/>
          <w:color w:val="auto"/>
        </w:rPr>
      </w:pPr>
    </w:p>
    <w:p>
      <w:pPr>
        <w:ind w:left="1000" w:hanging="254"/>
        <w:spacing w:after="0" w:line="334" w:lineRule="exact"/>
        <w:tabs>
          <w:tab w:leader="none" w:pos="1000" w:val="left"/>
        </w:tabs>
        <w:numPr>
          <w:ilvl w:val="1"/>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86" w:lineRule="exact"/>
        <w:rPr>
          <w:rFonts w:ascii="Times New Roman" w:cs="Times New Roman" w:eastAsia="Times New Roman" w:hAnsi="Times New Roman"/>
          <w:sz w:val="18"/>
          <w:szCs w:val="18"/>
          <w:color w:val="auto"/>
        </w:rPr>
      </w:pPr>
    </w:p>
    <w:p>
      <w:pPr>
        <w:ind w:left="740" w:right="7860" w:hanging="669"/>
        <w:spacing w:after="0" w:line="422"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980" w:hanging="681"/>
        <w:spacing w:after="0"/>
        <w:tabs>
          <w:tab w:leader="none" w:pos="198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1040" w:type="dxa"/>
            <w:vAlign w:val="bottom"/>
            <w:vMerge w:val="continue"/>
          </w:tcPr>
          <w:p>
            <w:pPr>
              <w:spacing w:after="0"/>
              <w:rPr>
                <w:sz w:val="7"/>
                <w:szCs w:val="7"/>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Shares</w:t>
            </w:r>
          </w:p>
        </w:tc>
        <w:tc>
          <w:tcPr>
            <w:tcW w:w="4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4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Reporting</w:t>
            </w:r>
          </w:p>
        </w:tc>
        <w:tc>
          <w:tcPr>
            <w:tcW w:w="46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Person</w:t>
            </w:r>
          </w:p>
        </w:tc>
        <w:tc>
          <w:tcPr>
            <w:tcW w:w="460" w:type="dxa"/>
            <w:vAlign w:val="bottom"/>
          </w:tcPr>
          <w:p>
            <w:pPr>
              <w:spacing w:after="0"/>
              <w:rPr>
                <w:sz w:val="19"/>
                <w:szCs w:val="19"/>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14" w:lineRule="exact"/>
        <w:rPr>
          <w:sz w:val="20"/>
          <w:szCs w:val="20"/>
          <w:color w:val="auto"/>
        </w:rPr>
      </w:pPr>
    </w:p>
    <w:p>
      <w:pPr>
        <w:ind w:left="80"/>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3"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OO</w:t>
      </w:r>
    </w:p>
    <w:p>
      <w:pPr>
        <w:spacing w:after="0" w:line="333" w:lineRule="exact"/>
        <w:rPr>
          <w:sz w:val="20"/>
          <w:szCs w:val="20"/>
          <w:color w:val="auto"/>
        </w:rPr>
      </w:pPr>
    </w:p>
    <w:p>
      <w:pPr>
        <w:ind w:left="340" w:right="440" w:hanging="339"/>
        <w:spacing w:after="0" w:line="266" w:lineRule="auto"/>
        <w:tabs>
          <w:tab w:leader="none" w:pos="320" w:val="left"/>
        </w:tabs>
        <w:rPr>
          <w:sz w:val="20"/>
          <w:szCs w:val="20"/>
          <w:color w:val="auto"/>
        </w:rPr>
      </w:pPr>
      <w:r>
        <w:rPr>
          <w:rFonts w:ascii="Times New Roman" w:cs="Times New Roman" w:eastAsia="Times New Roman" w:hAnsi="Times New Roman"/>
          <w:sz w:val="18"/>
          <w:szCs w:val="18"/>
          <w:color w:val="auto"/>
        </w:rPr>
        <w:t>1</w:t>
        <w:tab/>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76" w:lineRule="exact"/>
        <w:rPr>
          <w:sz w:val="20"/>
          <w:szCs w:val="20"/>
          <w:color w:val="auto"/>
        </w:rPr>
      </w:pPr>
    </w:p>
    <w:p>
      <w:pPr>
        <w:ind w:left="340" w:right="100" w:hanging="332"/>
        <w:spacing w:after="0" w:line="26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4,949,368 shares of common stock held by Venrock Healthcare Capital Partners II, L.P., (ii) 2,005,785 shares of common stock held by VHCP Co-Investment Holdings II, LLC, (iii) 1,617,270 shares of common stock held by Venrock Healthcare Capital Partners III, L.P., (iv) 161,820 shares of common stock held by VHCP Co-Investment Holdings III, LLC and (v) 11,963,043 shares of common stock held by Venrock Healthcare Capital Partners EG, L.P.</w:t>
      </w:r>
    </w:p>
    <w:p>
      <w:pPr>
        <w:spacing w:after="0" w:line="180" w:lineRule="exact"/>
        <w:rPr>
          <w:sz w:val="20"/>
          <w:szCs w:val="20"/>
          <w:color w:val="auto"/>
        </w:rPr>
      </w:pPr>
    </w:p>
    <w:p>
      <w:pPr>
        <w:ind w:left="340" w:right="10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206,640,955 shares of the Issuer’s common stock outstanding as of June 22, 2022, as reported in the Issuer’s Annual Report on Form 10-K filed with the Securities and Exchange Commission on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tabs>
          <w:tab w:leader="none" w:pos="1022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8"/>
          <w:szCs w:val="18"/>
          <w:color w:val="auto"/>
        </w:rPr>
        <w:t>Page 10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709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277" w:lineRule="exact"/>
        <w:rPr>
          <w:sz w:val="20"/>
          <w:szCs w:val="20"/>
          <w:color w:val="auto"/>
        </w:rPr>
      </w:pPr>
    </w:p>
    <w:p>
      <w:pPr>
        <w:ind w:left="740" w:right="8500" w:hanging="669"/>
        <w:spacing w:after="0" w:line="422"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Shah, Nimish</w:t>
      </w:r>
    </w:p>
    <w:p>
      <w:pPr>
        <w:spacing w:after="0" w:line="1"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8" w:lineRule="exact"/>
        <w:rPr>
          <w:rFonts w:ascii="Times New Roman" w:cs="Times New Roman" w:eastAsia="Times New Roman" w:hAnsi="Times New Roman"/>
          <w:sz w:val="18"/>
          <w:szCs w:val="18"/>
          <w:color w:val="auto"/>
        </w:rPr>
      </w:pPr>
    </w:p>
    <w:p>
      <w:pPr>
        <w:ind w:left="1000" w:hanging="254"/>
        <w:spacing w:after="0" w:line="334" w:lineRule="exact"/>
        <w:tabs>
          <w:tab w:leader="none" w:pos="1000" w:val="left"/>
        </w:tabs>
        <w:numPr>
          <w:ilvl w:val="1"/>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86" w:lineRule="exact"/>
        <w:rPr>
          <w:rFonts w:ascii="Times New Roman" w:cs="Times New Roman" w:eastAsia="Times New Roman" w:hAnsi="Times New Roman"/>
          <w:sz w:val="18"/>
          <w:szCs w:val="18"/>
          <w:color w:val="auto"/>
        </w:rPr>
      </w:pPr>
    </w:p>
    <w:p>
      <w:pPr>
        <w:ind w:left="740" w:right="7860" w:hanging="669"/>
        <w:spacing w:after="0" w:line="422"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1" w:lineRule="exact"/>
        <w:rPr>
          <w:rFonts w:ascii="Times New Roman" w:cs="Times New Roman" w:eastAsia="Times New Roman" w:hAnsi="Times New Roman"/>
          <w:sz w:val="18"/>
          <w:szCs w:val="18"/>
          <w:color w:val="auto"/>
        </w:rPr>
      </w:pPr>
    </w:p>
    <w:p>
      <w:pPr>
        <w:ind w:left="1980" w:hanging="681"/>
        <w:spacing w:after="0"/>
        <w:tabs>
          <w:tab w:leader="none" w:pos="19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1040" w:type="dxa"/>
            <w:vAlign w:val="bottom"/>
            <w:vMerge w:val="continue"/>
          </w:tcPr>
          <w:p>
            <w:pPr>
              <w:spacing w:after="0"/>
              <w:rPr>
                <w:sz w:val="7"/>
                <w:szCs w:val="7"/>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Shares</w:t>
            </w:r>
          </w:p>
        </w:tc>
        <w:tc>
          <w:tcPr>
            <w:tcW w:w="4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4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Reporting</w:t>
            </w:r>
          </w:p>
        </w:tc>
        <w:tc>
          <w:tcPr>
            <w:tcW w:w="46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Person</w:t>
            </w:r>
          </w:p>
        </w:tc>
        <w:tc>
          <w:tcPr>
            <w:tcW w:w="460" w:type="dxa"/>
            <w:vAlign w:val="bottom"/>
          </w:tcPr>
          <w:p>
            <w:pPr>
              <w:spacing w:after="0"/>
              <w:rPr>
                <w:sz w:val="19"/>
                <w:szCs w:val="19"/>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14" w:lineRule="exact"/>
        <w:rPr>
          <w:sz w:val="20"/>
          <w:szCs w:val="20"/>
          <w:color w:val="auto"/>
        </w:rPr>
      </w:pPr>
    </w:p>
    <w:p>
      <w:pPr>
        <w:ind w:left="80"/>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3"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w:t>
      </w:r>
    </w:p>
    <w:p>
      <w:pPr>
        <w:spacing w:after="0" w:line="333" w:lineRule="exact"/>
        <w:rPr>
          <w:sz w:val="20"/>
          <w:szCs w:val="20"/>
          <w:color w:val="auto"/>
        </w:rPr>
      </w:pPr>
    </w:p>
    <w:p>
      <w:pPr>
        <w:ind w:left="340" w:right="440" w:hanging="339"/>
        <w:spacing w:after="0" w:line="266" w:lineRule="auto"/>
        <w:tabs>
          <w:tab w:leader="none" w:pos="320" w:val="left"/>
        </w:tabs>
        <w:rPr>
          <w:sz w:val="20"/>
          <w:szCs w:val="20"/>
          <w:color w:val="auto"/>
        </w:rPr>
      </w:pPr>
      <w:r>
        <w:rPr>
          <w:rFonts w:ascii="Times New Roman" w:cs="Times New Roman" w:eastAsia="Times New Roman" w:hAnsi="Times New Roman"/>
          <w:sz w:val="18"/>
          <w:szCs w:val="18"/>
          <w:color w:val="auto"/>
        </w:rPr>
        <w:t>1</w:t>
        <w:tab/>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76" w:lineRule="exact"/>
        <w:rPr>
          <w:sz w:val="20"/>
          <w:szCs w:val="20"/>
          <w:color w:val="auto"/>
        </w:rPr>
      </w:pPr>
    </w:p>
    <w:p>
      <w:pPr>
        <w:ind w:left="340" w:right="100" w:hanging="332"/>
        <w:spacing w:after="0" w:line="261"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4,949,368 shares of common stock held by Venrock Healthcare Capital Partners II, L.P., (ii) 2,005,785 shares of common stock held by VHCP Co-Investment Holdings II, LLC, (iii) 1,617,270 shares of common stock held by Venrock Healthcare Capital Partners III, L.P., (iv) 161,820 shares of common stock held by VHCP Co-Investment Holdings III, LLC and (v) 11,963,043 shares of common stock held by Venrock Healthcare Capital Partners EG, L.P.</w:t>
      </w:r>
    </w:p>
    <w:p>
      <w:pPr>
        <w:spacing w:after="0" w:line="180" w:lineRule="exact"/>
        <w:rPr>
          <w:sz w:val="20"/>
          <w:szCs w:val="20"/>
          <w:color w:val="auto"/>
        </w:rPr>
      </w:pPr>
    </w:p>
    <w:p>
      <w:pPr>
        <w:ind w:left="340" w:right="10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206,640,955 shares of the Issuer’s common stock outstanding as of June 22, 2022, as reported in the Issuer’s Annual Report on Form 10-K filed with the Securities and Exchange Commission on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tabs>
          <w:tab w:leader="none" w:pos="1024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7"/>
          <w:szCs w:val="17"/>
          <w:color w:val="auto"/>
        </w:rPr>
        <w:t>Page 11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709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709285"/>
                    </a:xfrm>
                    <a:prstGeom prst="rect">
                      <a:avLst/>
                    </a:prstGeom>
                    <a:noFill/>
                  </pic:spPr>
                </pic:pic>
              </a:graphicData>
            </a:graphic>
          </wp:anchor>
        </w:drawing>
      </w:r>
    </w:p>
    <w:p>
      <w:pPr>
        <w:spacing w:after="0" w:line="277" w:lineRule="exact"/>
        <w:rPr>
          <w:sz w:val="20"/>
          <w:szCs w:val="20"/>
          <w:color w:val="auto"/>
        </w:rPr>
      </w:pPr>
    </w:p>
    <w:p>
      <w:pPr>
        <w:ind w:left="740" w:right="8500" w:hanging="669"/>
        <w:spacing w:after="0" w:line="422"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Koh, Bong</w:t>
      </w:r>
    </w:p>
    <w:p>
      <w:pPr>
        <w:spacing w:after="0" w:line="1"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8" w:lineRule="exact"/>
        <w:rPr>
          <w:rFonts w:ascii="Times New Roman" w:cs="Times New Roman" w:eastAsia="Times New Roman" w:hAnsi="Times New Roman"/>
          <w:sz w:val="18"/>
          <w:szCs w:val="18"/>
          <w:color w:val="auto"/>
        </w:rPr>
      </w:pPr>
    </w:p>
    <w:p>
      <w:pPr>
        <w:ind w:left="1000" w:hanging="254"/>
        <w:spacing w:after="0" w:line="334" w:lineRule="exact"/>
        <w:tabs>
          <w:tab w:leader="none" w:pos="1000" w:val="left"/>
        </w:tabs>
        <w:numPr>
          <w:ilvl w:val="1"/>
          <w:numId w:val="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 w:lineRule="exact"/>
        <w:rPr>
          <w:rFonts w:ascii="Times New Roman" w:cs="Times New Roman" w:eastAsia="Times New Roman" w:hAnsi="Times New Roman"/>
          <w:sz w:val="18"/>
          <w:szCs w:val="18"/>
          <w:color w:val="auto"/>
        </w:rPr>
      </w:pPr>
    </w:p>
    <w:p>
      <w:pPr>
        <w:ind w:left="740" w:hanging="669"/>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86" w:lineRule="exact"/>
        <w:rPr>
          <w:rFonts w:ascii="Times New Roman" w:cs="Times New Roman" w:eastAsia="Times New Roman" w:hAnsi="Times New Roman"/>
          <w:sz w:val="18"/>
          <w:szCs w:val="18"/>
          <w:color w:val="auto"/>
        </w:rPr>
      </w:pPr>
    </w:p>
    <w:p>
      <w:pPr>
        <w:ind w:left="740" w:right="7860" w:hanging="669"/>
        <w:spacing w:after="0" w:line="422"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1" w:lineRule="exact"/>
        <w:rPr>
          <w:rFonts w:ascii="Times New Roman" w:cs="Times New Roman" w:eastAsia="Times New Roman" w:hAnsi="Times New Roman"/>
          <w:sz w:val="18"/>
          <w:szCs w:val="18"/>
          <w:color w:val="auto"/>
        </w:rPr>
      </w:pPr>
    </w:p>
    <w:p>
      <w:pPr>
        <w:ind w:left="1980" w:hanging="681"/>
        <w:spacing w:after="0"/>
        <w:tabs>
          <w:tab w:leader="none" w:pos="198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104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1040" w:type="dxa"/>
            <w:vAlign w:val="bottom"/>
            <w:vMerge w:val="continue"/>
          </w:tcPr>
          <w:p>
            <w:pPr>
              <w:spacing w:after="0"/>
              <w:rPr>
                <w:sz w:val="7"/>
                <w:szCs w:val="7"/>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Shares</w:t>
            </w:r>
          </w:p>
        </w:tc>
        <w:tc>
          <w:tcPr>
            <w:tcW w:w="4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4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Reporting</w:t>
            </w:r>
          </w:p>
        </w:tc>
        <w:tc>
          <w:tcPr>
            <w:tcW w:w="46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Person</w:t>
            </w:r>
          </w:p>
        </w:tc>
        <w:tc>
          <w:tcPr>
            <w:tcW w:w="460" w:type="dxa"/>
            <w:vAlign w:val="bottom"/>
          </w:tcPr>
          <w:p>
            <w:pPr>
              <w:spacing w:after="0"/>
              <w:rPr>
                <w:sz w:val="19"/>
                <w:szCs w:val="19"/>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10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40" w:type="dxa"/>
            <w:vAlign w:val="bottom"/>
            <w:vMerge w:val="continue"/>
          </w:tcPr>
          <w:p>
            <w:pPr>
              <w:spacing w:after="0"/>
              <w:rPr>
                <w:sz w:val="10"/>
                <w:szCs w:val="10"/>
                <w:color w:val="auto"/>
              </w:rPr>
            </w:pPr>
          </w:p>
        </w:tc>
        <w:tc>
          <w:tcPr>
            <w:tcW w:w="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20,697,286</w:t>
      </w:r>
      <w:r>
        <w:rPr>
          <w:rFonts w:ascii="Times New Roman" w:cs="Times New Roman" w:eastAsia="Times New Roman" w:hAnsi="Times New Roman"/>
          <w:sz w:val="29"/>
          <w:szCs w:val="29"/>
          <w:color w:val="auto"/>
          <w:vertAlign w:val="superscript"/>
        </w:rPr>
        <w:t>2</w:t>
      </w:r>
    </w:p>
    <w:p>
      <w:pPr>
        <w:spacing w:after="0" w:line="14" w:lineRule="exact"/>
        <w:rPr>
          <w:sz w:val="20"/>
          <w:szCs w:val="20"/>
          <w:color w:val="auto"/>
        </w:rPr>
      </w:pPr>
    </w:p>
    <w:p>
      <w:pPr>
        <w:ind w:left="80"/>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3"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w:t>
      </w:r>
    </w:p>
    <w:p>
      <w:pPr>
        <w:spacing w:after="0" w:line="333" w:lineRule="exact"/>
        <w:rPr>
          <w:sz w:val="20"/>
          <w:szCs w:val="20"/>
          <w:color w:val="auto"/>
        </w:rPr>
      </w:pPr>
    </w:p>
    <w:p>
      <w:pPr>
        <w:ind w:left="340" w:right="440" w:hanging="339"/>
        <w:spacing w:after="0" w:line="266" w:lineRule="auto"/>
        <w:tabs>
          <w:tab w:leader="none" w:pos="320" w:val="left"/>
        </w:tabs>
        <w:rPr>
          <w:sz w:val="20"/>
          <w:szCs w:val="20"/>
          <w:color w:val="auto"/>
        </w:rPr>
      </w:pPr>
      <w:r>
        <w:rPr>
          <w:rFonts w:ascii="Times New Roman" w:cs="Times New Roman" w:eastAsia="Times New Roman" w:hAnsi="Times New Roman"/>
          <w:sz w:val="18"/>
          <w:szCs w:val="18"/>
          <w:color w:val="auto"/>
        </w:rPr>
        <w:t>1</w:t>
        <w:tab/>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76" w:lineRule="exact"/>
        <w:rPr>
          <w:sz w:val="20"/>
          <w:szCs w:val="20"/>
          <w:color w:val="auto"/>
        </w:rPr>
      </w:pPr>
    </w:p>
    <w:p>
      <w:pPr>
        <w:ind w:left="340" w:right="100" w:hanging="332"/>
        <w:spacing w:after="0" w:line="26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4,949,368 shares of common stock held by Venrock Healthcare Capital Partners II, L.P., (ii) 2,005,785 shares of common stock held by VHCP Co-Investment Holdings II, LLC, (iii) 1,617,270 shares of common stock held by Venrock Healthcare Capital Partners III, L.P., (iv) 161,820 shares of common stock held by VHCP Co-Investment Holdings III, LLC and (v) 11,963,043 shares of common stock held by Venrock Healthcare Capital Partners EG, L.P.</w:t>
      </w:r>
    </w:p>
    <w:p>
      <w:pPr>
        <w:spacing w:after="0" w:line="180" w:lineRule="exact"/>
        <w:rPr>
          <w:sz w:val="20"/>
          <w:szCs w:val="20"/>
          <w:color w:val="auto"/>
        </w:rPr>
      </w:pPr>
    </w:p>
    <w:p>
      <w:pPr>
        <w:ind w:left="340" w:right="10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206,640,955 shares of the Issuer’s common stock outstanding as of June 22, 2022, as reported in the Issuer’s Annual Report on Form 10-K filed with the Securities and Exchange Commission on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tabs>
          <w:tab w:leader="none" w:pos="1022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8"/>
          <w:szCs w:val="18"/>
          <w:color w:val="auto"/>
        </w:rPr>
        <w:t>Page 12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Introductory Note: This Schedule 13G/A is filed on behalf of Venrock Healthcare Capital Partners II, L.P., a limited partnership organized under the laws of the State of Delaware (“VHCP II LP”), VHCP Co-Investment Holdings II, LLC, a limited liability company organized under the laws of the State of Delaware (“VHCP Co-Investment II”), Venrock Healthcare Capital Partners III, L.P., a limited partnership organized under the laws of the State of Delaware (“VHCP III LP”), VHCP Co-Investment Holdings III, LLC, a limited liability company organized under the laws of the State of Delaware (“VHCP Co-Investment III”), Venrock Healthcare Capital Partners EG, L.P., a limited partnership organized under the laws of the State of Delaware (“VHCP EG”), VHCP Management II, LLC, a limited liability company organized under the laws of the State of Delaware (“VHCP Management II”), VHCP Management III, LLC, a limited liability company organized under the laws of the State of Delaware (“VHCP Management III”), VHCP Management EG, LLC, a limited liability company organized under the laws of the State of Delaware (“VHCP Management EG” and collectively with VHCP II LP, VHCP Co-Investment II, VHCP III LP, VHCP Co-Investment III, VHCP EG, VHCP Management II and VHCP Management III, the “Venrock Entities”), Nimish Shah (“Shah”) and Bong Koh (“Koh”) in respect of Common Stock of VistaGen Therapeutics, Inc.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right="9220" w:firstLine="345"/>
        <w:spacing w:after="0" w:line="500" w:lineRule="auto"/>
        <w:tabs>
          <w:tab w:leader="none" w:pos="6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VistaGen Therapeutics, Inc.</w:t>
      </w:r>
    </w:p>
    <w:p>
      <w:pPr>
        <w:spacing w:after="0" w:line="1"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94090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Name of Person Filing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Venrock Healthcare Capital Partners 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VHCP Co-Investment Holdings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VHCP Co-Investment Holdings 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VHCP Management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VHCP Management 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VHCP Management EG,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Nimish Shah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Bong Koh</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Address of Principal Business Office or, if none, Residence</w:t>
      </w:r>
    </w:p>
    <w:p>
      <w:pPr>
        <w:spacing w:after="0" w:line="225" w:lineRule="exact"/>
        <w:rPr>
          <w:sz w:val="20"/>
          <w:szCs w:val="20"/>
          <w:color w:val="auto"/>
        </w:rPr>
      </w:pPr>
    </w:p>
    <w:p>
      <w:pPr>
        <w:ind w:left="1300"/>
        <w:spacing w:after="0"/>
        <w:tabs>
          <w:tab w:leader="none" w:pos="4600" w:val="left"/>
        </w:tabs>
        <w:rPr>
          <w:sz w:val="20"/>
          <w:szCs w:val="20"/>
          <w:color w:val="auto"/>
        </w:rPr>
      </w:pPr>
      <w:r>
        <w:rPr>
          <w:rFonts w:ascii="Times New Roman" w:cs="Times New Roman" w:eastAsia="Times New Roman" w:hAnsi="Times New Roman"/>
          <w:sz w:val="18"/>
          <w:szCs w:val="18"/>
          <w:color w:val="auto"/>
        </w:rPr>
        <w:t>New York Office:</w:t>
      </w:r>
      <w:r>
        <w:rPr>
          <w:sz w:val="20"/>
          <w:szCs w:val="20"/>
          <w:color w:val="auto"/>
        </w:rPr>
        <w:tab/>
      </w:r>
      <w:r>
        <w:rPr>
          <w:rFonts w:ascii="Times New Roman" w:cs="Times New Roman" w:eastAsia="Times New Roman" w:hAnsi="Times New Roman"/>
          <w:sz w:val="17"/>
          <w:szCs w:val="17"/>
          <w:color w:val="auto"/>
        </w:rPr>
        <w:t>Palo Alto Office:</w:t>
      </w:r>
    </w:p>
    <w:p>
      <w:pPr>
        <w:spacing w:after="0" w:line="225" w:lineRule="exact"/>
        <w:rPr>
          <w:sz w:val="20"/>
          <w:szCs w:val="20"/>
          <w:color w:val="auto"/>
        </w:rPr>
      </w:pPr>
    </w:p>
    <w:p>
      <w:pPr>
        <w:ind w:left="1300"/>
        <w:spacing w:after="0"/>
        <w:tabs>
          <w:tab w:leader="none" w:pos="4600" w:val="left"/>
        </w:tabs>
        <w:rPr>
          <w:sz w:val="20"/>
          <w:szCs w:val="20"/>
          <w:color w:val="auto"/>
        </w:rPr>
      </w:pPr>
      <w:r>
        <w:rPr>
          <w:rFonts w:ascii="Times New Roman" w:cs="Times New Roman" w:eastAsia="Times New Roman" w:hAnsi="Times New Roman"/>
          <w:sz w:val="18"/>
          <w:szCs w:val="18"/>
          <w:color w:val="auto"/>
        </w:rPr>
        <w:t>7 Bryant Park</w:t>
      </w:r>
      <w:r>
        <w:rPr>
          <w:sz w:val="20"/>
          <w:szCs w:val="20"/>
          <w:color w:val="auto"/>
        </w:rPr>
        <w:tab/>
      </w:r>
      <w:r>
        <w:rPr>
          <w:rFonts w:ascii="Times New Roman" w:cs="Times New Roman" w:eastAsia="Times New Roman" w:hAnsi="Times New Roman"/>
          <w:sz w:val="17"/>
          <w:szCs w:val="17"/>
          <w:color w:val="auto"/>
        </w:rPr>
        <w:t>3340 Hillview Avenue</w:t>
      </w:r>
    </w:p>
    <w:p>
      <w:pPr>
        <w:spacing w:after="0" w:line="27" w:lineRule="exact"/>
        <w:rPr>
          <w:sz w:val="20"/>
          <w:szCs w:val="20"/>
          <w:color w:val="auto"/>
        </w:rPr>
      </w:pPr>
    </w:p>
    <w:p>
      <w:pPr>
        <w:ind w:left="1300"/>
        <w:spacing w:after="0"/>
        <w:tabs>
          <w:tab w:leader="none" w:pos="4600" w:val="left"/>
        </w:tabs>
        <w:rPr>
          <w:sz w:val="20"/>
          <w:szCs w:val="20"/>
          <w:color w:val="auto"/>
        </w:rPr>
      </w:pPr>
      <w:r>
        <w:rPr>
          <w:rFonts w:ascii="Times New Roman" w:cs="Times New Roman" w:eastAsia="Times New Roman" w:hAnsi="Times New Roman"/>
          <w:sz w:val="18"/>
          <w:szCs w:val="18"/>
          <w:color w:val="auto"/>
        </w:rPr>
        <w:t>23rd Floor</w:t>
      </w:r>
      <w:r>
        <w:rPr>
          <w:sz w:val="20"/>
          <w:szCs w:val="20"/>
          <w:color w:val="auto"/>
        </w:rPr>
        <w:tab/>
      </w:r>
      <w:r>
        <w:rPr>
          <w:rFonts w:ascii="Times New Roman" w:cs="Times New Roman" w:eastAsia="Times New Roman" w:hAnsi="Times New Roman"/>
          <w:sz w:val="17"/>
          <w:szCs w:val="17"/>
          <w:color w:val="auto"/>
        </w:rPr>
        <w:t>Palo Alto, CA 94304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Citizenship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Venrock Entities were organized in Delaware. The individuals are both United States citizens.</w:t>
      </w:r>
    </w:p>
    <w:p>
      <w:pPr>
        <w:spacing w:after="0" w:line="225" w:lineRule="exact"/>
        <w:rPr>
          <w:sz w:val="20"/>
          <w:szCs w:val="20"/>
          <w:color w:val="auto"/>
        </w:rPr>
      </w:pPr>
    </w:p>
    <w:p>
      <w:pPr>
        <w:ind w:right="8120" w:firstLine="345"/>
        <w:spacing w:after="0" w:line="530" w:lineRule="auto"/>
        <w:tabs>
          <w:tab w:leader="none" w:pos="67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Class of Securities Common Stock, par value $0.001 per share</w:t>
      </w:r>
    </w:p>
    <w:p>
      <w:pPr>
        <w:ind w:left="680" w:hanging="335"/>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 w:name="page13"/>
    <w:bookmarkEnd w:id="12"/>
    <w:p>
      <w:pPr>
        <w:spacing w:after="0"/>
        <w:tabs>
          <w:tab w:leader="none" w:pos="1022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8"/>
          <w:szCs w:val="18"/>
          <w:color w:val="auto"/>
        </w:rPr>
        <w:t>Page 13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  Amount Beneficially Owned as of July 8, 2022:</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Bong Koh</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  Percent of Class as of July 8, 2022:</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Bong Koh</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  Number of shares as to which the person has, as of July 8, 2022:</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  Sole power to vote or to direct the vote</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Bong Koh</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7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13" w:name="page14"/>
    <w:bookmarkEnd w:id="13"/>
    <w:p>
      <w:pPr>
        <w:spacing w:after="0"/>
        <w:tabs>
          <w:tab w:leader="none" w:pos="1022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8"/>
          <w:szCs w:val="18"/>
          <w:color w:val="auto"/>
        </w:rPr>
        <w:t>Page 14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  Shared power to vote or to direct the vote</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Bong Koh</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41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Bong Koh</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1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Bong Koh</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20,697,286(1)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60" w:hanging="332"/>
        <w:spacing w:after="0" w:line="273" w:lineRule="auto"/>
        <w:tabs>
          <w:tab w:leader="none" w:pos="3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4,949,368 shares of common stock held by Venrock Healthcare Capital Partners II, L.P., (ii) 2,005,785 shares of common stock held by VHCP Co-Investment Holdings II, LLC, (iii) 1,617,270 shares of common stock held by Venrock Healthcare Capital Partners III, L.P., (iv) 161,820 shares of common stock held by VHCP Co-Investment Holdings III, LLC and (v) 11,963,043 shares of common stock held by Venrock Healthcare Capital Partners EG, L.P. VHCP Management II, LLC is the general partner of Venrock Healthcare Capital Partners II, L.P. and the manager of VHCP Co-Investment Holdings II, LLC. VHCP Management III, LLC is the general partner of Venrock Healthcare Capital Partners III, L.P. and the manager of VHCP Co-Investment Holdings III, LLC. VHCP Management EG, LLC is the general partner of Venrock Healthcare Capital Partners EG, L.P. Messrs. Shah and Koh are the voting members of VHCP Management II, LLC, VHCP Management III, LLC and VHCP Management EG, LLC.</w:t>
      </w:r>
    </w:p>
    <w:p>
      <w:pPr>
        <w:spacing w:after="0" w:line="171" w:lineRule="exact"/>
        <w:rPr>
          <w:rFonts w:ascii="Times New Roman" w:cs="Times New Roman" w:eastAsia="Times New Roman" w:hAnsi="Times New Roman"/>
          <w:sz w:val="17"/>
          <w:szCs w:val="17"/>
          <w:color w:val="auto"/>
        </w:rPr>
      </w:pPr>
    </w:p>
    <w:p>
      <w:pPr>
        <w:ind w:left="340" w:right="10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206,640,955 shares of the Issuer’s common stock outstanding as of June 22, 2022, as reported in the Issuer’s Annual Report on Form 10-K filed with the Securities and Exchange Commission on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4" w:name="page15"/>
    <w:bookmarkEnd w:id="14"/>
    <w:p>
      <w:pPr>
        <w:spacing w:after="0"/>
        <w:tabs>
          <w:tab w:leader="none" w:pos="1022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8"/>
          <w:szCs w:val="18"/>
          <w:color w:val="auto"/>
        </w:rPr>
        <w:t>Page 15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5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920" w:right="180" w:hanging="903"/>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a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tab/>
        <w:t>Certification</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5" w:name="page16"/>
    <w:bookmarkEnd w:id="15"/>
    <w:p>
      <w:pPr>
        <w:spacing w:after="0"/>
        <w:tabs>
          <w:tab w:leader="none" w:pos="1022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8"/>
          <w:szCs w:val="18"/>
          <w:color w:val="auto"/>
        </w:rPr>
        <w:t>Page 16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180"/>
        <w:spacing w:after="0" w:line="498"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Dated: July 8,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Venrock Healthcare Capital Partners II, L.P.</w:t>
            </w:r>
          </w:p>
        </w:tc>
        <w:tc>
          <w:tcPr>
            <w:tcW w:w="240" w:type="dxa"/>
            <w:vAlign w:val="bottom"/>
          </w:tcPr>
          <w:p>
            <w:pPr>
              <w:spacing w:after="0"/>
              <w:rPr>
                <w:sz w:val="20"/>
                <w:szCs w:val="20"/>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Venrock Healthcare Capital Partners III, L.P.</w:t>
            </w:r>
          </w:p>
        </w:tc>
        <w:tc>
          <w:tcPr>
            <w:tcW w:w="0" w:type="dxa"/>
            <w:vAlign w:val="bottom"/>
          </w:tcPr>
          <w:p>
            <w:pPr>
              <w:spacing w:after="0"/>
              <w:rPr>
                <w:sz w:val="1"/>
                <w:szCs w:val="1"/>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VHCP Management II, LLC</w:t>
            </w:r>
          </w:p>
        </w:tc>
        <w:tc>
          <w:tcPr>
            <w:tcW w:w="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0" w:type="dxa"/>
            <w:vAlign w:val="bottom"/>
          </w:tcPr>
          <w:p>
            <w:pPr>
              <w:spacing w:after="0"/>
              <w:rPr>
                <w:sz w:val="1"/>
                <w:szCs w:val="1"/>
                <w:color w:val="auto"/>
              </w:rPr>
            </w:pPr>
          </w:p>
        </w:tc>
      </w:tr>
      <w:tr>
        <w:trPr>
          <w:trHeight w:val="23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432"/>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L. Stepp</w:t>
            </w:r>
          </w:p>
        </w:tc>
        <w:tc>
          <w:tcPr>
            <w:tcW w:w="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L. Stepp</w:t>
            </w: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Signatory</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432"/>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VHCP Co-Investment Holdings II, LLC</w:t>
            </w:r>
          </w:p>
        </w:tc>
        <w:tc>
          <w:tcPr>
            <w:tcW w:w="240" w:type="dxa"/>
            <w:vAlign w:val="bottom"/>
          </w:tcPr>
          <w:p>
            <w:pPr>
              <w:spacing w:after="0"/>
              <w:rPr>
                <w:sz w:val="24"/>
                <w:szCs w:val="24"/>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VHCP Co-Investment Holdings III, LLC</w:t>
            </w:r>
          </w:p>
        </w:tc>
        <w:tc>
          <w:tcPr>
            <w:tcW w:w="0" w:type="dxa"/>
            <w:vAlign w:val="bottom"/>
          </w:tcPr>
          <w:p>
            <w:pPr>
              <w:spacing w:after="0"/>
              <w:rPr>
                <w:sz w:val="1"/>
                <w:szCs w:val="1"/>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VHCP Management II, LLC</w:t>
            </w:r>
          </w:p>
        </w:tc>
        <w:tc>
          <w:tcPr>
            <w:tcW w:w="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0" w:type="dxa"/>
            <w:vAlign w:val="bottom"/>
          </w:tcPr>
          <w:p>
            <w:pPr>
              <w:spacing w:after="0"/>
              <w:rPr>
                <w:sz w:val="1"/>
                <w:szCs w:val="1"/>
                <w:color w:val="auto"/>
              </w:rPr>
            </w:pPr>
          </w:p>
        </w:tc>
      </w:tr>
      <w:tr>
        <w:trPr>
          <w:trHeight w:val="23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w:t>
            </w:r>
          </w:p>
        </w:tc>
        <w:tc>
          <w:tcPr>
            <w:tcW w:w="0" w:type="dxa"/>
            <w:vAlign w:val="bottom"/>
          </w:tcPr>
          <w:p>
            <w:pPr>
              <w:spacing w:after="0"/>
              <w:rPr>
                <w:sz w:val="1"/>
                <w:szCs w:val="1"/>
                <w:color w:val="auto"/>
              </w:rPr>
            </w:pPr>
          </w:p>
        </w:tc>
      </w:tr>
      <w:tr>
        <w:trPr>
          <w:trHeight w:val="432"/>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L. Stepp</w:t>
            </w:r>
          </w:p>
        </w:tc>
        <w:tc>
          <w:tcPr>
            <w:tcW w:w="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L. Stepp</w:t>
            </w: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Signatory</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432"/>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VHCP Management II, LLC</w:t>
            </w:r>
          </w:p>
        </w:tc>
        <w:tc>
          <w:tcPr>
            <w:tcW w:w="240" w:type="dxa"/>
            <w:vAlign w:val="bottom"/>
          </w:tcPr>
          <w:p>
            <w:pPr>
              <w:spacing w:after="0"/>
              <w:rPr>
                <w:sz w:val="24"/>
                <w:szCs w:val="24"/>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VHCP Management III, LLC</w:t>
            </w:r>
          </w:p>
        </w:tc>
        <w:tc>
          <w:tcPr>
            <w:tcW w:w="0" w:type="dxa"/>
            <w:vAlign w:val="bottom"/>
          </w:tcPr>
          <w:p>
            <w:pPr>
              <w:spacing w:after="0"/>
              <w:rPr>
                <w:sz w:val="1"/>
                <w:szCs w:val="1"/>
                <w:color w:val="auto"/>
              </w:rPr>
            </w:pPr>
          </w:p>
        </w:tc>
      </w:tr>
      <w:tr>
        <w:trPr>
          <w:trHeight w:val="432"/>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L. Stepp</w:t>
            </w:r>
          </w:p>
        </w:tc>
        <w:tc>
          <w:tcPr>
            <w:tcW w:w="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L. Stepp</w:t>
            </w: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Signatory</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432"/>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Venrock Healthcare Capital Partners EG, L.P.</w:t>
            </w:r>
          </w:p>
        </w:tc>
        <w:tc>
          <w:tcPr>
            <w:tcW w:w="240" w:type="dxa"/>
            <w:vAlign w:val="bottom"/>
          </w:tcPr>
          <w:p>
            <w:pPr>
              <w:spacing w:after="0"/>
              <w:rPr>
                <w:sz w:val="24"/>
                <w:szCs w:val="24"/>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VHCP Management EG, LLC</w:t>
            </w:r>
          </w:p>
        </w:tc>
        <w:tc>
          <w:tcPr>
            <w:tcW w:w="0" w:type="dxa"/>
            <w:vAlign w:val="bottom"/>
          </w:tcPr>
          <w:p>
            <w:pPr>
              <w:spacing w:after="0"/>
              <w:rPr>
                <w:sz w:val="1"/>
                <w:szCs w:val="1"/>
                <w:color w:val="auto"/>
              </w:rPr>
            </w:pPr>
          </w:p>
        </w:tc>
      </w:tr>
      <w:tr>
        <w:trPr>
          <w:trHeight w:val="432"/>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40" w:type="dxa"/>
            <w:vAlign w:val="bottom"/>
          </w:tcPr>
          <w:p>
            <w:pPr>
              <w:spacing w:after="0"/>
              <w:rPr>
                <w:sz w:val="24"/>
                <w:szCs w:val="24"/>
                <w:color w:val="auto"/>
              </w:rPr>
            </w:pPr>
          </w:p>
        </w:tc>
        <w:tc>
          <w:tcPr>
            <w:tcW w:w="5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David L. Stepp</w:t>
            </w:r>
          </w:p>
        </w:tc>
        <w:tc>
          <w:tcPr>
            <w:tcW w:w="0" w:type="dxa"/>
            <w:vAlign w:val="bottom"/>
          </w:tcPr>
          <w:p>
            <w:pPr>
              <w:spacing w:after="0"/>
              <w:rPr>
                <w:sz w:val="1"/>
                <w:szCs w:val="1"/>
                <w:color w:val="auto"/>
              </w:rPr>
            </w:pPr>
          </w:p>
        </w:tc>
      </w:tr>
      <w:tr>
        <w:trPr>
          <w:trHeight w:val="191"/>
        </w:trPr>
        <w:tc>
          <w:tcPr>
            <w:tcW w:w="5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Its:</w:t>
            </w: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General Partner</w:t>
            </w:r>
          </w:p>
        </w:tc>
        <w:tc>
          <w:tcPr>
            <w:tcW w:w="240" w:type="dxa"/>
            <w:vAlign w:val="bottom"/>
          </w:tcPr>
          <w:p>
            <w:pPr>
              <w:spacing w:after="0"/>
              <w:rPr>
                <w:sz w:val="16"/>
                <w:szCs w:val="16"/>
                <w:color w:val="auto"/>
              </w:rPr>
            </w:pPr>
          </w:p>
        </w:tc>
        <w:tc>
          <w:tcPr>
            <w:tcW w:w="548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0" w:type="dxa"/>
            <w:vAlign w:val="bottom"/>
          </w:tcPr>
          <w:p>
            <w:pPr>
              <w:spacing w:after="0"/>
              <w:rPr>
                <w:sz w:val="1"/>
                <w:szCs w:val="1"/>
                <w:color w:val="auto"/>
              </w:rPr>
            </w:pPr>
          </w:p>
        </w:tc>
      </w:tr>
      <w:tr>
        <w:trPr>
          <w:trHeight w:val="234"/>
        </w:trPr>
        <w:tc>
          <w:tcPr>
            <w:tcW w:w="5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 David L. Stepp</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auto"/>
            </w:tcBorders>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52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Bong Koh</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829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L. Stepp, Attorney-in-fact</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Nimish Shah</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L. Stepp,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tabs>
          <w:tab w:leader="none" w:pos="10220" w:val="left"/>
        </w:tabs>
        <w:rPr>
          <w:sz w:val="20"/>
          <w:szCs w:val="20"/>
          <w:color w:val="auto"/>
        </w:rPr>
      </w:pPr>
      <w:r>
        <w:rPr>
          <w:rFonts w:ascii="Times New Roman" w:cs="Times New Roman" w:eastAsia="Times New Roman" w:hAnsi="Times New Roman"/>
          <w:sz w:val="18"/>
          <w:szCs w:val="18"/>
          <w:b w:val="1"/>
          <w:bCs w:val="1"/>
          <w:color w:val="auto"/>
        </w:rPr>
        <w:t>CUSIP No. 92840H202</w:t>
      </w:r>
      <w:r>
        <w:rPr>
          <w:sz w:val="20"/>
          <w:szCs w:val="20"/>
          <w:color w:val="auto"/>
        </w:rPr>
        <w:tab/>
      </w:r>
      <w:r>
        <w:rPr>
          <w:rFonts w:ascii="Times New Roman" w:cs="Times New Roman" w:eastAsia="Times New Roman" w:hAnsi="Times New Roman"/>
          <w:sz w:val="18"/>
          <w:szCs w:val="18"/>
          <w:color w:val="auto"/>
        </w:rPr>
        <w:t>Page 17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of Attorney for Nimish Shah (incorporated by reference to Exhibit B to Schedule 13G filed February 16, 2021)</w:t>
      </w:r>
    </w:p>
    <w:p>
      <w:pPr>
        <w:spacing w:after="0" w:line="236"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for Bong Koh (incorporated by reference to Exhibit C to Schedule 13G filed February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agree to the joint filing on behalf of each of them of a statement on Schedule 13G (including amendments thereto) with respect to the Common Stock of VistaGen Therapeutics,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evidence whereof, the undersigned have caused this Agreement to be executed on their behalf this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July,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Venrock Healthcare Capital Partners II, L.P.</w:t>
            </w: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Venrock Healthcare Capital Partners III, L.P.</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VHCP Management II, LLC</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David L. Stepp</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L. Stepp</w:t>
            </w: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496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92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Authorized Signatory</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432"/>
        </w:trPr>
        <w:tc>
          <w:tcPr>
            <w:tcW w:w="5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VHCP Co-Investment Holdings II, LLC</w:t>
            </w: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VHCP Co-Investment Holdings III, LLC</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VHCP Management II, LLC</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Manager</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David L. Stepp</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L. Stepp</w:t>
            </w: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496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92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Authorized Signatory</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432"/>
        </w:trPr>
        <w:tc>
          <w:tcPr>
            <w:tcW w:w="5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VHCP Management II, LLC</w:t>
            </w: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VHCP Management III, LLC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David L. Stepp</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L. Stepp</w:t>
            </w: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496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92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Authorized Signatory</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432"/>
        </w:trPr>
        <w:tc>
          <w:tcPr>
            <w:tcW w:w="5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Venrock Healthcare Capital Partners EG, L.P.</w:t>
            </w: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VHCP Management EG, LLC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5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David L. Stepp</w:t>
            </w:r>
          </w:p>
        </w:tc>
        <w:tc>
          <w:tcPr>
            <w:tcW w:w="0" w:type="dxa"/>
            <w:vAlign w:val="bottom"/>
          </w:tcPr>
          <w:p>
            <w:pPr>
              <w:spacing w:after="0"/>
              <w:rPr>
                <w:sz w:val="1"/>
                <w:szCs w:val="1"/>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Its:</w:t>
            </w:r>
          </w:p>
        </w:tc>
        <w:tc>
          <w:tcPr>
            <w:tcW w:w="518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General Partner</w:t>
            </w:r>
          </w:p>
        </w:tc>
        <w:tc>
          <w:tcPr>
            <w:tcW w:w="548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0" w:type="dxa"/>
            <w:vAlign w:val="bottom"/>
          </w:tcPr>
          <w:p>
            <w:pPr>
              <w:spacing w:after="0"/>
              <w:rPr>
                <w:sz w:val="1"/>
                <w:szCs w:val="1"/>
                <w:color w:val="auto"/>
              </w:rPr>
            </w:pPr>
          </w:p>
        </w:tc>
      </w:tr>
      <w:tr>
        <w:trPr>
          <w:trHeight w:val="234"/>
        </w:trPr>
        <w:tc>
          <w:tcPr>
            <w:tcW w:w="576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/s/ David L. Stepp</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216"/>
        </w:trPr>
        <w:tc>
          <w:tcPr>
            <w:tcW w:w="5760" w:type="dxa"/>
            <w:vAlign w:val="bottom"/>
            <w:gridSpan w:val="5"/>
            <w:vMerge w:val="continue"/>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520" w:type="dxa"/>
            <w:vAlign w:val="bottom"/>
            <w:tcBorders>
              <w:top w:val="single" w:sz="8" w:color="auto"/>
            </w:tcBorders>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David L. Stepp</w:t>
            </w:r>
          </w:p>
        </w:tc>
        <w:tc>
          <w:tcPr>
            <w:tcW w:w="240" w:type="dxa"/>
            <w:vAlign w:val="bottom"/>
            <w:gridSpan w:val="2"/>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w:t>
            </w:r>
          </w:p>
        </w:tc>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Bong Koh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L. Stepp, Attorney-in-fact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Nimish Shah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L. Stepp,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
    <w:nsid w:val="628C895D"/>
    <w:multiLevelType w:val="hybridMultilevel"/>
    <w:lvl w:ilvl="0">
      <w:lvlJc w:val="left"/>
      <w:lvlText w:val="2"/>
      <w:numFmt w:val="bullet"/>
      <w:start w:val="1"/>
    </w:lvl>
  </w:abstractNum>
  <w:abstractNum w:abstractNumId="5">
    <w:nsid w:val="333AB105"/>
    <w:multiLevelType w:val="hybridMultilevel"/>
    <w:lvl w:ilvl="0">
      <w:lvlJc w:val="left"/>
      <w:lvlText w:val="3"/>
      <w:numFmt w:val="bullet"/>
      <w:start w:val="1"/>
    </w:lvl>
  </w:abstractNum>
  <w:abstractNum w:abstractNumId="6">
    <w:nsid w:val="721DA31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
    <w:nsid w:val="2443A858"/>
    <w:multiLevelType w:val="hybridMultilevel"/>
    <w:lvl w:ilvl="0">
      <w:lvlJc w:val="left"/>
      <w:lvlText w:val="2"/>
      <w:numFmt w:val="bullet"/>
      <w:start w:val="1"/>
    </w:lvl>
  </w:abstractNum>
  <w:abstractNum w:abstractNumId="8">
    <w:nsid w:val="2D1D5AE9"/>
    <w:multiLevelType w:val="hybridMultilevel"/>
    <w:lvl w:ilvl="0">
      <w:lvlJc w:val="left"/>
      <w:lvlText w:val="3"/>
      <w:numFmt w:val="bullet"/>
      <w:start w:val="1"/>
    </w:lvl>
  </w:abstractNum>
  <w:abstractNum w:abstractNumId="9">
    <w:nsid w:val="6763845E"/>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0">
    <w:nsid w:val="75A2A8D4"/>
    <w:multiLevelType w:val="hybridMultilevel"/>
    <w:lvl w:ilvl="0">
      <w:lvlJc w:val="left"/>
      <w:lvlText w:val="2"/>
      <w:numFmt w:val="bullet"/>
      <w:start w:val="1"/>
    </w:lvl>
  </w:abstractNum>
  <w:abstractNum w:abstractNumId="11">
    <w:nsid w:val="8EDBDAB"/>
    <w:multiLevelType w:val="hybridMultilevel"/>
    <w:lvl w:ilvl="0">
      <w:lvlJc w:val="left"/>
      <w:lvlText w:val="3"/>
      <w:numFmt w:val="bullet"/>
      <w:start w:val="1"/>
    </w:lvl>
  </w:abstractNum>
  <w:abstractNum w:abstractNumId="12">
    <w:nsid w:val="79838CB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3">
    <w:nsid w:val="4353D0CD"/>
    <w:multiLevelType w:val="hybridMultilevel"/>
    <w:lvl w:ilvl="0">
      <w:lvlJc w:val="left"/>
      <w:lvlText w:val="2"/>
      <w:numFmt w:val="bullet"/>
      <w:start w:val="1"/>
    </w:lvl>
  </w:abstractNum>
  <w:abstractNum w:abstractNumId="14">
    <w:nsid w:val="B03E0C6"/>
    <w:multiLevelType w:val="hybridMultilevel"/>
    <w:lvl w:ilvl="0">
      <w:lvlJc w:val="left"/>
      <w:lvlText w:val="3"/>
      <w:numFmt w:val="bullet"/>
      <w:start w:val="1"/>
    </w:lvl>
  </w:abstractNum>
  <w:abstractNum w:abstractNumId="15">
    <w:nsid w:val="189A769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6">
    <w:nsid w:val="54E49EB4"/>
    <w:multiLevelType w:val="hybridMultilevel"/>
    <w:lvl w:ilvl="0">
      <w:lvlJc w:val="left"/>
      <w:lvlText w:val="2"/>
      <w:numFmt w:val="bullet"/>
      <w:start w:val="1"/>
    </w:lvl>
  </w:abstractNum>
  <w:abstractNum w:abstractNumId="17">
    <w:nsid w:val="71F32454"/>
    <w:multiLevelType w:val="hybridMultilevel"/>
    <w:lvl w:ilvl="0">
      <w:lvlJc w:val="left"/>
      <w:lvlText w:val="3"/>
      <w:numFmt w:val="bullet"/>
      <w:start w:val="1"/>
    </w:lvl>
  </w:abstractNum>
  <w:abstractNum w:abstractNumId="18">
    <w:nsid w:val="2CA8861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9">
    <w:nsid w:val="836C40E"/>
    <w:multiLevelType w:val="hybridMultilevel"/>
    <w:lvl w:ilvl="0">
      <w:lvlJc w:val="left"/>
      <w:lvlText w:val="2"/>
      <w:numFmt w:val="bullet"/>
      <w:start w:val="1"/>
    </w:lvl>
  </w:abstractNum>
  <w:abstractNum w:abstractNumId="20">
    <w:nsid w:val="2901D82"/>
    <w:multiLevelType w:val="hybridMultilevel"/>
    <w:lvl w:ilvl="0">
      <w:lvlJc w:val="left"/>
      <w:lvlText w:val="3"/>
      <w:numFmt w:val="bullet"/>
      <w:start w:val="1"/>
    </w:lvl>
  </w:abstractNum>
  <w:abstractNum w:abstractNumId="21">
    <w:nsid w:val="3A95F87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2">
    <w:nsid w:val="8138641"/>
    <w:multiLevelType w:val="hybridMultilevel"/>
    <w:lvl w:ilvl="0">
      <w:lvlJc w:val="left"/>
      <w:lvlText w:val="2"/>
      <w:numFmt w:val="bullet"/>
      <w:start w:val="1"/>
    </w:lvl>
  </w:abstractNum>
  <w:abstractNum w:abstractNumId="23">
    <w:nsid w:val="1E7FF521"/>
    <w:multiLevelType w:val="hybridMultilevel"/>
    <w:lvl w:ilvl="0">
      <w:lvlJc w:val="left"/>
      <w:lvlText w:val="3"/>
      <w:numFmt w:val="bullet"/>
      <w:start w:val="1"/>
    </w:lvl>
  </w:abstractNum>
  <w:abstractNum w:abstractNumId="24">
    <w:nsid w:val="7C3DBD3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5">
    <w:nsid w:val="737B8DDC"/>
    <w:multiLevelType w:val="hybridMultilevel"/>
    <w:lvl w:ilvl="0">
      <w:lvlJc w:val="left"/>
      <w:lvlText w:val="2"/>
      <w:numFmt w:val="bullet"/>
      <w:start w:val="1"/>
    </w:lvl>
  </w:abstractNum>
  <w:abstractNum w:abstractNumId="26">
    <w:nsid w:val="6CEAF087"/>
    <w:multiLevelType w:val="hybridMultilevel"/>
    <w:lvl w:ilvl="0">
      <w:lvlJc w:val="left"/>
      <w:lvlText w:val="3"/>
      <w:numFmt w:val="bullet"/>
      <w:start w:val="1"/>
    </w:lvl>
  </w:abstractNum>
  <w:abstractNum w:abstractNumId="27">
    <w:nsid w:val="22221A70"/>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8">
    <w:nsid w:val="4516DDE9"/>
    <w:multiLevelType w:val="hybridMultilevel"/>
    <w:lvl w:ilvl="0">
      <w:lvlJc w:val="left"/>
      <w:lvlText w:val="2"/>
      <w:numFmt w:val="bullet"/>
      <w:start w:val="1"/>
    </w:lvl>
  </w:abstractNum>
  <w:abstractNum w:abstractNumId="29">
    <w:nsid w:val="3006C83E"/>
    <w:multiLevelType w:val="hybridMultilevel"/>
    <w:lvl w:ilvl="0">
      <w:lvlJc w:val="left"/>
      <w:lvlText w:val="3"/>
      <w:numFmt w:val="bullet"/>
      <w:start w:val="1"/>
    </w:lvl>
  </w:abstractNum>
  <w:abstractNum w:abstractNumId="30">
    <w:nsid w:val="614FD4A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1">
    <w:nsid w:val="419AC241"/>
    <w:multiLevelType w:val="hybridMultilevel"/>
    <w:lvl w:ilvl="0">
      <w:lvlJc w:val="left"/>
      <w:lvlText w:val="2"/>
      <w:numFmt w:val="bullet"/>
      <w:start w:val="1"/>
    </w:lvl>
  </w:abstractNum>
  <w:abstractNum w:abstractNumId="32">
    <w:nsid w:val="5577F8E1"/>
    <w:multiLevelType w:val="hybridMultilevel"/>
    <w:lvl w:ilvl="0">
      <w:lvlJc w:val="left"/>
      <w:lvlText w:val="3"/>
      <w:numFmt w:val="bullet"/>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4"/>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2022-07-08T15:09:41Z</dcterms:created>
  <dcterms:modified xsi:type="dcterms:W3CDTF">2022-07-08T15:09:41Z</dcterms:modified>
</cp:coreProperties>
</file>