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61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DOTSON JERROLD DUANE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AND SECRETARY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03/19/2019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Warrant issued as consideration for Reporting Person's services as Chief Financial Officer of the Issuer.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40" w:firstLine="6"/>
        <w:spacing w:after="0" w:line="242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the Reporting Person's continuous service, and as incentive to continue employment and build shareholder value, the Warrant will vest according to the following schedule: 50% of the total number of shares on April 1, 2014 (the "Vesting Start Date"); 25% of the total number of shares on the one year anniversary of the Vesting Start Date; and 25% of the total number of shares on the two year anniversary of the Vesting Start Date; provided, however, that the Warrant shall vest in full upon a change in control of the Company, or upon the consummation by the Company and a third-party of a license or sale transaction involving at least one (1) new drug rescue variant developed by the Company.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Jerrold D. Dotson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03/21/2014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2020-01-26T14:23:58Z</dcterms:created>
  <dcterms:modified xsi:type="dcterms:W3CDTF">2020-01-26T14:23:58Z</dcterms:modified>
</cp:coreProperties>
</file>