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10qjune302013.htm"/>
      <w:bookmarkStart w:id="1" w:name="ksvsta10qjune302013"/>
      <w:bookmarkStart w:id="2" w:name="vsta10qjune302013.htm"/>
      <w:bookmarkStart w:id="3" w:name="ksvsta10qjune302013"/>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spacing w:before="0" w:after="0"/>
        <w:ind w:left="0" w:right="0" w:hanging="0"/>
        <w:jc w:val="left"/>
        <w:rPr>
          <w:rFonts w:ascii="Times New Roman" w:hAnsi="Times New Roman"/>
          <w:sz w:val="20"/>
        </w:rPr>
      </w:pPr>
      <w:r>
        <w:rPr>
          <w:rFonts w:ascii="Times New Roman" w:hAnsi="Times New Roman"/>
          <w:sz w:val="20"/>
        </w:rPr>
        <w:t>(Mark One)</w:t>
      </w:r>
    </w:p>
    <w:tbl>
      <w:tblPr>
        <w:tblW w:w="5000" w:type="pct"/>
        <w:jc w:val="left"/>
        <w:tblInd w:w="0" w:type="dxa"/>
        <w:tblCellMar>
          <w:top w:w="0" w:type="dxa"/>
          <w:left w:w="0" w:type="dxa"/>
          <w:bottom w:w="0" w:type="dxa"/>
          <w:right w:w="0" w:type="dxa"/>
        </w:tblCellMar>
      </w:tblPr>
      <w:tblGrid>
        <w:gridCol w:w="702"/>
        <w:gridCol w:w="469"/>
        <w:gridCol w:w="9034"/>
      </w:tblGrid>
      <w:tr>
        <w:trPr/>
        <w:tc>
          <w:tcPr>
            <w:tcW w:w="702" w:type="dxa"/>
            <w:tcBorders/>
            <w:shd w:fill="auto" w:val="clear"/>
            <w:vAlign w:val="center"/>
          </w:tcPr>
          <w:p>
            <w:pPr>
              <w:pStyle w:val="TableContents"/>
              <w:spacing w:before="0" w:after="283"/>
              <w:jc w:val="left"/>
              <w:rPr/>
            </w:pPr>
            <w:r>
              <w:rPr/>
              <w:t xml:space="preserve">  </w:t>
            </w:r>
          </w:p>
        </w:tc>
        <w:tc>
          <w:tcPr>
            <w:tcW w:w="469" w:type="dxa"/>
            <w:tcBorders/>
            <w:shd w:fill="auto" w:val="clear"/>
            <w:vAlign w:val="center"/>
          </w:tcPr>
          <w:p>
            <w:pPr>
              <w:pStyle w:val="TableContents"/>
              <w:spacing w:before="0" w:after="283"/>
              <w:jc w:val="left"/>
              <w:rPr/>
            </w:pPr>
            <w:r>
              <w:rPr/>
              <w:t xml:space="preserve">  </w:t>
            </w:r>
          </w:p>
        </w:tc>
        <w:tc>
          <w:tcPr>
            <w:tcW w:w="9034" w:type="dxa"/>
            <w:tcBorders/>
            <w:shd w:fill="auto" w:val="clear"/>
            <w:vAlign w:val="center"/>
          </w:tcPr>
          <w:p>
            <w:pPr>
              <w:pStyle w:val="TableContents"/>
              <w:spacing w:before="0" w:after="283"/>
              <w:jc w:val="left"/>
              <w:rPr/>
            </w:pPr>
            <w:r>
              <w:rPr/>
              <w:t xml:space="preserve">  </w:t>
            </w:r>
          </w:p>
        </w:tc>
      </w:tr>
      <w:tr>
        <w:trPr/>
        <w:tc>
          <w:tcPr>
            <w:tcW w:w="702"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[X]</w:t>
            </w:r>
          </w:p>
        </w:tc>
        <w:tc>
          <w:tcPr>
            <w:tcW w:w="469" w:type="dxa"/>
            <w:tcBorders/>
            <w:shd w:fill="auto" w:val="clear"/>
          </w:tcPr>
          <w:p>
            <w:pPr>
              <w:pStyle w:val="TableContents"/>
              <w:spacing w:before="0" w:after="283"/>
              <w:jc w:val="left"/>
              <w:rPr/>
            </w:pPr>
            <w:r>
              <w:rPr/>
              <w:t xml:space="preserve">  </w:t>
            </w:r>
          </w:p>
        </w:tc>
        <w:tc>
          <w:tcPr>
            <w:tcW w:w="9034"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quarterly period ended June 30, 2013</w:t>
      </w:r>
    </w:p>
    <w:p>
      <w:pPr>
        <w:pStyle w:val="TextBody"/>
        <w:spacing w:before="0" w:after="0"/>
        <w:ind w:left="0" w:right="0" w:hanging="0"/>
        <w:jc w:val="center"/>
        <w:rPr>
          <w:rFonts w:ascii="Times New Roman" w:hAnsi="Times New Roman"/>
          <w:b/>
          <w:sz w:val="20"/>
        </w:rPr>
      </w:pPr>
      <w:r>
        <w:rPr>
          <w:rFonts w:ascii="Times New Roman" w:hAnsi="Times New Roman"/>
          <w:b/>
          <w:sz w:val="20"/>
        </w:rPr>
        <w:t>or</w:t>
      </w:r>
    </w:p>
    <w:tbl>
      <w:tblPr>
        <w:tblW w:w="5000" w:type="pct"/>
        <w:jc w:val="left"/>
        <w:tblInd w:w="0" w:type="dxa"/>
        <w:tblCellMar>
          <w:top w:w="0" w:type="dxa"/>
          <w:left w:w="0" w:type="dxa"/>
          <w:bottom w:w="0" w:type="dxa"/>
          <w:right w:w="0" w:type="dxa"/>
        </w:tblCellMar>
      </w:tblPr>
      <w:tblGrid>
        <w:gridCol w:w="702"/>
        <w:gridCol w:w="467"/>
        <w:gridCol w:w="9036"/>
      </w:tblGrid>
      <w:tr>
        <w:trPr/>
        <w:tc>
          <w:tcPr>
            <w:tcW w:w="702" w:type="dxa"/>
            <w:tcBorders/>
            <w:shd w:fill="auto" w:val="clear"/>
            <w:vAlign w:val="center"/>
          </w:tcPr>
          <w:p>
            <w:pPr>
              <w:pStyle w:val="TableContents"/>
              <w:spacing w:before="0" w:after="283"/>
              <w:jc w:val="left"/>
              <w:rPr/>
            </w:pPr>
            <w:r>
              <w:rPr/>
              <w:t xml:space="preserve">  </w:t>
            </w:r>
          </w:p>
        </w:tc>
        <w:tc>
          <w:tcPr>
            <w:tcW w:w="467" w:type="dxa"/>
            <w:tcBorders/>
            <w:shd w:fill="auto" w:val="clear"/>
            <w:vAlign w:val="center"/>
          </w:tcPr>
          <w:p>
            <w:pPr>
              <w:pStyle w:val="TableContents"/>
              <w:spacing w:before="0" w:after="283"/>
              <w:jc w:val="left"/>
              <w:rPr/>
            </w:pPr>
            <w:r>
              <w:rPr/>
              <w:t xml:space="preserve">  </w:t>
            </w:r>
          </w:p>
        </w:tc>
        <w:tc>
          <w:tcPr>
            <w:tcW w:w="9036" w:type="dxa"/>
            <w:tcBorders/>
            <w:shd w:fill="auto" w:val="clear"/>
            <w:vAlign w:val="center"/>
          </w:tcPr>
          <w:p>
            <w:pPr>
              <w:pStyle w:val="TableContents"/>
              <w:spacing w:before="0" w:after="283"/>
              <w:jc w:val="left"/>
              <w:rPr/>
            </w:pPr>
            <w:r>
              <w:rPr/>
              <w:t xml:space="preserve">  </w:t>
            </w:r>
          </w:p>
        </w:tc>
      </w:tr>
      <w:tr>
        <w:trPr/>
        <w:tc>
          <w:tcPr>
            <w:tcW w:w="702"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   ]</w:t>
            </w:r>
          </w:p>
        </w:tc>
        <w:tc>
          <w:tcPr>
            <w:tcW w:w="467" w:type="dxa"/>
            <w:tcBorders/>
            <w:shd w:fill="auto" w:val="clear"/>
          </w:tcPr>
          <w:p>
            <w:pPr>
              <w:pStyle w:val="TableContents"/>
              <w:spacing w:before="0" w:after="283"/>
              <w:jc w:val="left"/>
              <w:rPr/>
            </w:pPr>
            <w:r>
              <w:rPr/>
              <w:t xml:space="preserve">  </w:t>
            </w:r>
          </w:p>
        </w:tc>
        <w:tc>
          <w:tcPr>
            <w:tcW w:w="9036"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1620" w:right="0" w:hanging="0"/>
        <w:jc w:val="left"/>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000-54014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40"/>
        </w:rPr>
      </w:pPr>
      <w:r>
        <w:rPr>
          <w:rFonts w:ascii="Times New Roman" w:hAnsi="Times New Roman"/>
          <w:b/>
          <w:sz w:val="40"/>
        </w:rPr>
        <w:t>VistaGen Therapeutics, Inc.</w:t>
      </w:r>
    </w:p>
    <w:p>
      <w:pPr>
        <w:pStyle w:val="TextBody"/>
        <w:spacing w:before="0" w:after="0"/>
        <w:ind w:left="0" w:right="0" w:hanging="0"/>
        <w:jc w:val="center"/>
        <w:rPr>
          <w:rFonts w:ascii="Times New Roman" w:hAnsi="Times New Roman"/>
          <w:i/>
          <w:sz w:val="20"/>
        </w:rPr>
      </w:pPr>
      <w:r>
        <w:rPr>
          <w:rFonts w:ascii="Times New Roman" w:hAnsi="Times New Roman"/>
          <w:i/>
          <w:sz w:val="20"/>
        </w:rPr>
        <w:t>(Exact name of registrant as specified in its charter)</w:t>
      </w:r>
    </w:p>
    <w:tbl>
      <w:tblPr>
        <w:tblW w:w="5000" w:type="pct"/>
        <w:jc w:val="left"/>
        <w:tblInd w:w="0" w:type="dxa"/>
        <w:tblCellMar>
          <w:top w:w="0" w:type="dxa"/>
          <w:left w:w="0" w:type="dxa"/>
          <w:bottom w:w="0" w:type="dxa"/>
          <w:right w:w="0" w:type="dxa"/>
        </w:tblCellMar>
      </w:tblPr>
      <w:tblGrid>
        <w:gridCol w:w="4926"/>
        <w:gridCol w:w="821"/>
        <w:gridCol w:w="4458"/>
      </w:tblGrid>
      <w:tr>
        <w:trPr/>
        <w:tc>
          <w:tcPr>
            <w:tcW w:w="4926" w:type="dxa"/>
            <w:tcBorders/>
            <w:shd w:fill="auto" w:val="clear"/>
            <w:vAlign w:val="center"/>
          </w:tcPr>
          <w:p>
            <w:pPr>
              <w:pStyle w:val="TableContents"/>
              <w:spacing w:before="0" w:after="283"/>
              <w:jc w:val="left"/>
              <w:rPr/>
            </w:pPr>
            <w:r>
              <w:rPr/>
              <w:t xml:space="preserve">  </w:t>
            </w:r>
          </w:p>
        </w:tc>
        <w:tc>
          <w:tcPr>
            <w:tcW w:w="5279" w:type="dxa"/>
            <w:gridSpan w:val="2"/>
            <w:tcBorders/>
            <w:shd w:fill="auto" w:val="clear"/>
          </w:tcPr>
          <w:p>
            <w:pPr>
              <w:pStyle w:val="TableContents"/>
              <w:spacing w:before="0" w:after="283"/>
              <w:jc w:val="left"/>
              <w:rPr/>
            </w:pPr>
            <w:r>
              <w:rPr/>
              <w:t xml:space="preserve">  </w:t>
            </w:r>
          </w:p>
        </w:tc>
      </w:tr>
      <w:tr>
        <w:trPr/>
        <w:tc>
          <w:tcPr>
            <w:tcW w:w="4926"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Nevada</w:t>
            </w:r>
          </w:p>
        </w:tc>
        <w:tc>
          <w:tcPr>
            <w:tcW w:w="821" w:type="dxa"/>
            <w:tcBorders/>
            <w:shd w:fill="auto" w:val="clear"/>
            <w:vAlign w:val="bottom"/>
          </w:tcPr>
          <w:p>
            <w:pPr>
              <w:pStyle w:val="TableContents"/>
              <w:spacing w:before="0" w:after="283"/>
              <w:jc w:val="left"/>
              <w:rPr/>
            </w:pPr>
            <w:r>
              <w:rPr/>
              <w:t xml:space="preserve">  </w:t>
            </w:r>
          </w:p>
        </w:tc>
        <w:tc>
          <w:tcPr>
            <w:tcW w:w="4458"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20-5093315</w:t>
            </w:r>
          </w:p>
        </w:tc>
      </w:tr>
      <w:tr>
        <w:trPr/>
        <w:tc>
          <w:tcPr>
            <w:tcW w:w="4926"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(State or other jurisdiction of</w:t>
            </w:r>
          </w:p>
          <w:p>
            <w:pPr>
              <w:pStyle w:val="TableContents"/>
              <w:spacing w:before="0" w:after="0"/>
              <w:ind w:left="0" w:right="16" w:hanging="0"/>
              <w:jc w:val="center"/>
              <w:rPr>
                <w:rFonts w:ascii="times new roman" w:hAnsi="times new roman"/>
                <w:i/>
                <w:sz w:val="20"/>
              </w:rPr>
            </w:pPr>
            <w:r>
              <w:rPr>
                <w:rFonts w:ascii="times new roman" w:hAnsi="times new roman"/>
                <w:i/>
                <w:sz w:val="20"/>
              </w:rPr>
              <w:t>incorporation or organization)</w:t>
            </w:r>
          </w:p>
        </w:tc>
        <w:tc>
          <w:tcPr>
            <w:tcW w:w="821" w:type="dxa"/>
            <w:tcBorders/>
            <w:shd w:fill="auto" w:val="clear"/>
            <w:vAlign w:val="bottom"/>
          </w:tcPr>
          <w:p>
            <w:pPr>
              <w:pStyle w:val="TableContents"/>
              <w:spacing w:before="0" w:after="283"/>
              <w:jc w:val="left"/>
              <w:rPr/>
            </w:pPr>
            <w:r>
              <w:rPr/>
              <w:t xml:space="preserve">  </w:t>
            </w:r>
          </w:p>
        </w:tc>
        <w:tc>
          <w:tcPr>
            <w:tcW w:w="4458"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(I.R.S. Employer</w:t>
            </w:r>
          </w:p>
          <w:p>
            <w:pPr>
              <w:pStyle w:val="TableContents"/>
              <w:spacing w:before="0" w:after="0"/>
              <w:ind w:left="0" w:right="16" w:hanging="0"/>
              <w:jc w:val="center"/>
              <w:rPr>
                <w:rFonts w:ascii="times new roman" w:hAnsi="times new roman"/>
                <w:i/>
                <w:sz w:val="20"/>
              </w:rPr>
            </w:pPr>
            <w:r>
              <w:rPr>
                <w:rFonts w:ascii="times new roman" w:hAnsi="times new roman"/>
                <w:i/>
                <w:sz w:val="20"/>
              </w:rPr>
              <w:t>Identification No.)</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343 Allerton Avenue</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i/>
          <w:sz w:val="20"/>
        </w:rPr>
      </w:pPr>
      <w:r>
        <w:rPr>
          <w:rFonts w:ascii="Times New Roman" w:hAnsi="Times New Roman"/>
          <w:i/>
          <w:sz w:val="20"/>
        </w:rPr>
        <w:t>(Address of principal executive offices including zip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(650) 577-3600</w:t>
      </w:r>
    </w:p>
    <w:p>
      <w:pPr>
        <w:pStyle w:val="TextBody"/>
        <w:spacing w:before="0" w:after="0"/>
        <w:ind w:left="0" w:right="0" w:hanging="0"/>
        <w:jc w:val="center"/>
        <w:rPr>
          <w:rFonts w:ascii="Times New Roman" w:hAnsi="Times New Roman"/>
          <w:i/>
          <w:sz w:val="20"/>
        </w:rPr>
      </w:pPr>
      <w:r>
        <w:rPr>
          <w:rFonts w:ascii="Times New Roman" w:hAnsi="Times New Roman"/>
          <w:i/>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5000" w:type="pct"/>
        <w:jc w:val="left"/>
        <w:tblInd w:w="0" w:type="dxa"/>
        <w:tblCellMar>
          <w:top w:w="0" w:type="dxa"/>
          <w:left w:w="0" w:type="dxa"/>
          <w:bottom w:w="0" w:type="dxa"/>
          <w:right w:w="0" w:type="dxa"/>
        </w:tblCellMar>
      </w:tblPr>
      <w:tblGrid>
        <w:gridCol w:w="2933"/>
        <w:gridCol w:w="3285"/>
        <w:gridCol w:w="3049"/>
        <w:gridCol w:w="938"/>
      </w:tblGrid>
      <w:tr>
        <w:trPr/>
        <w:tc>
          <w:tcPr>
            <w:tcW w:w="2933" w:type="dxa"/>
            <w:tcBorders/>
            <w:shd w:fill="auto" w:val="clear"/>
            <w:vAlign w:val="center"/>
          </w:tcPr>
          <w:p>
            <w:pPr>
              <w:pStyle w:val="TableContents"/>
              <w:spacing w:before="0" w:after="283"/>
              <w:rPr/>
            </w:pPr>
            <w:r>
              <w:rPr/>
              <w:t xml:space="preserve">  </w:t>
            </w:r>
          </w:p>
        </w:tc>
        <w:tc>
          <w:tcPr>
            <w:tcW w:w="7272" w:type="dxa"/>
            <w:gridSpan w:val="3"/>
            <w:tcBorders/>
            <w:shd w:fill="auto" w:val="clear"/>
          </w:tcPr>
          <w:p>
            <w:pPr>
              <w:pStyle w:val="TableContents"/>
              <w:spacing w:before="0" w:after="283"/>
              <w:rPr/>
            </w:pPr>
            <w:r>
              <w:rPr/>
              <w:t xml:space="preserve">  </w:t>
            </w:r>
          </w:p>
        </w:tc>
      </w:tr>
      <w:tr>
        <w:trPr/>
        <w:tc>
          <w:tcPr>
            <w:tcW w:w="2933"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Large accelerated filer</w:t>
            </w:r>
          </w:p>
        </w:tc>
        <w:tc>
          <w:tcPr>
            <w:tcW w:w="3285" w:type="dxa"/>
            <w:tcBorders/>
            <w:shd w:fill="auto" w:val="clear"/>
          </w:tcPr>
          <w:p>
            <w:pPr>
              <w:pStyle w:val="TableContents"/>
              <w:spacing w:before="0" w:after="0"/>
              <w:ind w:left="0" w:right="0" w:hanging="0"/>
              <w:jc w:val="both"/>
              <w:rPr/>
            </w:pPr>
            <w:r>
              <w:rPr/>
              <w:t> </w:t>
            </w:r>
            <w:r>
              <w:rPr>
                <w:rFonts w:ascii="times new roman" w:hAnsi="times new roman"/>
                <w:sz w:val="20"/>
              </w:rPr>
              <w:t>[   ]</w:t>
            </w:r>
          </w:p>
        </w:tc>
        <w:tc>
          <w:tcPr>
            <w:tcW w:w="30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w:t>
            </w:r>
          </w:p>
        </w:tc>
        <w:tc>
          <w:tcPr>
            <w:tcW w:w="9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w:t>
            </w:r>
          </w:p>
        </w:tc>
      </w:tr>
      <w:tr>
        <w:trPr/>
        <w:tc>
          <w:tcPr>
            <w:tcW w:w="2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Non-Accelerated filer</w:t>
            </w:r>
          </w:p>
        </w:tc>
        <w:tc>
          <w:tcPr>
            <w:tcW w:w="3285" w:type="dxa"/>
            <w:tcBorders/>
            <w:shd w:fill="auto" w:val="clear"/>
          </w:tcPr>
          <w:p>
            <w:pPr>
              <w:pStyle w:val="TableContents"/>
              <w:spacing w:before="0" w:after="0"/>
              <w:ind w:left="0" w:right="0" w:hanging="0"/>
              <w:jc w:val="both"/>
              <w:rPr/>
            </w:pPr>
            <w:r>
              <w:rPr/>
              <w:t> </w:t>
            </w:r>
            <w:r>
              <w:rPr>
                <w:rFonts w:ascii="times new roman" w:hAnsi="times new roman"/>
                <w:sz w:val="20"/>
              </w:rPr>
              <w:t>[   ]</w:t>
            </w:r>
          </w:p>
        </w:tc>
        <w:tc>
          <w:tcPr>
            <w:tcW w:w="30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9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[X]</w:t>
            </w:r>
          </w:p>
        </w:tc>
      </w:tr>
    </w:tbl>
    <w:p>
      <w:pPr>
        <w:pStyle w:val="TextBody"/>
        <w:spacing w:before="0" w:after="0"/>
        <w:ind w:left="0" w:right="180" w:hanging="0"/>
        <w:jc w:val="left"/>
        <w:rPr>
          <w:rFonts w:ascii="Times New Roman" w:hAnsi="Times New Roman"/>
          <w:sz w:val="20"/>
        </w:rPr>
      </w:pPr>
      <w:r>
        <w:rPr>
          <w:rFonts w:ascii="Times New Roman" w:hAnsi="Times New Roman"/>
          <w:sz w:val="20"/>
        </w:rPr>
        <w:t>(do not check if a smaller reporting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August 12, 2013, 21,811,877 shares of the registrant’s common stock, $0.001 par value, were issued and outstanding.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4" w:name="tocj"/>
      <w:bookmarkEnd w:id="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Quarterly Report on Form 10-Q</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 Ended June 30, 2013</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89"/>
        <w:gridCol w:w="816"/>
      </w:tblGrid>
      <w:tr>
        <w:trPr/>
        <w:tc>
          <w:tcPr>
            <w:tcW w:w="9389" w:type="dxa"/>
            <w:tcBorders/>
            <w:shd w:fill="auto" w:val="clear"/>
            <w:vAlign w:val="center"/>
          </w:tcPr>
          <w:p>
            <w:pPr>
              <w:pStyle w:val="TableContents"/>
              <w:spacing w:before="0" w:after="283"/>
              <w:jc w:val="left"/>
              <w:rPr/>
            </w:pPr>
            <w:r>
              <w:rPr/>
              <w:t xml:space="preserve">  </w:t>
            </w:r>
          </w:p>
        </w:tc>
        <w:tc>
          <w:tcPr>
            <w:tcW w:w="816"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9389"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PART I.  FINANCIAL INFORMATION</w:t>
            </w:r>
          </w:p>
        </w:tc>
        <w:tc>
          <w:tcPr>
            <w:tcW w:w="816" w:type="dxa"/>
            <w:tcBorders/>
            <w:shd w:fill="auto" w:val="clear"/>
            <w:vAlign w:val="bottom"/>
          </w:tcPr>
          <w:p>
            <w:pPr>
              <w:pStyle w:val="TableContents"/>
              <w:spacing w:before="0" w:after="283"/>
              <w:rPr/>
            </w:pPr>
            <w:r>
              <w:rPr/>
              <w:t xml:space="preserve">  </w:t>
            </w:r>
          </w:p>
        </w:tc>
      </w:tr>
      <w:tr>
        <w:trPr/>
        <w:tc>
          <w:tcPr>
            <w:tcW w:w="9389" w:type="dxa"/>
            <w:tcBorders/>
            <w:shd w:fill="auto" w:val="clear"/>
            <w:vAlign w:val="bottom"/>
          </w:tcPr>
          <w:p>
            <w:pPr>
              <w:pStyle w:val="TableContents"/>
              <w:spacing w:before="0" w:after="283"/>
              <w:rPr/>
            </w:pPr>
            <w:r>
              <w:rPr/>
              <w:t xml:space="preserve">  </w:t>
            </w:r>
          </w:p>
        </w:tc>
        <w:tc>
          <w:tcPr>
            <w:tcW w:w="816" w:type="dxa"/>
            <w:tcBorders/>
            <w:shd w:fill="auto" w:val="clear"/>
            <w:vAlign w:val="bottom"/>
          </w:tcPr>
          <w:p>
            <w:pPr>
              <w:pStyle w:val="TableContents"/>
              <w:spacing w:before="0" w:after="283"/>
              <w:rPr/>
            </w:pPr>
            <w:r>
              <w:rPr/>
              <w:t xml:space="preserve">  </w:t>
            </w:r>
          </w:p>
        </w:tc>
      </w:tr>
      <w:tr>
        <w:trPr/>
        <w:tc>
          <w:tcPr>
            <w:tcW w:w="9389"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Item 1. Condensed Consolidated Financial Statements (Unaudited)</w:t>
            </w:r>
          </w:p>
        </w:tc>
        <w:tc>
          <w:tcPr>
            <w:tcW w:w="816" w:type="dxa"/>
            <w:tcBorders/>
            <w:shd w:fill="auto" w:val="clear"/>
            <w:vAlign w:val="bottom"/>
          </w:tcPr>
          <w:p>
            <w:pPr>
              <w:pStyle w:val="TableContents"/>
              <w:spacing w:before="0" w:after="283"/>
              <w:rPr/>
            </w:pPr>
            <w:r>
              <w:rPr/>
              <w:t xml:space="preserve">  </w:t>
            </w:r>
          </w:p>
        </w:tc>
      </w:tr>
      <w:tr>
        <w:trPr/>
        <w:tc>
          <w:tcPr>
            <w:tcW w:w="93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Condensed Consolidated Balance Sheets at June 30, 2013 and March 31, 2013</w:t>
            </w:r>
          </w:p>
        </w:tc>
        <w:tc>
          <w:tcPr>
            <w:tcW w:w="81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r>
      <w:tr>
        <w:trPr/>
        <w:tc>
          <w:tcPr>
            <w:tcW w:w="93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Condensed Consolidated Statements of Operations and Comprehensive Loss for the three months ended June 30, 2013 and 2012</w:t>
            </w:r>
          </w:p>
        </w:tc>
        <w:tc>
          <w:tcPr>
            <w:tcW w:w="816"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r>
      <w:tr>
        <w:trPr/>
        <w:tc>
          <w:tcPr>
            <w:tcW w:w="93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Condensed Consolidated Statements of Cash Flows for the three months ended June 30, 2013 and 2012</w:t>
            </w:r>
          </w:p>
        </w:tc>
        <w:tc>
          <w:tcPr>
            <w:tcW w:w="81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93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to the Condensed Consolidated Financial Statements</w:t>
            </w:r>
          </w:p>
        </w:tc>
        <w:tc>
          <w:tcPr>
            <w:tcW w:w="816"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9389"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Item 2. Management’s Discussion and Analysis of Financial Condition and Results of Operations</w:t>
            </w:r>
          </w:p>
        </w:tc>
        <w:tc>
          <w:tcPr>
            <w:tcW w:w="81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w:t>
            </w:r>
          </w:p>
        </w:tc>
      </w:tr>
      <w:tr>
        <w:trPr/>
        <w:tc>
          <w:tcPr>
            <w:tcW w:w="9389"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Item 4. Controls and Procedures</w:t>
            </w:r>
          </w:p>
        </w:tc>
        <w:tc>
          <w:tcPr>
            <w:tcW w:w="816"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27</w:t>
            </w:r>
          </w:p>
        </w:tc>
      </w:tr>
      <w:tr>
        <w:trPr/>
        <w:tc>
          <w:tcPr>
            <w:tcW w:w="9389" w:type="dxa"/>
            <w:tcBorders/>
            <w:shd w:fill="CCEEFF" w:val="clear"/>
            <w:vAlign w:val="bottom"/>
          </w:tcPr>
          <w:p>
            <w:pPr>
              <w:pStyle w:val="TableContents"/>
              <w:spacing w:before="0" w:after="283"/>
              <w:rPr/>
            </w:pPr>
            <w:r>
              <w:rPr/>
              <w:t xml:space="preserve">  </w:t>
            </w:r>
          </w:p>
        </w:tc>
        <w:tc>
          <w:tcPr>
            <w:tcW w:w="816" w:type="dxa"/>
            <w:tcBorders/>
            <w:shd w:fill="CCEEFF" w:val="clear"/>
            <w:vAlign w:val="bottom"/>
          </w:tcPr>
          <w:p>
            <w:pPr>
              <w:pStyle w:val="TableContents"/>
              <w:spacing w:before="0" w:after="283"/>
              <w:rPr/>
            </w:pPr>
            <w:r>
              <w:rPr/>
              <w:t xml:space="preserve">  </w:t>
            </w:r>
          </w:p>
        </w:tc>
      </w:tr>
      <w:tr>
        <w:trPr/>
        <w:tc>
          <w:tcPr>
            <w:tcW w:w="9389" w:type="dxa"/>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PART II.  OTHER INFORMATION</w:t>
            </w:r>
          </w:p>
        </w:tc>
        <w:tc>
          <w:tcPr>
            <w:tcW w:w="816" w:type="dxa"/>
            <w:tcBorders/>
            <w:shd w:fill="FFFFFF" w:val="clear"/>
            <w:vAlign w:val="bottom"/>
          </w:tcPr>
          <w:p>
            <w:pPr>
              <w:pStyle w:val="TableContents"/>
              <w:spacing w:before="0" w:after="283"/>
              <w:rPr/>
            </w:pPr>
            <w:r>
              <w:rPr/>
              <w:t xml:space="preserve">  </w:t>
            </w:r>
          </w:p>
        </w:tc>
      </w:tr>
      <w:tr>
        <w:trPr/>
        <w:tc>
          <w:tcPr>
            <w:tcW w:w="9389" w:type="dxa"/>
            <w:tcBorders/>
            <w:shd w:fill="CCEEFF" w:val="clear"/>
            <w:vAlign w:val="bottom"/>
          </w:tcPr>
          <w:p>
            <w:pPr>
              <w:pStyle w:val="TableContents"/>
              <w:spacing w:before="0" w:after="0"/>
              <w:ind w:left="0" w:right="0" w:hanging="0"/>
              <w:jc w:val="center"/>
              <w:rPr/>
            </w:pPr>
            <w:r>
              <w:rPr/>
              <w:t> </w:t>
            </w:r>
          </w:p>
        </w:tc>
        <w:tc>
          <w:tcPr>
            <w:tcW w:w="816" w:type="dxa"/>
            <w:tcBorders/>
            <w:shd w:fill="CCEEFF" w:val="clear"/>
            <w:vAlign w:val="bottom"/>
          </w:tcPr>
          <w:p>
            <w:pPr>
              <w:pStyle w:val="TableContents"/>
              <w:spacing w:before="0" w:after="283"/>
              <w:rPr/>
            </w:pPr>
            <w:r>
              <w:rPr/>
              <w:t xml:space="preserve">  </w:t>
            </w:r>
          </w:p>
        </w:tc>
      </w:tr>
      <w:tr>
        <w:trPr/>
        <w:tc>
          <w:tcPr>
            <w:tcW w:w="93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Item 1.  Legal Proceedings</w:t>
            </w:r>
          </w:p>
        </w:tc>
        <w:tc>
          <w:tcPr>
            <w:tcW w:w="816"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28</w:t>
            </w:r>
          </w:p>
        </w:tc>
      </w:tr>
      <w:tr>
        <w:trPr/>
        <w:tc>
          <w:tcPr>
            <w:tcW w:w="93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Item 1A. Risk Factors</w:t>
            </w:r>
          </w:p>
        </w:tc>
        <w:tc>
          <w:tcPr>
            <w:tcW w:w="81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28</w:t>
            </w:r>
          </w:p>
        </w:tc>
      </w:tr>
      <w:tr>
        <w:trPr/>
        <w:tc>
          <w:tcPr>
            <w:tcW w:w="93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Item 2.  Unregistered Sales of Equity Securities and Use of Proceeds</w:t>
            </w:r>
          </w:p>
        </w:tc>
        <w:tc>
          <w:tcPr>
            <w:tcW w:w="816"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28</w:t>
            </w:r>
          </w:p>
        </w:tc>
      </w:tr>
      <w:tr>
        <w:trPr/>
        <w:tc>
          <w:tcPr>
            <w:tcW w:w="93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Item 3.  Defaults Upon Senior Secured Securities</w:t>
            </w:r>
          </w:p>
        </w:tc>
        <w:tc>
          <w:tcPr>
            <w:tcW w:w="81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28</w:t>
            </w:r>
          </w:p>
        </w:tc>
      </w:tr>
      <w:tr>
        <w:trPr/>
        <w:tc>
          <w:tcPr>
            <w:tcW w:w="93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Item 6.  Exhibits</w:t>
            </w:r>
          </w:p>
        </w:tc>
        <w:tc>
          <w:tcPr>
            <w:tcW w:w="816"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28</w:t>
            </w:r>
          </w:p>
        </w:tc>
      </w:tr>
      <w:tr>
        <w:trPr/>
        <w:tc>
          <w:tcPr>
            <w:tcW w:w="9389" w:type="dxa"/>
            <w:tcBorders/>
            <w:shd w:fill="CCEEFF" w:val="clear"/>
            <w:vAlign w:val="bottom"/>
          </w:tcPr>
          <w:p>
            <w:pPr>
              <w:pStyle w:val="TableContents"/>
              <w:spacing w:before="0" w:after="283"/>
              <w:rPr/>
            </w:pPr>
            <w:r>
              <w:rPr/>
              <w:t xml:space="preserve">  </w:t>
            </w:r>
          </w:p>
        </w:tc>
        <w:tc>
          <w:tcPr>
            <w:tcW w:w="816" w:type="dxa"/>
            <w:tcBorders/>
            <w:shd w:fill="CCEEFF" w:val="clear"/>
            <w:vAlign w:val="bottom"/>
          </w:tcPr>
          <w:p>
            <w:pPr>
              <w:pStyle w:val="TableContents"/>
              <w:spacing w:before="0" w:after="283"/>
              <w:rPr/>
            </w:pPr>
            <w:r>
              <w:rPr/>
              <w:t xml:space="preserve">  </w:t>
            </w:r>
          </w:p>
        </w:tc>
      </w:tr>
      <w:tr>
        <w:trPr/>
        <w:tc>
          <w:tcPr>
            <w:tcW w:w="9389"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SIGNATURES</w:t>
            </w:r>
          </w:p>
        </w:tc>
        <w:tc>
          <w:tcPr>
            <w:tcW w:w="816" w:type="dxa"/>
            <w:tcBorders/>
            <w:shd w:fill="FFFFFF" w:val="clear"/>
            <w:vAlign w:val="bottom"/>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bookmarkStart w:id="7" w:name="FTR"/>
      <w:bookmarkEnd w:id="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 w:name="PN"/>
      <w:bookmarkEnd w:id="9"/>
      <w:r>
        <w:rPr>
          <w:rFonts w:ascii="Times New Roman" w:hAnsi="Times New Roman"/>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 w:name="GLHDR"/>
        <w:bookmarkEnd w:id="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r>
        <w:rPr>
          <w:rFonts w:ascii="Times New Roman" w:hAnsi="Times New Roman"/>
          <w:b/>
          <w:sz w:val="20"/>
        </w:rPr>
        <w:t>PART I.  FINANCIAL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Condensed Consolidated Financial Statements (Unaudited)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13" w:name="bsj"/>
      <w:bookmarkEnd w:id="1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Dollars, except share amounts)</w:t>
      </w:r>
    </w:p>
    <w:tbl>
      <w:tblPr>
        <w:tblW w:w="5000" w:type="pct"/>
        <w:jc w:val="left"/>
        <w:tblInd w:w="0" w:type="dxa"/>
        <w:tblCellMar>
          <w:top w:w="0" w:type="dxa"/>
          <w:left w:w="0" w:type="dxa"/>
          <w:bottom w:w="0" w:type="dxa"/>
          <w:right w:w="0" w:type="dxa"/>
        </w:tblCellMar>
      </w:tblPr>
      <w:tblGrid>
        <w:gridCol w:w="7318"/>
        <w:gridCol w:w="106"/>
        <w:gridCol w:w="125"/>
        <w:gridCol w:w="1097"/>
        <w:gridCol w:w="112"/>
        <w:gridCol w:w="106"/>
        <w:gridCol w:w="125"/>
        <w:gridCol w:w="1097"/>
        <w:gridCol w:w="119"/>
      </w:tblGrid>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2)</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center"/>
              <w:rPr/>
            </w:pPr>
            <w:r>
              <w:rPr/>
              <w:t> </w:t>
            </w:r>
            <w:r>
              <w:rPr>
                <w:rFonts w:ascii="times new roman" w:hAnsi="times new roman"/>
                <w:b/>
                <w:sz w:val="20"/>
              </w:rPr>
              <w:t>ASSETS</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89,800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638,100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Unbilled contract payments receivable</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Prepaid expenses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134,900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current assets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224,700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671,800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Property and equipment, net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180,700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assets</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431,800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881,500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center"/>
              <w:rPr/>
            </w:pPr>
            <w:r>
              <w:rPr/>
              <w:t> </w:t>
            </w:r>
            <w:r>
              <w:rPr>
                <w:rFonts w:ascii="times new roman" w:hAnsi="times new roman"/>
                <w:b/>
                <w:sz w:val="20"/>
              </w:rPr>
              <w:t>LIABILITIES AND 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1,758,600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1,353,700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expenses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371,300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342,900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Notes payable and accrued interest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695,300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617,100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Notes payable and accrued interest to related parties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100,400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93,000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current liabilities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2,933,300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2,414,300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Non-current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convertible promissory notes, net of discount of $1,947,100 at June 30, 2013 and $1,963,100 at March 31, 2013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1,527,300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1,425,700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Notes payable, net of discount of $1,075,200 at June 30, 2013 and $1,142,600 at March 31, 2013</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2,192,400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2,091,800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to related parties, net of discount of $136,500 at June 30, 2013 and $147,200 at March 31, 2013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1,134,600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1,106,000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4,589,100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Capital lease obligations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non-current liabilities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9,447,400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11,023,600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liabilities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12,380,700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13,437,900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Commitments and contingencies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 deficit: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$0.001 par value; 10,000,000 shares, including 500,000 Series A shares, authorized at June 30, 2013 and March 31, 2013; 500,000 Series A shares issued and outstanding at June 30, 2013 and March 31, 2013, respectively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$0.001 par value; 200,000,000 shares authorized at June 30, 2013 and March 31, 2013; 23,937,631 and 23,480,169 shares issued at June 30, 2013 and March 31, 2013, respectively</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23,900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23,500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59,687,400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59,266,000</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Treasury stock, at cost, 2,713,308 shares of common stock held at June 30, 2013 and March 31, 2013</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(3,968,100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(3,968,100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Notes receivable from sale of common stock</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(209,100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(209,100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Deficit accumulated during development stage</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(67,483,500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(67,669,200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stockholders’ deficit</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(11,948,900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(12,556,400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liabilities and stockholders’ deficit</w:t>
            </w:r>
          </w:p>
        </w:tc>
        <w:tc>
          <w:tcPr>
            <w:tcW w:w="106"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431,800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881,500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 w:name="PGBRK1"/>
      <w:bookmarkStart w:id="15" w:name="PGBRK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FTR1"/>
      <w:bookmarkStart w:id="17" w:name="FTR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GLFTR1"/>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 w:name="PN1"/>
      <w:bookmarkEnd w:id="19"/>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HDR1"/>
      <w:bookmarkStart w:id="21" w:name="HD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 w:name="GLHDR1"/>
        <w:bookmarkEnd w:id="2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23" w:name="stopcomplossj"/>
      <w:bookmarkEnd w:id="2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OPERATIONS AND COMPREHENSIVE LOSS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dollars, except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944"/>
        <w:gridCol w:w="104"/>
        <w:gridCol w:w="125"/>
        <w:gridCol w:w="1071"/>
        <w:gridCol w:w="110"/>
        <w:gridCol w:w="104"/>
        <w:gridCol w:w="125"/>
        <w:gridCol w:w="1071"/>
        <w:gridCol w:w="109"/>
        <w:gridCol w:w="104"/>
        <w:gridCol w:w="125"/>
        <w:gridCol w:w="1090"/>
        <w:gridCol w:w="123"/>
      </w:tblGrid>
      <w:tr>
        <w:trPr/>
        <w:tc>
          <w:tcPr>
            <w:tcW w:w="5944"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6"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3" w:type="dxa"/>
            <w:tcBorders/>
            <w:shd w:fill="auto" w:val="clear"/>
            <w:vAlign w:val="bottom"/>
          </w:tcPr>
          <w:p>
            <w:pPr>
              <w:pStyle w:val="TableContents"/>
              <w:spacing w:before="0" w:after="283"/>
              <w:jc w:val="left"/>
              <w:rPr/>
            </w:pPr>
            <w:r>
              <w:rPr/>
              <w:t> </w:t>
            </w:r>
          </w:p>
        </w:tc>
      </w:tr>
      <w:tr>
        <w:trPr/>
        <w:tc>
          <w:tcPr>
            <w:tcW w:w="5944"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6"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3" w:type="dxa"/>
            <w:tcBorders/>
            <w:shd w:fill="auto" w:val="clear"/>
            <w:vAlign w:val="bottom"/>
          </w:tcPr>
          <w:p>
            <w:pPr>
              <w:pStyle w:val="TableContents"/>
              <w:spacing w:before="0" w:after="283"/>
              <w:jc w:val="left"/>
              <w:rPr/>
            </w:pPr>
            <w:r>
              <w:rPr/>
              <w:t> </w:t>
            </w:r>
          </w:p>
        </w:tc>
      </w:tr>
      <w:tr>
        <w:trPr/>
        <w:tc>
          <w:tcPr>
            <w:tcW w:w="5944"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6"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3" w:type="dxa"/>
            <w:tcBorders/>
            <w:shd w:fill="auto" w:val="clear"/>
            <w:vAlign w:val="bottom"/>
          </w:tcPr>
          <w:p>
            <w:pPr>
              <w:pStyle w:val="TableContents"/>
              <w:spacing w:before="0" w:after="283"/>
              <w:jc w:val="left"/>
              <w:rPr/>
            </w:pPr>
            <w:r>
              <w:rPr/>
              <w:t> </w:t>
            </w:r>
          </w:p>
        </w:tc>
      </w:tr>
      <w:tr>
        <w:trPr/>
        <w:tc>
          <w:tcPr>
            <w:tcW w:w="5944"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715" w:type="dxa"/>
            <w:gridSpan w:val="7"/>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Quarters Ended June 30,</w:t>
            </w:r>
          </w:p>
        </w:tc>
        <w:tc>
          <w:tcPr>
            <w:tcW w:w="104"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w:t>
            </w:r>
          </w:p>
        </w:tc>
        <w:tc>
          <w:tcPr>
            <w:tcW w:w="123" w:type="dxa"/>
            <w:tcBorders/>
            <w:shd w:fill="auto" w:val="clear"/>
            <w:vAlign w:val="bottom"/>
          </w:tcPr>
          <w:p>
            <w:pPr>
              <w:pStyle w:val="TableContents"/>
              <w:spacing w:before="0" w:after="283"/>
              <w:jc w:val="left"/>
              <w:rPr/>
            </w:pPr>
            <w:r>
              <w:rPr/>
              <w:t> </w:t>
            </w:r>
          </w:p>
        </w:tc>
      </w:tr>
      <w:tr>
        <w:trPr/>
        <w:tc>
          <w:tcPr>
            <w:tcW w:w="5944"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9"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3" w:type="dxa"/>
            <w:tcBorders/>
            <w:shd w:fill="auto" w:val="clear"/>
            <w:vAlign w:val="bottom"/>
          </w:tcPr>
          <w:p>
            <w:pPr>
              <w:pStyle w:val="TableContents"/>
              <w:spacing w:before="0" w:after="283"/>
              <w:jc w:val="left"/>
              <w:rPr/>
            </w:pPr>
            <w:r>
              <w:rPr/>
              <w:t> </w:t>
            </w:r>
          </w:p>
        </w:tc>
      </w:tr>
      <w:tr>
        <w:trPr/>
        <w:tc>
          <w:tcPr>
            <w:tcW w:w="594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4" w:type="dxa"/>
            <w:tcBorders/>
            <w:shd w:fill="auto" w:val="clear"/>
            <w:vAlign w:val="bottom"/>
          </w:tcPr>
          <w:p>
            <w:pPr>
              <w:pStyle w:val="TableContents"/>
              <w:spacing w:before="0" w:after="283"/>
              <w:rPr/>
            </w:pPr>
            <w:r>
              <w:rPr/>
              <w:t> </w:t>
            </w:r>
          </w:p>
        </w:tc>
        <w:tc>
          <w:tcPr>
            <w:tcW w:w="1196"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12,963,100</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Collaboration revenue</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2,283,600</w:t>
            </w:r>
          </w:p>
        </w:tc>
        <w:tc>
          <w:tcPr>
            <w:tcW w:w="123" w:type="dxa"/>
            <w:tcBorders/>
            <w:shd w:fill="FFFFFF"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1,123,500</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revenues</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9"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16,370,200</w:t>
            </w:r>
          </w:p>
        </w:tc>
        <w:tc>
          <w:tcPr>
            <w:tcW w:w="123" w:type="dxa"/>
            <w:tcBorders/>
            <w:shd w:fill="FFFFFF"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695,500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866,300</w:t>
            </w:r>
          </w:p>
        </w:tc>
        <w:tc>
          <w:tcPr>
            <w:tcW w:w="109"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30,251,200</w:t>
            </w:r>
          </w:p>
        </w:tc>
        <w:tc>
          <w:tcPr>
            <w:tcW w:w="123" w:type="dxa"/>
            <w:tcBorders/>
            <w:shd w:fill="FFFFFF"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Acquired in-process research and development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604,600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1,055,300</w:t>
            </w:r>
          </w:p>
        </w:tc>
        <w:tc>
          <w:tcPr>
            <w:tcW w:w="109"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31,285,700</w:t>
            </w:r>
          </w:p>
        </w:tc>
        <w:tc>
          <w:tcPr>
            <w:tcW w:w="123" w:type="dxa"/>
            <w:tcBorders/>
            <w:shd w:fill="FFFFFF"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1,300,100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1,921,600</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69,060,100</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(1,300,100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(1,721,200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(52,689,900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(316,400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(102,800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(10,678,600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warrant and put and note extension option liabilities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1,804,900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587,600</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(4,761,300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income</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81,900</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(loss) before income taxes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188,400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(1,824,000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(67,460,300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(2,700</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(23,200</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185,700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(1,825,900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(67,483,500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4"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net income (loss) per share</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Diluted net loss per share</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8763" w:type="dxa"/>
            <w:gridSpan w:val="9"/>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used in computing:</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Basic net income (loss) per share</w:t>
            </w:r>
          </w:p>
        </w:tc>
        <w:tc>
          <w:tcPr>
            <w:tcW w:w="10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20,839,941</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16,842,655</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Diluted net loss per share</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21,229,190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16,842,655</w:t>
            </w:r>
          </w:p>
        </w:tc>
        <w:tc>
          <w:tcPr>
            <w:tcW w:w="109"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44" w:type="dxa"/>
            <w:tcBorders/>
            <w:shd w:fill="CCEEFF" w:val="clear"/>
            <w:vAlign w:val="bottom"/>
          </w:tcPr>
          <w:p>
            <w:pPr>
              <w:pStyle w:val="TableContents"/>
              <w:spacing w:before="0" w:after="0"/>
              <w:ind w:left="0" w:right="0" w:hanging="0"/>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4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Comprehensive income (loss)</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185,700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(1,825,900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(67,483,500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2" w:name="GLHDR2"/>
        <w:bookmarkEnd w:id="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33" w:name="cfj"/>
      <w:bookmarkEnd w:id="3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Dollars)</w:t>
      </w:r>
    </w:p>
    <w:tbl>
      <w:tblPr>
        <w:tblW w:w="5000" w:type="pct"/>
        <w:jc w:val="left"/>
        <w:tblInd w:w="0" w:type="dxa"/>
        <w:tblCellMar>
          <w:top w:w="0" w:type="dxa"/>
          <w:left w:w="0" w:type="dxa"/>
          <w:bottom w:w="0" w:type="dxa"/>
          <w:right w:w="0" w:type="dxa"/>
        </w:tblCellMar>
      </w:tblPr>
      <w:tblGrid>
        <w:gridCol w:w="5970"/>
        <w:gridCol w:w="105"/>
        <w:gridCol w:w="125"/>
        <w:gridCol w:w="1057"/>
        <w:gridCol w:w="111"/>
        <w:gridCol w:w="105"/>
        <w:gridCol w:w="125"/>
        <w:gridCol w:w="1057"/>
        <w:gridCol w:w="111"/>
        <w:gridCol w:w="104"/>
        <w:gridCol w:w="125"/>
        <w:gridCol w:w="1089"/>
        <w:gridCol w:w="121"/>
      </w:tblGrid>
      <w:tr>
        <w:trPr/>
        <w:tc>
          <w:tcPr>
            <w:tcW w:w="597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tc>
        <w:tc>
          <w:tcPr>
            <w:tcW w:w="121" w:type="dxa"/>
            <w:tcBorders/>
            <w:shd w:fill="auto" w:val="clear"/>
            <w:vAlign w:val="bottom"/>
          </w:tcPr>
          <w:p>
            <w:pPr>
              <w:pStyle w:val="TableContents"/>
              <w:spacing w:before="0" w:after="283"/>
              <w:jc w:val="left"/>
              <w:rPr/>
            </w:pPr>
            <w:r>
              <w:rPr/>
              <w:t> </w:t>
            </w:r>
          </w:p>
        </w:tc>
      </w:tr>
      <w:tr>
        <w:trPr/>
        <w:tc>
          <w:tcPr>
            <w:tcW w:w="597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1" w:type="dxa"/>
            <w:tcBorders/>
            <w:shd w:fill="auto" w:val="clear"/>
            <w:vAlign w:val="bottom"/>
          </w:tcPr>
          <w:p>
            <w:pPr>
              <w:pStyle w:val="TableContents"/>
              <w:spacing w:before="0" w:after="283"/>
              <w:jc w:val="left"/>
              <w:rPr/>
            </w:pPr>
            <w:r>
              <w:rPr/>
              <w:t> </w:t>
            </w:r>
          </w:p>
        </w:tc>
      </w:tr>
      <w:tr>
        <w:trPr/>
        <w:tc>
          <w:tcPr>
            <w:tcW w:w="597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2580" w:type="dxa"/>
            <w:gridSpan w:val="6"/>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1" w:type="dxa"/>
            <w:tcBorders/>
            <w:shd w:fill="auto" w:val="clear"/>
            <w:vAlign w:val="bottom"/>
          </w:tcPr>
          <w:p>
            <w:pPr>
              <w:pStyle w:val="TableContents"/>
              <w:spacing w:before="0" w:after="283"/>
              <w:jc w:val="left"/>
              <w:rPr/>
            </w:pPr>
            <w:r>
              <w:rPr/>
              <w:t> </w:t>
            </w:r>
          </w:p>
        </w:tc>
      </w:tr>
      <w:tr>
        <w:trPr/>
        <w:tc>
          <w:tcPr>
            <w:tcW w:w="597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258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Quarters Ended</w:t>
            </w:r>
          </w:p>
          <w:p>
            <w:pPr>
              <w:pStyle w:val="TableContents"/>
              <w:spacing w:before="0" w:after="0"/>
              <w:jc w:val="center"/>
              <w:rPr>
                <w:rFonts w:ascii="times new roman" w:hAnsi="times new roman"/>
                <w:b/>
                <w:sz w:val="20"/>
              </w:rPr>
            </w:pPr>
            <w:r>
              <w:rPr>
                <w:rFonts w:ascii="times new roman" w:hAnsi="times new roman"/>
                <w:b/>
                <w:sz w:val="20"/>
              </w:rPr>
              <w:t>June 30,</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June 30, </w:t>
            </w:r>
          </w:p>
        </w:tc>
        <w:tc>
          <w:tcPr>
            <w:tcW w:w="121" w:type="dxa"/>
            <w:tcBorders/>
            <w:shd w:fill="auto" w:val="clear"/>
            <w:vAlign w:val="bottom"/>
          </w:tcPr>
          <w:p>
            <w:pPr>
              <w:pStyle w:val="TableContents"/>
              <w:spacing w:before="0" w:after="283"/>
              <w:jc w:val="left"/>
              <w:rPr/>
            </w:pPr>
            <w:r>
              <w:rPr/>
              <w:t> </w:t>
            </w:r>
          </w:p>
        </w:tc>
      </w:tr>
      <w:tr>
        <w:trPr/>
        <w:tc>
          <w:tcPr>
            <w:tcW w:w="597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1" w:type="dxa"/>
            <w:tcBorders/>
            <w:shd w:fill="auto" w:val="clear"/>
            <w:vAlign w:val="bottom"/>
          </w:tcPr>
          <w:p>
            <w:pPr>
              <w:pStyle w:val="TableContents"/>
              <w:spacing w:before="0" w:after="283"/>
              <w:jc w:val="left"/>
              <w:rPr/>
            </w:pPr>
            <w:r>
              <w:rPr/>
              <w:t> </w:t>
            </w:r>
          </w:p>
        </w:tc>
      </w:tr>
      <w:tr>
        <w:trPr/>
        <w:tc>
          <w:tcPr>
            <w:tcW w:w="5970"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Cash flows from operating activities:</w:t>
            </w:r>
          </w:p>
        </w:tc>
        <w:tc>
          <w:tcPr>
            <w:tcW w:w="105"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income (loss)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185,700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(1,825,900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(67,483,500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084" w:type="dxa"/>
            <w:gridSpan w:val="12"/>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income (loss) to net cash used in operating activities:</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Depreciation and amortization</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789,700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Acquired in-process research and development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imputed discount on non-interest bearing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discounts on 7%, 7.5% and 10% notes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20,900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551,700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discounts on Platinum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3,578,100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discounts on August 2010 short-term notes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572,000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discounts on February 2012 12% convertible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(gain) on currency fluctuation</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17,400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(55,500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4,761,300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settlements of accounts payable</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Change in warrant and put and note term extension option liabilities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(1,804,900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(587,700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198,100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5,793,700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Expense related to modification of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436,400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1,215,400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Fair value of Series C preferred stock, common stock, and warrants granted for services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925,400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common stock granted for services prior to the Merger</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2,225,500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common stock granted for services following the Merger</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792,000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warrants granted for services and interest following the Merger</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770,800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 xml:space="preserve">Fair value of additional warrants granted pursuant to exercises of modified warrants </w:t>
            </w:r>
          </w:p>
          <w:p>
            <w:pPr>
              <w:pStyle w:val="TableContents"/>
              <w:spacing w:before="0" w:after="0"/>
              <w:ind w:left="720" w:right="0" w:hanging="720"/>
              <w:jc w:val="left"/>
              <w:rPr>
                <w:rFonts w:ascii="times new roman" w:hAnsi="times new roman"/>
                <w:sz w:val="20"/>
              </w:rPr>
            </w:pPr>
            <w:r>
              <w:rPr>
                <w:rFonts w:ascii="times new roman" w:hAnsi="times new roman"/>
                <w:sz w:val="20"/>
              </w:rPr>
              <w:t>(fiscal year 2013) and under Discounted Warrant Exercise Program (fiscal year 2012)</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34,800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174,000</w:t>
            </w:r>
          </w:p>
        </w:tc>
        <w:tc>
          <w:tcPr>
            <w:tcW w:w="121" w:type="dxa"/>
            <w:tcBorders/>
            <w:shd w:fill="FFFFFF" w:val="clear"/>
            <w:vAlign w:val="bottom"/>
          </w:tcPr>
          <w:p>
            <w:pPr>
              <w:pStyle w:val="TableContents"/>
              <w:spacing w:before="0" w:after="283"/>
              <w:jc w:val="left"/>
              <w:rPr/>
            </w:pPr>
            <w:r>
              <w:rPr/>
              <w:t> </w:t>
            </w:r>
          </w:p>
        </w:tc>
      </w:tr>
      <w:tr>
        <w:trPr/>
        <w:tc>
          <w:tcPr>
            <w:tcW w:w="7257" w:type="dxa"/>
            <w:gridSpan w:val="4"/>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Fair value of common stock issued for note term modification</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income on note receivable for stock purchase</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Consulting services by related parties settled by issuing promissory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Gain on sale of assets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Unbilled contract payments receivable</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 and accrued expenses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616,300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871,600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16,587,800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Deferred revenues</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cash used in operating activities</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(731,800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(296,200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(21,703,500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flows from investing activities: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Purchases of equipment, net</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(825,800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cash used in investing activities</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(825,800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flows from financing activities: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common stock and warrants, including units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4,042,100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preferred stock and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4,198,600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exercise of modified warrants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178,700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257,300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1,607,100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notes under line of credit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7% note payable to founding stockholder</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7% convertible notes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575,000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10% convertible notes and warrants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1,655,000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Platinum notes and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6,922,100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2008/2010 notes and warrants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2,971,800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2006/2007 notes and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1,025,000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7% notes payable</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August 2010 short-term notes and warrants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February 2012 12% convertible notes and warrants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466,500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Repayment of capital lease obligations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(119,300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Repayment of notes</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(40,700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(1,869,800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cash provided by financing activities</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193,100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246,900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22,619,100</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increase (decrease) in cash and cash equivalents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(548,300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(49,300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89,800</w:t>
            </w:r>
          </w:p>
        </w:tc>
        <w:tc>
          <w:tcPr>
            <w:tcW w:w="121" w:type="dxa"/>
            <w:tcBorders/>
            <w:shd w:fill="FFFFFF" w:val="clear"/>
            <w:vAlign w:val="bottom"/>
          </w:tcPr>
          <w:p>
            <w:pPr>
              <w:pStyle w:val="TableContents"/>
              <w:spacing w:before="0" w:after="283"/>
              <w:jc w:val="left"/>
              <w:rPr/>
            </w:pPr>
            <w:r>
              <w:rPr/>
              <w:t> </w:t>
            </w:r>
          </w:p>
        </w:tc>
      </w:tr>
      <w:tr>
        <w:trPr/>
        <w:tc>
          <w:tcPr>
            <w:tcW w:w="597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at beginning of period</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638,100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597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at end of period</w:t>
            </w:r>
          </w:p>
        </w:tc>
        <w:tc>
          <w:tcPr>
            <w:tcW w:w="10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89,800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31,700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89,800</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 w:name="PGBRK3"/>
      <w:bookmarkStart w:id="35" w:name="PGBRK3"/>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FTR3"/>
      <w:bookmarkStart w:id="37" w:name="FTR3"/>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 w:name="GLFTR3"/>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 w:name="PN3"/>
      <w:bookmarkEnd w:id="39"/>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HDR3"/>
      <w:bookmarkStart w:id="41" w:name="HD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2" w:name="GLHDR3"/>
        <w:bookmarkEnd w:id="4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43" w:name="notesj"/>
      <w:bookmarkEnd w:id="4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History and Organization</w:t>
      </w:r>
    </w:p>
    <w:p>
      <w:pPr>
        <w:pStyle w:val="TextBody"/>
        <w:spacing w:before="0" w:after="0"/>
        <w:ind w:left="0" w:right="0" w:hanging="0"/>
        <w:rPr/>
      </w:pPr>
      <w:r>
        <w:rPr/>
      </w:r>
    </w:p>
    <w:p>
      <w:pPr>
        <w:pStyle w:val="TextBody"/>
        <w:spacing w:before="0" w:after="0"/>
        <w:ind w:left="0" w:right="0" w:firstLine="900"/>
        <w:jc w:val="both"/>
        <w:rPr>
          <w:rFonts w:ascii="Times New Roman" w:hAnsi="Times New Roman"/>
          <w:sz w:val="20"/>
        </w:rPr>
      </w:pPr>
      <w:r>
        <w:rPr>
          <w:rFonts w:ascii="Times New Roman" w:hAnsi="Times New Roman"/>
          <w:sz w:val="20"/>
        </w:rPr>
        <w:t>VistaGen Therapeutics, Inc., a Nevada corporation (“</w:t>
      </w:r>
      <w:r>
        <w:rPr>
          <w:rFonts w:ascii="Times New Roman" w:hAnsi="Times New Roman"/>
          <w:i/>
          <w:sz w:val="20"/>
        </w:rPr>
        <w:t>VistaGen</w:t>
      </w:r>
      <w:r>
        <w:rPr>
          <w:rFonts w:ascii="Times New Roman" w:hAnsi="Times New Roman"/>
          <w:sz w:val="20"/>
        </w:rPr>
        <w:t>” or the “</w:t>
      </w:r>
      <w:r>
        <w:rPr>
          <w:rFonts w:ascii="Times New Roman" w:hAnsi="Times New Roman"/>
          <w:i/>
          <w:sz w:val="20"/>
        </w:rPr>
        <w:t>Compan</w:t>
      </w:r>
      <w:r>
        <w:rPr>
          <w:rFonts w:ascii="Times New Roman" w:hAnsi="Times New Roman"/>
          <w:sz w:val="20"/>
        </w:rPr>
        <w:t>y”), is a biotechnology company with expertise in human pluripotent stem cell technology (“</w:t>
      </w:r>
      <w:r>
        <w:rPr>
          <w:rFonts w:ascii="Times New Roman" w:hAnsi="Times New Roman"/>
          <w:i/>
          <w:sz w:val="20"/>
        </w:rPr>
        <w:t>hPSC technology</w:t>
      </w:r>
      <w:r>
        <w:rPr>
          <w:rFonts w:ascii="Times New Roman" w:hAnsi="Times New Roman"/>
          <w:sz w:val="20"/>
        </w:rPr>
        <w:t xml:space="preserve">”).  The Company is currently applying its hPSC technology for drug rescue, predictive toxicology and drug metabolism screening. The Company’s primary goal is to use its hPSC technology platform, which it also refers to as </w:t>
      </w:r>
      <w:r>
        <w:rPr>
          <w:rFonts w:ascii="Times New Roman" w:hAnsi="Times New Roman"/>
          <w:i/>
          <w:sz w:val="20"/>
        </w:rPr>
        <w:t>Human Clinical Trials in a Test Tube</w:t>
      </w:r>
      <w:r>
        <w:rPr>
          <w:rFonts w:ascii="Times New Roman" w:hAnsi="Times New Roman"/>
          <w:sz w:val="20"/>
        </w:rPr>
        <w:t>™, and the novel pharmaceutical assay systems developed using its hPSC technology expertise and its network of strategic relationships, to generate novel, proprietary, safer variants (Drug Rescue Variants) of once-promising small molecule drug candidates originally discovered, developed and ultimately discontinued by large pharmaceutical or biotechnology companies prior to market approval due to unexpected safety concerns relating to heart toxicity, liver toxicity or adverse drug-drug interactions.  The Company’s strategy is to leverage substantial prior third-party investment in drug discovery and drug development and to generate early indications, or predictions, of how humans will ultimately respond to new drug candidates, including Drug Rescue Variants, before they are ever tested in humans, bringing human biology to the front end of the drug development process.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VistaGen's orally-available, small molecule prodrug candidate, AV-101, has successfully completed Phase 1 development in the Unites States for treatment of neuropathic pain. Neuropathic pain, a serious and chronic condition causing pain after an injury or disease of the peripheral or central nervous system, affects millions of people worldwide. The NIH awarded VistaGen approximately $8.8 million for preclinical and clinical development of AV-101.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 is in the development stage and, since inception, has devoted substantially all of its time and efforts to hPSC research and bioassay development, small molecule drug development, creating, protecting and patenting intellectual property, recruiting personnel and raising working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 Therapeutics, Inc., a California corporation incorporated on May 26, 1998 (“</w:t>
      </w:r>
      <w:r>
        <w:rPr>
          <w:rFonts w:ascii="Times New Roman" w:hAnsi="Times New Roman"/>
          <w:i/>
          <w:sz w:val="20"/>
        </w:rPr>
        <w:t>VistaGen California</w:t>
      </w:r>
      <w:r>
        <w:rPr>
          <w:rFonts w:ascii="Times New Roman" w:hAnsi="Times New Roman"/>
          <w:sz w:val="20"/>
        </w:rPr>
        <w:t>”), is a wholly-owned subsidiary of the Company.  As described more completely in the Company’s Annual Report on Form 10-K for the fiscal year ended March 31, 2013, pursuant to a strategic merger transaction on May 11, 2011, the Company acquired all outstanding shares of VistaGen California in exchange for 6,836,452 shares of the Company’s common stock (the “</w:t>
      </w:r>
      <w:r>
        <w:rPr>
          <w:rFonts w:ascii="Times New Roman" w:hAnsi="Times New Roman"/>
          <w:i/>
          <w:sz w:val="20"/>
        </w:rPr>
        <w:t>Merger</w:t>
      </w:r>
      <w:r>
        <w:rPr>
          <w:rFonts w:ascii="Times New Roman" w:hAnsi="Times New Roman"/>
          <w:sz w:val="20"/>
        </w:rPr>
        <w:t>”), and assumed all of VistaGen California’s pre-Merger obligations. The Condensed Consolidated Financial Statements of the Company included in this report also include the accounts of VistaGen California’s two wholly-owned subsidiaries, Artemis Neuroscience, Inc., a Maryland corporation, and VistaStem Canada, Inc., a corporation organized under the laws of Ontario, Canada.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2.  Basis of Presentation and Going Concern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w:t>
      </w:r>
      <w:r>
        <w:rPr>
          <w:rFonts w:ascii="Times New Roman" w:hAnsi="Times New Roman"/>
          <w:i/>
          <w:sz w:val="20"/>
        </w:rPr>
        <w:t>U.S. GAAP</w:t>
      </w:r>
      <w:r>
        <w:rPr>
          <w:rFonts w:ascii="Times New Roman" w:hAnsi="Times New Roman"/>
          <w:sz w:val="20"/>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2013 has been derived from the Company's audited consolidated financial statements at that date but do not include all disclosures required by U.S. GAAP.  The operating results for quarter ended June 30, 2013 are not necessarily indicative of the operating results to be expected for the Company's fiscal year ending March 31, 2014 or for any other interim period or any other future period.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accompanying unaudited Condensed Consolidated Financial Statements and notes to Condensed Consolidated Financial Statements should be read in conjunction with the Company’s audited Consolidated Financial Statements for the fiscal year ended March 31, 2013 contained in its Annual Report on Form 10-K, as filed with the United States Securities and Exchange Commission (“</w:t>
      </w:r>
      <w:r>
        <w:rPr>
          <w:rFonts w:ascii="Times New Roman" w:hAnsi="Times New Roman"/>
          <w:i/>
          <w:sz w:val="20"/>
        </w:rPr>
        <w:t>SEC</w:t>
      </w:r>
      <w:r>
        <w:rPr>
          <w:rFonts w:ascii="Times New Roman" w:hAnsi="Times New Roman"/>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 w:name="PGBRK4"/>
      <w:bookmarkStart w:id="45" w:name="PGBRK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FTR4"/>
      <w:bookmarkStart w:id="47" w:name="FTR4"/>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 w:name="GLFTR4"/>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 w:name="PN4"/>
      <w:bookmarkEnd w:id="49"/>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 w:name="HDR4"/>
      <w:bookmarkStart w:id="51" w:name="HDR4"/>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52" w:name="GLHDR4"/>
        <w:bookmarkEnd w:id="5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June 30, 2013, the Company has a deficit accumulated during its development stage of $67.5 million. The Company expects these conditions to continue for the foreseeable future as it expands its </w:t>
      </w:r>
      <w:r>
        <w:rPr>
          <w:rFonts w:ascii="Times New Roman" w:hAnsi="Times New Roman"/>
          <w:i/>
          <w:sz w:val="20"/>
        </w:rPr>
        <w:t>Human Clinical Trials in a Test Tube</w:t>
      </w:r>
      <w:r>
        <w:rPr>
          <w:rFonts w:ascii="Times New Roman" w:hAnsi="Times New Roman"/>
          <w:sz w:val="20"/>
        </w:rPr>
        <w:t>™ platform and executes its drug rescue and regenerative cell therapy business programs.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At June 30, 2013, the Company had approximately $89,800 in cash and cash equivalents. Such cash and cash equivalents are not sufficient to enable the Company to fund its planned operations, including expected cash expenditures of approximately $5 million through the next twelve months. However, on April 8, 2013, the Company entered into a Securities Purchase Agreement with Autilion AG, a company organized and existing under the laws of Switzerland (“</w:t>
      </w:r>
      <w:r>
        <w:rPr>
          <w:rFonts w:ascii="Times New Roman" w:hAnsi="Times New Roman"/>
          <w:i/>
          <w:sz w:val="20"/>
        </w:rPr>
        <w:t>Autilion</w:t>
      </w:r>
      <w:r>
        <w:rPr>
          <w:rFonts w:ascii="Times New Roman" w:hAnsi="Times New Roman"/>
          <w:sz w:val="20"/>
        </w:rPr>
        <w:t>”), which was subsequently amended (the “</w:t>
      </w:r>
      <w:r>
        <w:rPr>
          <w:rFonts w:ascii="Times New Roman" w:hAnsi="Times New Roman"/>
          <w:i/>
          <w:sz w:val="20"/>
        </w:rPr>
        <w:t>Amended Purchase Agreement</w:t>
      </w:r>
      <w:r>
        <w:rPr>
          <w:rFonts w:ascii="Times New Roman" w:hAnsi="Times New Roman"/>
          <w:sz w:val="20"/>
        </w:rPr>
        <w:t>”). Under the terms of the Amended Purchase Agreement, Autilion is contractually obligated to purchase an aggregate of 72.0 million restricted shares of the Company’s common stock at a purchase price of $0.50 per share for aggregate cash consideration of $36.0 million, in a series of tranches between June 27, 2013 and September 30, 2013 (cumulatively, the “</w:t>
      </w:r>
      <w:r>
        <w:rPr>
          <w:rFonts w:ascii="Times New Roman" w:hAnsi="Times New Roman"/>
          <w:i/>
          <w:sz w:val="20"/>
        </w:rPr>
        <w:t>Autilion Financing</w:t>
      </w:r>
      <w:r>
        <w:rPr>
          <w:rFonts w:ascii="Times New Roman" w:hAnsi="Times New Roman"/>
          <w:sz w:val="20"/>
        </w:rPr>
        <w:t xml:space="preserve">”).  The Amended Purchase Agreement also provides for the election to the Company’s Board of Directors of a designee of Autilion upon completion of the Autilion Financing.  At June 30, the Company had completed an initial closing of $25,000 and issued 50,000 shares of its common stock under the Autilion Financing. In addition, from June 30, 2013 through the date of this report, the Company completed private placements of its securities resulting in aggregate cash proceeds of $535,500, as described in Note 11,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To the extent necessary, the Company may also seek to meet its cash needs and fund its working capital requirements through a combination of additional private placements of its securities, which may include both debt and equity securities issued to Platinum Long Term Growth Fund VII (“</w:t>
      </w:r>
      <w:r>
        <w:rPr>
          <w:rFonts w:ascii="Times New Roman" w:hAnsi="Times New Roman"/>
          <w:i/>
          <w:sz w:val="20"/>
        </w:rPr>
        <w:t>Platinum</w:t>
      </w:r>
      <w:r>
        <w:rPr>
          <w:rFonts w:ascii="Times New Roman" w:hAnsi="Times New Roman"/>
          <w:sz w:val="20"/>
        </w:rPr>
        <w:t>”), currently its largest institutional investor, and/or other investors, stem cell technology-based research and development collaborations, stem cell technology and drug candidate license fees and government grant awards. Additionally, the Company expects that its participation in strategic collaborations, including licensing transactions, may provide additional cash in support of its future working capital requirements.  If the Company is unable to complete the Autilion Financing under the Amended Purchase Agreement or obtain sufficient financing from other sources, it may be required to reduce, defer, or discontinue certain of its research and development activities or it may not be able to continue as a going concern.  </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Revenue Recognition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generates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5"/>
      <w:bookmarkStart w:id="54" w:name="PGBRK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FTR5"/>
      <w:bookmarkStart w:id="56" w:name="FT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7" w:name="GLFTR5"/>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 w:name="PN5"/>
      <w:bookmarkEnd w:id="5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5"/>
      <w:bookmarkStart w:id="60" w:name="HDR5"/>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1" w:name="GLHDR5"/>
        <w:bookmarkEnd w:id="6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pStyle w:val="TextBody"/>
        <w:spacing w:before="0" w:after="0"/>
        <w:ind w:left="0" w:right="0" w:hanging="0"/>
        <w:rPr/>
      </w:pPr>
      <w:r>
        <w:rPr/>
      </w:r>
    </w:p>
    <w:p>
      <w:pPr>
        <w:pStyle w:val="Normal"/>
        <w:spacing w:before="0" w:after="0"/>
        <w:rPr>
          <w:sz w:val="4"/>
          <w:szCs w:val="4"/>
        </w:rPr>
      </w:pPr>
      <w:r>
        <w:rPr>
          <w:sz w:val="4"/>
          <w:szCs w:val="4"/>
        </w:rPr>
      </w:r>
      <w:bookmarkStart w:id="62" w:name="hangingindent"/>
      <w:bookmarkStart w:id="63" w:name="hangingindent"/>
      <w:bookmarkEnd w:id="63"/>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spacing w:before="0" w:after="0"/>
        <w:ind w:left="0" w:right="0" w:hanging="0"/>
        <w:rPr/>
      </w:pPr>
      <w:r>
        <w:rPr/>
      </w:r>
    </w:p>
    <w:p>
      <w:pPr>
        <w:pStyle w:val="Normal"/>
        <w:spacing w:before="0" w:after="0"/>
        <w:rPr>
          <w:sz w:val="4"/>
          <w:szCs w:val="4"/>
        </w:rPr>
      </w:pPr>
      <w:r>
        <w:rPr>
          <w:sz w:val="4"/>
          <w:szCs w:val="4"/>
        </w:rPr>
      </w:r>
      <w:bookmarkStart w:id="64" w:name="hangingindent1"/>
      <w:bookmarkStart w:id="65" w:name="hangingindent1"/>
      <w:bookmarkEnd w:id="65"/>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66" w:name="hangingindent2"/>
      <w:bookmarkStart w:id="67" w:name="hangingindent2"/>
      <w:bookmarkEnd w:id="67"/>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Government grants, which support the Company’s research efforts on specific projects, generally provide for reimbursement of approved costs as defined in the terms of grant awards. Grant revenue is recognized when associated project costs are incurred.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Research and development expenses include internal and external costs.  Internal costs include salaries and employment related expenses of scientific personnel and direct project costs.  External research and development expenses consist primarily of sponsored stem cell research and development costs, costs associated with clinical and non-clinical development of AV-101, the Company’s small molecule prodrug candidate for neuropathic pain and other neurological conditions, and costs related to the application and prosecution of patents related to the Company’s hPSC technology, </w:t>
      </w:r>
      <w:r>
        <w:rPr>
          <w:rFonts w:ascii="Times New Roman" w:hAnsi="Times New Roman"/>
          <w:i/>
          <w:sz w:val="20"/>
        </w:rPr>
        <w:t>Human Clinical Trials in a Test Tube</w:t>
      </w:r>
      <w:r>
        <w:rPr>
          <w:rFonts w:ascii="Times New Roman" w:hAnsi="Times New Roman"/>
          <w:sz w:val="20"/>
        </w:rPr>
        <w:t>™, and AV-101. All such costs are charged to expense as incurred.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Share-Based Compensation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recognizes compensation cost for all share-based awards to employees based on the grant date fair value of the award.  Share-based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recorded share-based compensation costs of $97,800 and $71,000 related to option grants for the three month periods ended June 30, 2013 and 2012, respectively.  The Company recorded additional share-based compensation costs of $100,300 for the three months ended June 30, 2013 related to warrants granted to certain of its officers and to its independent directors in March 2013. During the three months ended June 30, 2013, the Company granted options to purchase an aggregate of 80,000 shares at exercise prices from $0.80 per share to $0.82 per share (the quoted market price on the grant date) to two employees and a consultant. During the three months ended June 30, 2012, the Company granted options to purchase an aggregate of 155,000 shares at an exercise price of $0.51 per share (the quoted market price on the grant date) to certain employees (excluding senior management) and certain scientific consultants. At June 30, 2013, there were options outstanding to purchase 4,816,771 shares of the Company’s common stock at a weighted average exercise price of $1.30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 w:name="PGBRK6"/>
      <w:bookmarkStart w:id="69" w:name="PGBRK6"/>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FTR6"/>
      <w:bookmarkStart w:id="71" w:name="FTR6"/>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2" w:name="GLFTR6"/>
      <w:bookmarkEnd w:id="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 w:name="PN6"/>
      <w:bookmarkEnd w:id="7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HDR6"/>
      <w:bookmarkStart w:id="75" w:name="HDR6"/>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6" w:name="GLHDR6"/>
        <w:bookmarkEnd w:id="7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Warrant Liability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Company has issued certain warrants to Platinum and, subject to Platinum’s exercise of its rights to exchange shares of the Company’s Series A Preferred stock that it holds, is obligated to issue additional warrants to Platinum, that contain an exercise price adjustment feature in the event the Company issues additional equity instruments at a price lower than the exercise price of the warrants. The Company accounts for these warrants as non-cash liabilities and estimates their fair value as described in Note 4, </w:t>
      </w:r>
      <w:r>
        <w:rPr>
          <w:rFonts w:ascii="Times New Roman" w:hAnsi="Times New Roman"/>
          <w:i/>
          <w:sz w:val="20"/>
        </w:rPr>
        <w:t xml:space="preserve">Fair Value Measurements; </w:t>
      </w:r>
      <w:r>
        <w:rPr>
          <w:rFonts w:ascii="Times New Roman" w:hAnsi="Times New Roman"/>
          <w:sz w:val="20"/>
        </w:rPr>
        <w:t xml:space="preserve">Note 7, </w:t>
      </w:r>
      <w:r>
        <w:rPr>
          <w:rFonts w:ascii="Times New Roman" w:hAnsi="Times New Roman"/>
          <w:i/>
          <w:sz w:val="20"/>
        </w:rPr>
        <w:t>Convertible Promissory Notes and Other Notes Payable</w:t>
      </w:r>
      <w:r>
        <w:rPr>
          <w:rFonts w:ascii="Times New Roman" w:hAnsi="Times New Roman"/>
          <w:sz w:val="20"/>
        </w:rPr>
        <w:t>, and Note 9</w:t>
      </w:r>
      <w:r>
        <w:rPr>
          <w:rFonts w:ascii="Times New Roman" w:hAnsi="Times New Roman"/>
          <w:i/>
          <w:sz w:val="20"/>
        </w:rPr>
        <w:t>, Capital Stock</w:t>
      </w:r>
      <w:r>
        <w:rPr>
          <w:rFonts w:ascii="Times New Roman" w:hAnsi="Times New Roman"/>
          <w:sz w:val="20"/>
        </w:rPr>
        <w:t>. The Company computes the fair value of the warrant liability at each reporting period and the change in the 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(loss) is therefore also subject to significant fluctuation and will continue to be so until all of the warrants are issued and exercised, amended or expire. Assuming all other fair value inputs remain generally constant, the Company will record non-cash expense when its stock price increases and non-cash income when its stock price decreases.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Comprehensive Income (Loss)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has no components of other comprehensive income (loss) other than net income (loss), and accordingly the Company’s comprehensive income (loss) is equivalent to its net income (loss) for the periods presented.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Income (Loss) per Common Share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the numerator is adjusted for the change in the fair value of the warrant liability (only if dilutive) and the denominator is increased to include the number of potentially dilutive common shares assumed to be outstanding during the period using the treasury stock method.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Basic net income (loss) and diluted net loss per share were computed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44"/>
        <w:gridCol w:w="107"/>
        <w:gridCol w:w="125"/>
        <w:gridCol w:w="1081"/>
        <w:gridCol w:w="113"/>
        <w:gridCol w:w="107"/>
        <w:gridCol w:w="125"/>
        <w:gridCol w:w="1081"/>
        <w:gridCol w:w="122"/>
      </w:tblGrid>
      <w:tr>
        <w:trPr/>
        <w:tc>
          <w:tcPr>
            <w:tcW w:w="7344"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6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Quarters Ended June 30,</w:t>
            </w:r>
          </w:p>
        </w:tc>
        <w:tc>
          <w:tcPr>
            <w:tcW w:w="122" w:type="dxa"/>
            <w:tcBorders/>
            <w:shd w:fill="auto" w:val="clear"/>
            <w:vAlign w:val="bottom"/>
          </w:tcPr>
          <w:p>
            <w:pPr>
              <w:pStyle w:val="TableContents"/>
              <w:spacing w:before="0" w:after="283"/>
              <w:jc w:val="left"/>
              <w:rPr/>
            </w:pPr>
            <w:r>
              <w:rPr/>
              <w:t> </w:t>
            </w:r>
          </w:p>
        </w:tc>
      </w:tr>
      <w:tr>
        <w:trPr/>
        <w:tc>
          <w:tcPr>
            <w:tcW w:w="7344"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2" w:type="dxa"/>
            <w:tcBorders/>
            <w:shd w:fill="auto" w:val="clear"/>
            <w:vAlign w:val="bottom"/>
          </w:tcPr>
          <w:p>
            <w:pPr>
              <w:pStyle w:val="TableContents"/>
              <w:spacing w:before="0" w:after="283"/>
              <w:jc w:val="left"/>
              <w:rPr/>
            </w:pPr>
            <w:r>
              <w:rPr/>
              <w:t> </w:t>
            </w:r>
          </w:p>
        </w:tc>
      </w:tr>
      <w:tr>
        <w:trPr/>
        <w:tc>
          <w:tcPr>
            <w:tcW w:w="7344" w:type="dxa"/>
            <w:tcBorders/>
            <w:shd w:fill="auto" w:val="clear"/>
            <w:vAlign w:val="bottom"/>
          </w:tcPr>
          <w:p>
            <w:pPr>
              <w:pStyle w:val="TableContents"/>
              <w:spacing w:before="0" w:after="0"/>
              <w:ind w:left="0" w:right="0" w:hanging="0"/>
              <w:jc w:val="left"/>
              <w:rPr/>
            </w:pPr>
            <w:r>
              <w:rPr/>
              <w:t> </w:t>
            </w:r>
            <w:r>
              <w:rPr>
                <w:rFonts w:ascii="times new roman" w:hAnsi="times new roman"/>
                <w:sz w:val="20"/>
              </w:rPr>
              <w:t>Numerator:</w:t>
            </w:r>
          </w:p>
        </w:tc>
        <w:tc>
          <w:tcPr>
            <w:tcW w:w="107" w:type="dxa"/>
            <w:tcBorders/>
            <w:shd w:fill="auto" w:val="clear"/>
            <w:vAlign w:val="bottom"/>
          </w:tcPr>
          <w:p>
            <w:pPr>
              <w:pStyle w:val="TableContents"/>
              <w:spacing w:before="0" w:after="283"/>
              <w:rPr/>
            </w:pPr>
            <w:r>
              <w:rPr/>
              <w:t> </w:t>
            </w:r>
          </w:p>
        </w:tc>
        <w:tc>
          <w:tcPr>
            <w:tcW w:w="1206"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06"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734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for basic earnings per share</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185,700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(1,825,900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4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change in FV of warrant liability attributable to Exchange and Investment Warrants issued to Platinum</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(649,300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7344"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73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 for diluted earnings per share</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(463,600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(1,825,900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44"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73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Denominator:</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3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Weighted average basic common shares outstanding</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20,839,941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16,842,655</w:t>
            </w:r>
          </w:p>
        </w:tc>
        <w:tc>
          <w:tcPr>
            <w:tcW w:w="122" w:type="dxa"/>
            <w:tcBorders/>
            <w:shd w:fill="CCEEFF" w:val="clear"/>
            <w:vAlign w:val="bottom"/>
          </w:tcPr>
          <w:p>
            <w:pPr>
              <w:pStyle w:val="TableContents"/>
              <w:spacing w:before="0" w:after="283"/>
              <w:jc w:val="left"/>
              <w:rPr/>
            </w:pPr>
            <w:r>
              <w:rPr/>
              <w:t> </w:t>
            </w:r>
          </w:p>
        </w:tc>
      </w:tr>
      <w:tr>
        <w:trPr/>
        <w:tc>
          <w:tcPr>
            <w:tcW w:w="73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Assumed conversion of dilutive securities:</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3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Warrants to purchase common stock</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389,249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73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Potentially dilutive common shares</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389,249</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7344"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734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Denominator for diluted earnings per share - adjusted weighted average shares</w:t>
            </w:r>
          </w:p>
        </w:tc>
        <w:tc>
          <w:tcPr>
            <w:tcW w:w="107"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8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21,229,190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8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16,842,655</w:t>
            </w:r>
          </w:p>
        </w:tc>
        <w:tc>
          <w:tcPr>
            <w:tcW w:w="122" w:type="dxa"/>
            <w:tcBorders/>
            <w:shd w:fill="FFFFFF" w:val="clear"/>
            <w:vAlign w:val="bottom"/>
          </w:tcPr>
          <w:p>
            <w:pPr>
              <w:pStyle w:val="TableContents"/>
              <w:spacing w:before="0" w:after="283"/>
              <w:jc w:val="left"/>
              <w:rPr/>
            </w:pPr>
            <w:r>
              <w:rPr/>
              <w:t> </w:t>
            </w:r>
          </w:p>
        </w:tc>
      </w:tr>
      <w:tr>
        <w:trPr/>
        <w:tc>
          <w:tcPr>
            <w:tcW w:w="7344"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73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3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Basic net income (loss) per share</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44"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34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Diluted net loss per share</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7" w:name="PGBRK7"/>
      <w:bookmarkStart w:id="78" w:name="PGBRK7"/>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9" w:name="FTR7"/>
      <w:bookmarkStart w:id="80" w:name="FTR7"/>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1" w:name="GLFTR7"/>
      <w:bookmarkEnd w:id="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 w:name="PN7"/>
      <w:bookmarkEnd w:id="82"/>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3" w:name="HDR7"/>
      <w:bookmarkStart w:id="84" w:name="HDR7"/>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85" w:name="GLHDR7"/>
        <w:bookmarkEnd w:id="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potentially dilutive adjustments to the weighted average number of common shares that were excluded from the calculation of diluted net loss per share as their effect would be antidilutive.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662"/>
        <w:gridCol w:w="102"/>
        <w:gridCol w:w="102"/>
        <w:gridCol w:w="961"/>
        <w:gridCol w:w="102"/>
        <w:gridCol w:w="102"/>
        <w:gridCol w:w="102"/>
        <w:gridCol w:w="961"/>
        <w:gridCol w:w="111"/>
      </w:tblGrid>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3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w:t>
            </w:r>
          </w:p>
        </w:tc>
        <w:tc>
          <w:tcPr>
            <w:tcW w:w="111" w:type="dxa"/>
            <w:tcBorders/>
            <w:shd w:fill="auto" w:val="clear"/>
            <w:vAlign w:val="bottom"/>
          </w:tcPr>
          <w:p>
            <w:pPr>
              <w:pStyle w:val="TableContents"/>
              <w:spacing w:before="0" w:after="283"/>
              <w:jc w:val="left"/>
              <w:rPr/>
            </w:pPr>
            <w:r>
              <w:rPr/>
              <w:t> </w:t>
            </w:r>
          </w:p>
        </w:tc>
      </w:tr>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1" w:type="dxa"/>
            <w:tcBorders/>
            <w:shd w:fill="auto" w:val="clear"/>
            <w:vAlign w:val="bottom"/>
          </w:tcPr>
          <w:p>
            <w:pPr>
              <w:pStyle w:val="TableContents"/>
              <w:spacing w:before="0" w:after="283"/>
              <w:jc w:val="left"/>
              <w:rPr/>
            </w:pPr>
            <w:r>
              <w:rPr/>
              <w:t> </w:t>
            </w:r>
          </w:p>
        </w:tc>
      </w:tr>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preferred stock issued and outstanding (1)</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4,370,550</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shares issuable to Platinum upon exercise of common stock warrants by Platinum upon exchange of Series A preferred stock under the terms of the October 11, 2012 Note Purchase and Exchange Agreement</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7,500,000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options under the 2008 and 1999 Stock Incentive Plans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4,816,771</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4,920,771</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11,031,029</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3,604,392</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February 2012 12% convertible promissory notes and accrued interest</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347,897</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Exchange Note and Investment Notes issued to Platinum in October 2012, February 2013 and March 2013, including accrued interest through June 30, 2013 (2)</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6,948,841</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2" w:type="dxa"/>
            <w:tcBorders/>
            <w:shd w:fill="FFFFFF" w:val="clear"/>
            <w:vAlign w:val="bottom"/>
          </w:tcPr>
          <w:p>
            <w:pPr>
              <w:pStyle w:val="TableContents"/>
              <w:spacing w:before="0" w:after="283"/>
              <w:jc w:val="right"/>
              <w:rPr/>
            </w:pPr>
            <w:r>
              <w:rPr/>
              <w:t> </w:t>
            </w:r>
          </w:p>
        </w:tc>
        <w:tc>
          <w:tcPr>
            <w:tcW w:w="10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6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45,296,641</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6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13,243,610</w:t>
            </w:r>
          </w:p>
        </w:tc>
        <w:tc>
          <w:tcPr>
            <w:tcW w:w="111" w:type="dxa"/>
            <w:tcBorders/>
            <w:shd w:fill="FFFFFF" w:val="cle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  at June 30, 2013, assumes exchange under the terms of the October 11, 2012  Note Exchange and Purchase Agreement with Platinum</w:t>
            </w:r>
          </w:p>
        </w:tc>
      </w:tr>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  assumes conversion under the terms of the October 11, 2012  Note Exchange and Purchase Agreement with Platinum and the terms of the individual notes</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have been no recent accounting pronouncements or changes in accounting pronouncements during the three months ended June 30, 2013, as compared to the recent accounting pronouncements described in the Company’s Form 10-K for the fiscal year ended March 31, 2013, that are of significance or potential significance to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4.  Fair Value Measurements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pStyle w:val="TextBody"/>
        <w:spacing w:before="0" w:after="0"/>
        <w:ind w:left="0" w:right="0" w:hanging="0"/>
        <w:rPr/>
      </w:pPr>
      <w:r>
        <w:rPr/>
      </w:r>
    </w:p>
    <w:p>
      <w:pPr>
        <w:pStyle w:val="Normal"/>
        <w:spacing w:before="0" w:after="0"/>
        <w:rPr>
          <w:sz w:val="4"/>
          <w:szCs w:val="4"/>
        </w:rPr>
      </w:pPr>
      <w:r>
        <w:rPr>
          <w:sz w:val="4"/>
          <w:szCs w:val="4"/>
        </w:rPr>
      </w:r>
      <w:bookmarkStart w:id="86" w:name="hangingindent3"/>
      <w:bookmarkStart w:id="87" w:name="hangingindent3"/>
      <w:bookmarkEnd w:id="87"/>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1</w:t>
            </w:r>
            <w:r>
              <w:rPr>
                <w:rFonts w:ascii="times new roman" w:hAnsi="times new roman"/>
                <w:sz w:val="20"/>
              </w:rPr>
              <w:t> — Quoted prices (unadjusted) in active markets that are accessible at the measurement date for assets or liabilities. The fair value hierarchy gives the highest priority to Level 1 inputs.</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88" w:name="hangingindent4"/>
      <w:bookmarkStart w:id="89" w:name="hangingindent4"/>
      <w:bookmarkEnd w:id="89"/>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2</w:t>
            </w:r>
            <w:r>
              <w:rPr>
                <w:rFonts w:ascii="times new roman" w:hAnsi="times new roman"/>
                <w:sz w:val="20"/>
              </w:rPr>
              <w:t>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90" w:name="hangingindent5"/>
      <w:bookmarkStart w:id="91" w:name="hangingindent5"/>
      <w:bookmarkEnd w:id="91"/>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3</w:t>
            </w:r>
            <w:r>
              <w:rPr>
                <w:rFonts w:ascii="times new roman" w:hAnsi="times new roman"/>
                <w:sz w:val="20"/>
              </w:rPr>
              <w:t> — Unobservable inputs (</w:t>
            </w:r>
            <w:r>
              <w:rPr>
                <w:rFonts w:ascii="times new roman" w:hAnsi="times new roman"/>
                <w:i/>
                <w:sz w:val="20"/>
              </w:rPr>
              <w:t xml:space="preserve">i.e., </w:t>
            </w:r>
            <w:r>
              <w:rPr>
                <w:rFonts w:ascii="times new roman" w:hAnsi="times new roman"/>
                <w:sz w:val="20"/>
              </w:rPr>
              <w:t>inputs that reflect the reporting entity’s own assumptions about the assumptions that market participants would use in estimating the fair value of an asset or liability) are used when little or no market data is available. The fair value hierarchy gives the lowest priority to Level 3 inputs.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 w:name="PGBRK8"/>
      <w:bookmarkStart w:id="93" w:name="PGBRK8"/>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 w:name="FTR8"/>
      <w:bookmarkStart w:id="95" w:name="FTR8"/>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6" w:name="GLFTR8"/>
      <w:bookmarkEnd w:id="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7" w:name="PN8"/>
      <w:bookmarkEnd w:id="9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HDR8"/>
      <w:bookmarkStart w:id="99" w:name="HDR8"/>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0" w:name="GLHDR8"/>
        <w:bookmarkEnd w:id="10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February 2013 and March 2013, and the potential issuance of the Series A Exchange Warrant (see Note 9, </w:t>
      </w:r>
      <w:r>
        <w:rPr>
          <w:rFonts w:ascii="Times New Roman" w:hAnsi="Times New Roman"/>
          <w:i/>
          <w:sz w:val="20"/>
        </w:rPr>
        <w:t>Capital Stock</w:t>
      </w:r>
      <w:r>
        <w:rPr>
          <w:rFonts w:ascii="Times New Roman" w:hAnsi="Times New Roman"/>
          <w:sz w:val="20"/>
        </w:rPr>
        <w:t xml:space="preserve">), all pursuant to the Note Exchange and Purchase Agreement of October 2012 between the Company and Platinum (see Note 7, </w:t>
      </w:r>
      <w:r>
        <w:rPr>
          <w:rFonts w:ascii="Times New Roman" w:hAnsi="Times New Roman"/>
          <w:i/>
          <w:sz w:val="20"/>
        </w:rPr>
        <w:t>Convertible Promissory Notes and Other Notes Payable</w:t>
      </w:r>
      <w:r>
        <w:rPr>
          <w:rFonts w:ascii="Times New Roman" w:hAnsi="Times New Roman"/>
          <w:sz w:val="20"/>
        </w:rPr>
        <w:t>), the Company determined that the warrants included certain exercise price adjustment features requiring the 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since March 31, 2013 have been recognized as non-cash component of other expense, net in the Condensed Consolidated Statements of Operations and Comprehensive Loss for the quarter ended June 30, 2013.</w:t>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The fair value hierarchy for the warrant liability measured at fair value on a recurring basis is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69"/>
        <w:gridCol w:w="109"/>
        <w:gridCol w:w="169"/>
        <w:gridCol w:w="1431"/>
        <w:gridCol w:w="109"/>
        <w:gridCol w:w="109"/>
        <w:gridCol w:w="532"/>
        <w:gridCol w:w="884"/>
        <w:gridCol w:w="108"/>
        <w:gridCol w:w="109"/>
        <w:gridCol w:w="609"/>
        <w:gridCol w:w="1013"/>
        <w:gridCol w:w="109"/>
        <w:gridCol w:w="109"/>
        <w:gridCol w:w="356"/>
        <w:gridCol w:w="1444"/>
        <w:gridCol w:w="136"/>
      </w:tblGrid>
      <w:tr>
        <w:trPr/>
        <w:tc>
          <w:tcPr>
            <w:tcW w:w="2869" w:type="dxa"/>
            <w:tcBorders/>
            <w:shd w:fill="auto" w:val="clear"/>
            <w:vAlign w:val="bottom"/>
          </w:tcPr>
          <w:p>
            <w:pPr>
              <w:pStyle w:val="TableContents"/>
              <w:spacing w:before="0" w:after="0"/>
              <w:ind w:left="0" w:right="0" w:hanging="0"/>
              <w:jc w:val="left"/>
              <w:rPr/>
            </w:pPr>
            <w:r>
              <w:rPr/>
              <w:t> </w:t>
            </w:r>
          </w:p>
        </w:tc>
        <w:tc>
          <w:tcPr>
            <w:tcW w:w="109" w:type="dxa"/>
            <w:tcBorders/>
            <w:shd w:fill="auto" w:val="clear"/>
            <w:vAlign w:val="bottom"/>
          </w:tcPr>
          <w:p>
            <w:pPr>
              <w:pStyle w:val="TableContents"/>
              <w:spacing w:before="0" w:after="283"/>
              <w:jc w:val="left"/>
              <w:rPr/>
            </w:pPr>
            <w:r>
              <w:rPr/>
              <w:t> </w:t>
            </w:r>
          </w:p>
        </w:tc>
        <w:tc>
          <w:tcPr>
            <w:tcW w:w="1600" w:type="dxa"/>
            <w:gridSpan w:val="2"/>
            <w:tcBorders/>
            <w:shd w:fill="auto" w:val="clear"/>
            <w:vAlign w:val="bottom"/>
          </w:tcPr>
          <w:p>
            <w:pPr>
              <w:pStyle w:val="TableContents"/>
              <w:spacing w:before="0" w:after="0"/>
              <w:ind w:left="0" w:right="0" w:hanging="0"/>
              <w:jc w:val="left"/>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5273"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at Reporting Date Using</w:t>
            </w:r>
          </w:p>
        </w:tc>
        <w:tc>
          <w:tcPr>
            <w:tcW w:w="136" w:type="dxa"/>
            <w:tcBorders/>
            <w:shd w:fill="auto" w:val="clear"/>
            <w:vAlign w:val="bottom"/>
          </w:tcPr>
          <w:p>
            <w:pPr>
              <w:pStyle w:val="TableContents"/>
              <w:spacing w:before="0" w:after="283"/>
              <w:jc w:val="left"/>
              <w:rPr/>
            </w:pPr>
            <w:r>
              <w:rPr/>
              <w:t> </w:t>
            </w:r>
          </w:p>
        </w:tc>
      </w:tr>
      <w:tr>
        <w:trPr/>
        <w:tc>
          <w:tcPr>
            <w:tcW w:w="286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60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Quoted Prices</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80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2869" w:type="dxa"/>
            <w:tcBorders/>
            <w:shd w:fill="auto" w:val="clear"/>
            <w:vAlign w:val="bottom"/>
          </w:tcPr>
          <w:p>
            <w:pPr>
              <w:pStyle w:val="TableContents"/>
              <w:spacing w:before="0" w:after="0"/>
              <w:ind w:left="0" w:right="0" w:hanging="0"/>
              <w:jc w:val="left"/>
              <w:rPr/>
            </w:pPr>
            <w:r>
              <w:rPr/>
              <w:t> </w:t>
            </w:r>
          </w:p>
        </w:tc>
        <w:tc>
          <w:tcPr>
            <w:tcW w:w="109" w:type="dxa"/>
            <w:tcBorders/>
            <w:shd w:fill="auto" w:val="clear"/>
            <w:vAlign w:val="bottom"/>
          </w:tcPr>
          <w:p>
            <w:pPr>
              <w:pStyle w:val="TableContents"/>
              <w:spacing w:before="0" w:after="283"/>
              <w:rPr/>
            </w:pPr>
            <w:r>
              <w:rPr/>
              <w:t> </w:t>
            </w:r>
          </w:p>
        </w:tc>
        <w:tc>
          <w:tcPr>
            <w:tcW w:w="160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Active</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80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286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60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Markets for</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80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36" w:type="dxa"/>
            <w:tcBorders/>
            <w:shd w:fill="auto" w:val="clear"/>
            <w:vAlign w:val="bottom"/>
          </w:tcPr>
          <w:p>
            <w:pPr>
              <w:pStyle w:val="TableContents"/>
              <w:spacing w:before="0" w:after="283"/>
              <w:jc w:val="left"/>
              <w:rPr/>
            </w:pPr>
            <w:r>
              <w:rPr/>
              <w:t> </w:t>
            </w:r>
          </w:p>
        </w:tc>
      </w:tr>
      <w:tr>
        <w:trPr/>
        <w:tc>
          <w:tcPr>
            <w:tcW w:w="2869" w:type="dxa"/>
            <w:tcBorders/>
            <w:shd w:fill="auto" w:val="clear"/>
            <w:vAlign w:val="bottom"/>
          </w:tcPr>
          <w:p>
            <w:pPr>
              <w:pStyle w:val="TableContents"/>
              <w:spacing w:before="0" w:after="0"/>
              <w:ind w:left="0" w:right="0" w:hanging="0"/>
              <w:jc w:val="left"/>
              <w:rPr/>
            </w:pPr>
            <w:r>
              <w:rPr/>
              <w:t> </w:t>
            </w:r>
          </w:p>
        </w:tc>
        <w:tc>
          <w:tcPr>
            <w:tcW w:w="109" w:type="dxa"/>
            <w:tcBorders/>
            <w:shd w:fill="auto" w:val="clear"/>
            <w:vAlign w:val="bottom"/>
          </w:tcPr>
          <w:p>
            <w:pPr>
              <w:pStyle w:val="TableContents"/>
              <w:spacing w:before="0" w:after="283"/>
              <w:rPr/>
            </w:pPr>
            <w:r>
              <w:rPr/>
              <w:t> </w:t>
            </w:r>
          </w:p>
        </w:tc>
        <w:tc>
          <w:tcPr>
            <w:tcW w:w="160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Identical</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Observable</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80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w:t>
            </w:r>
          </w:p>
        </w:tc>
        <w:tc>
          <w:tcPr>
            <w:tcW w:w="136" w:type="dxa"/>
            <w:tcBorders/>
            <w:shd w:fill="auto" w:val="clear"/>
            <w:vAlign w:val="bottom"/>
          </w:tcPr>
          <w:p>
            <w:pPr>
              <w:pStyle w:val="TableContents"/>
              <w:spacing w:before="0" w:after="283"/>
              <w:jc w:val="left"/>
              <w:rPr/>
            </w:pPr>
            <w:r>
              <w:rPr/>
              <w:t> </w:t>
            </w:r>
          </w:p>
        </w:tc>
      </w:tr>
      <w:tr>
        <w:trPr/>
        <w:tc>
          <w:tcPr>
            <w:tcW w:w="286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60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80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36" w:type="dxa"/>
            <w:tcBorders/>
            <w:shd w:fill="auto" w:val="clear"/>
            <w:vAlign w:val="bottom"/>
          </w:tcPr>
          <w:p>
            <w:pPr>
              <w:pStyle w:val="TableContents"/>
              <w:spacing w:before="0" w:after="283"/>
              <w:jc w:val="left"/>
              <w:rPr/>
            </w:pPr>
            <w:r>
              <w:rPr/>
              <w:t> </w:t>
            </w:r>
          </w:p>
        </w:tc>
      </w:tr>
      <w:tr>
        <w:trPr/>
        <w:tc>
          <w:tcPr>
            <w:tcW w:w="2869" w:type="dxa"/>
            <w:tcBorders/>
            <w:shd w:fill="auto" w:val="clear"/>
            <w:vAlign w:val="bottom"/>
          </w:tcPr>
          <w:p>
            <w:pPr>
              <w:pStyle w:val="TableContents"/>
              <w:spacing w:before="0" w:after="0"/>
              <w:ind w:left="0" w:right="0" w:hanging="0"/>
              <w:jc w:val="left"/>
              <w:rPr/>
            </w:pPr>
            <w:r>
              <w:rPr/>
              <w:t> </w:t>
            </w:r>
          </w:p>
        </w:tc>
        <w:tc>
          <w:tcPr>
            <w:tcW w:w="109" w:type="dxa"/>
            <w:tcBorders/>
            <w:shd w:fill="auto" w:val="clear"/>
            <w:vAlign w:val="bottom"/>
          </w:tcPr>
          <w:p>
            <w:pPr>
              <w:pStyle w:val="TableContents"/>
              <w:spacing w:before="0" w:after="283"/>
              <w:rPr/>
            </w:pPr>
            <w:r>
              <w:rPr/>
              <w:t> </w:t>
            </w:r>
          </w:p>
        </w:tc>
        <w:tc>
          <w:tcPr>
            <w:tcW w:w="16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6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8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6" w:type="dxa"/>
            <w:tcBorders/>
            <w:shd w:fill="auto" w:val="clear"/>
            <w:vAlign w:val="bottom"/>
          </w:tcPr>
          <w:p>
            <w:pPr>
              <w:pStyle w:val="TableContents"/>
              <w:spacing w:before="0" w:after="283"/>
              <w:jc w:val="left"/>
              <w:rPr/>
            </w:pPr>
            <w:r>
              <w:rPr/>
              <w:t> </w:t>
            </w:r>
          </w:p>
        </w:tc>
      </w:tr>
      <w:tr>
        <w:trPr/>
        <w:tc>
          <w:tcPr>
            <w:tcW w:w="28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June 30, 2013:</w:t>
            </w:r>
          </w:p>
        </w:tc>
        <w:tc>
          <w:tcPr>
            <w:tcW w:w="109" w:type="dxa"/>
            <w:tcBorders/>
            <w:shd w:fill="auto" w:val="clear"/>
            <w:vAlign w:val="bottom"/>
          </w:tcPr>
          <w:p>
            <w:pPr>
              <w:pStyle w:val="TableContents"/>
              <w:spacing w:before="0" w:after="283"/>
              <w:rPr/>
            </w:pPr>
            <w:r>
              <w:rPr/>
              <w:t> </w:t>
            </w:r>
          </w:p>
        </w:tc>
        <w:tc>
          <w:tcPr>
            <w:tcW w:w="1600"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622"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80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286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liability</w:t>
            </w:r>
          </w:p>
        </w:tc>
        <w:tc>
          <w:tcPr>
            <w:tcW w:w="109" w:type="dxa"/>
            <w:tcBorders/>
            <w:shd w:fill="CCEEFF" w:val="clear"/>
            <w:vAlign w:val="bottom"/>
          </w:tcPr>
          <w:p>
            <w:pPr>
              <w:pStyle w:val="TableContents"/>
              <w:spacing w:before="0" w:after="283"/>
              <w:jc w:val="right"/>
              <w:rPr/>
            </w:pPr>
            <w:r>
              <w:rPr/>
              <w:t> </w:t>
            </w:r>
          </w:p>
        </w:tc>
        <w:tc>
          <w:tcPr>
            <w:tcW w:w="16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3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4,589,100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3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60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35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4,589,100</w:t>
            </w:r>
          </w:p>
        </w:tc>
        <w:tc>
          <w:tcPr>
            <w:tcW w:w="136" w:type="dxa"/>
            <w:tcBorders/>
            <w:shd w:fill="CCEEFF" w:val="clear"/>
            <w:vAlign w:val="bottom"/>
          </w:tcPr>
          <w:p>
            <w:pPr>
              <w:pStyle w:val="TableContents"/>
              <w:spacing w:before="0" w:after="283"/>
              <w:jc w:val="left"/>
              <w:rPr/>
            </w:pPr>
            <w:r>
              <w:rPr/>
              <w:t> </w:t>
            </w:r>
          </w:p>
        </w:tc>
      </w:tr>
      <w:tr>
        <w:trPr/>
        <w:tc>
          <w:tcPr>
            <w:tcW w:w="286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2013:</w:t>
            </w:r>
          </w:p>
        </w:tc>
        <w:tc>
          <w:tcPr>
            <w:tcW w:w="109" w:type="dxa"/>
            <w:tcBorders/>
            <w:shd w:fill="FFFFFF" w:val="clear"/>
            <w:vAlign w:val="bottom"/>
          </w:tcPr>
          <w:p>
            <w:pPr>
              <w:pStyle w:val="TableContents"/>
              <w:spacing w:before="0" w:after="283"/>
              <w:jc w:val="left"/>
              <w:rPr/>
            </w:pPr>
            <w:r>
              <w:rPr/>
              <w:t> </w:t>
            </w:r>
          </w:p>
        </w:tc>
        <w:tc>
          <w:tcPr>
            <w:tcW w:w="169" w:type="dxa"/>
            <w:tcBorders/>
            <w:shd w:fill="FFFFFF" w:val="clear"/>
            <w:vAlign w:val="bottom"/>
          </w:tcPr>
          <w:p>
            <w:pPr>
              <w:pStyle w:val="TableContents"/>
              <w:spacing w:before="0" w:after="283"/>
              <w:jc w:val="left"/>
              <w:rPr/>
            </w:pPr>
            <w:r>
              <w:rPr/>
              <w:t> </w:t>
            </w:r>
          </w:p>
        </w:tc>
        <w:tc>
          <w:tcPr>
            <w:tcW w:w="143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left"/>
              <w:rPr/>
            </w:pPr>
            <w:r>
              <w:rPr/>
              <w:t> </w:t>
            </w:r>
          </w:p>
        </w:tc>
        <w:tc>
          <w:tcPr>
            <w:tcW w:w="884"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609"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356" w:type="dxa"/>
            <w:tcBorders/>
            <w:shd w:fill="FFFFFF" w:val="clear"/>
            <w:vAlign w:val="bottom"/>
          </w:tcPr>
          <w:p>
            <w:pPr>
              <w:pStyle w:val="TableContents"/>
              <w:spacing w:before="0" w:after="283"/>
              <w:jc w:val="left"/>
              <w:rPr/>
            </w:pPr>
            <w:r>
              <w:rPr/>
              <w:t> </w:t>
            </w:r>
          </w:p>
        </w:tc>
        <w:tc>
          <w:tcPr>
            <w:tcW w:w="1444"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286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liability</w:t>
            </w:r>
          </w:p>
        </w:tc>
        <w:tc>
          <w:tcPr>
            <w:tcW w:w="109" w:type="dxa"/>
            <w:tcBorders/>
            <w:shd w:fill="CCEEFF" w:val="clear"/>
            <w:vAlign w:val="bottom"/>
          </w:tcPr>
          <w:p>
            <w:pPr>
              <w:pStyle w:val="TableContents"/>
              <w:spacing w:before="0" w:after="283"/>
              <w:jc w:val="right"/>
              <w:rPr/>
            </w:pPr>
            <w:r>
              <w:rPr/>
              <w:t> </w:t>
            </w:r>
          </w:p>
        </w:tc>
        <w:tc>
          <w:tcPr>
            <w:tcW w:w="16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3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53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60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35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36"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both"/>
        <w:rPr/>
      </w:pPr>
      <w:bookmarkStart w:id="101" w:name="TAB2"/>
      <w:bookmarkEnd w:id="101"/>
      <w:r>
        <w:rPr>
          <w:spacing w:val="180"/>
        </w:rPr>
        <w:t>   </w:t>
      </w:r>
      <w:r>
        <w:rPr/>
        <w:t> </w:t>
      </w:r>
      <w:r>
        <w:rPr>
          <w:rFonts w:ascii="Times New Roman" w:hAnsi="Times New Roman"/>
          <w:sz w:val="20"/>
        </w:rPr>
        <w:t>During the three month period ended June 30, 2013, there was no significant change to the valuation models used for purposes of determining the fair value of the Level 3 warrant liability.</w:t>
      </w:r>
    </w:p>
    <w:p>
      <w:pPr>
        <w:pStyle w:val="TextBody"/>
        <w:spacing w:before="0" w:after="0"/>
        <w:ind w:left="0" w:right="0" w:hanging="0"/>
        <w:rPr/>
      </w:pPr>
      <w:r>
        <w:rPr/>
      </w:r>
    </w:p>
    <w:p>
      <w:pPr>
        <w:pStyle w:val="TextBody"/>
        <w:spacing w:before="0" w:after="0"/>
        <w:ind w:left="0" w:right="0" w:hanging="0"/>
        <w:jc w:val="left"/>
        <w:rPr/>
      </w:pPr>
      <w:bookmarkStart w:id="102" w:name="TAB21"/>
      <w:bookmarkEnd w:id="102"/>
      <w:r>
        <w:rPr>
          <w:spacing w:val="180"/>
        </w:rPr>
        <w:t>   </w:t>
      </w:r>
      <w:r>
        <w:rPr/>
        <w:t> </w:t>
      </w:r>
      <w:r>
        <w:rPr>
          <w:rFonts w:ascii="Times New Roman" w:hAnsi="Times New Roman"/>
          <w:sz w:val="20"/>
        </w:rPr>
        <w:t>The changes in Level 3 liabilities measured at fair value on a recurring basis are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967"/>
        <w:gridCol w:w="117"/>
        <w:gridCol w:w="152"/>
        <w:gridCol w:w="1835"/>
        <w:gridCol w:w="134"/>
      </w:tblGrid>
      <w:tr>
        <w:trPr/>
        <w:tc>
          <w:tcPr>
            <w:tcW w:w="796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98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w:t>
            </w:r>
          </w:p>
        </w:tc>
        <w:tc>
          <w:tcPr>
            <w:tcW w:w="134" w:type="dxa"/>
            <w:tcBorders/>
            <w:shd w:fill="auto" w:val="clear"/>
            <w:vAlign w:val="bottom"/>
          </w:tcPr>
          <w:p>
            <w:pPr>
              <w:pStyle w:val="TableContents"/>
              <w:spacing w:before="0" w:after="283"/>
              <w:jc w:val="left"/>
              <w:rPr/>
            </w:pPr>
            <w:r>
              <w:rPr/>
              <w:t> </w:t>
            </w:r>
          </w:p>
        </w:tc>
      </w:tr>
      <w:tr>
        <w:trPr/>
        <w:tc>
          <w:tcPr>
            <w:tcW w:w="796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98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Using Significant</w:t>
            </w:r>
          </w:p>
        </w:tc>
        <w:tc>
          <w:tcPr>
            <w:tcW w:w="134" w:type="dxa"/>
            <w:tcBorders/>
            <w:shd w:fill="auto" w:val="clear"/>
            <w:vAlign w:val="bottom"/>
          </w:tcPr>
          <w:p>
            <w:pPr>
              <w:pStyle w:val="TableContents"/>
              <w:spacing w:before="0" w:after="283"/>
              <w:jc w:val="left"/>
              <w:rPr/>
            </w:pPr>
            <w:r>
              <w:rPr/>
              <w:t> </w:t>
            </w:r>
          </w:p>
        </w:tc>
      </w:tr>
      <w:tr>
        <w:trPr/>
        <w:tc>
          <w:tcPr>
            <w:tcW w:w="796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98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 Inputs</w:t>
            </w:r>
          </w:p>
        </w:tc>
        <w:tc>
          <w:tcPr>
            <w:tcW w:w="134" w:type="dxa"/>
            <w:tcBorders/>
            <w:shd w:fill="auto" w:val="clear"/>
            <w:vAlign w:val="bottom"/>
          </w:tcPr>
          <w:p>
            <w:pPr>
              <w:pStyle w:val="TableContents"/>
              <w:spacing w:before="0" w:after="283"/>
              <w:jc w:val="left"/>
              <w:rPr/>
            </w:pPr>
            <w:r>
              <w:rPr/>
              <w:t> </w:t>
            </w:r>
          </w:p>
        </w:tc>
      </w:tr>
      <w:tr>
        <w:trPr/>
        <w:tc>
          <w:tcPr>
            <w:tcW w:w="796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9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4" w:type="dxa"/>
            <w:tcBorders/>
            <w:shd w:fill="auto" w:val="clear"/>
            <w:vAlign w:val="bottom"/>
          </w:tcPr>
          <w:p>
            <w:pPr>
              <w:pStyle w:val="TableContents"/>
              <w:spacing w:before="0" w:after="283"/>
              <w:jc w:val="left"/>
              <w:rPr/>
            </w:pPr>
            <w:r>
              <w:rPr/>
              <w:t> </w:t>
            </w:r>
          </w:p>
        </w:tc>
      </w:tr>
      <w:tr>
        <w:trPr/>
        <w:tc>
          <w:tcPr>
            <w:tcW w:w="796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9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Warrant Liability</w:t>
            </w:r>
          </w:p>
        </w:tc>
        <w:tc>
          <w:tcPr>
            <w:tcW w:w="134" w:type="dxa"/>
            <w:tcBorders/>
            <w:shd w:fill="auto" w:val="clear"/>
            <w:vAlign w:val="bottom"/>
          </w:tcPr>
          <w:p>
            <w:pPr>
              <w:pStyle w:val="TableContents"/>
              <w:spacing w:before="0" w:after="283"/>
              <w:jc w:val="left"/>
              <w:rPr/>
            </w:pPr>
            <w:r>
              <w:rPr/>
              <w:t> </w:t>
            </w:r>
          </w:p>
        </w:tc>
      </w:tr>
      <w:tr>
        <w:trPr/>
        <w:tc>
          <w:tcPr>
            <w:tcW w:w="7967"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987" w:type="dxa"/>
            <w:gridSpan w:val="2"/>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r>
      <w:tr>
        <w:trPr/>
        <w:tc>
          <w:tcPr>
            <w:tcW w:w="7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2013</w:t>
            </w:r>
          </w:p>
        </w:tc>
        <w:tc>
          <w:tcPr>
            <w:tcW w:w="117"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6,394,000</w:t>
            </w:r>
          </w:p>
        </w:tc>
        <w:tc>
          <w:tcPr>
            <w:tcW w:w="134" w:type="dxa"/>
            <w:tcBorders/>
            <w:shd w:fill="CCEEFF" w:val="clear"/>
            <w:vAlign w:val="bottom"/>
          </w:tcPr>
          <w:p>
            <w:pPr>
              <w:pStyle w:val="TableContents"/>
              <w:spacing w:before="0" w:after="283"/>
              <w:jc w:val="left"/>
              <w:rPr/>
            </w:pPr>
            <w:r>
              <w:rPr/>
              <w:t> </w:t>
            </w:r>
          </w:p>
        </w:tc>
      </w:tr>
      <w:tr>
        <w:trPr/>
        <w:tc>
          <w:tcPr>
            <w:tcW w:w="7967" w:type="dxa"/>
            <w:tcBorders/>
            <w:shd w:fill="FFFFFF" w:val="clear"/>
            <w:vAlign w:val="bottom"/>
          </w:tcPr>
          <w:p>
            <w:pPr>
              <w:pStyle w:val="TableContents"/>
              <w:spacing w:before="0" w:after="283"/>
              <w:rPr/>
            </w:pPr>
            <w:r>
              <w:rPr/>
              <w:t xml:space="preserve">  </w:t>
            </w:r>
          </w:p>
        </w:tc>
        <w:tc>
          <w:tcPr>
            <w:tcW w:w="117"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835"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r>
      <w:tr>
        <w:trPr/>
        <w:tc>
          <w:tcPr>
            <w:tcW w:w="7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to market gain included in net income</w:t>
            </w:r>
          </w:p>
        </w:tc>
        <w:tc>
          <w:tcPr>
            <w:tcW w:w="117" w:type="dxa"/>
            <w:tcBorders/>
            <w:shd w:fill="CCEEFF" w:val="clear"/>
            <w:vAlign w:val="bottom"/>
          </w:tcPr>
          <w:p>
            <w:pPr>
              <w:pStyle w:val="TableContents"/>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(1,804,900</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967" w:type="dxa"/>
            <w:tcBorders/>
            <w:shd w:fill="FFFFFF" w:val="clear"/>
            <w:vAlign w:val="bottom"/>
          </w:tcPr>
          <w:p>
            <w:pPr>
              <w:pStyle w:val="TableContents"/>
              <w:spacing w:before="0" w:after="283"/>
              <w:rPr/>
            </w:pPr>
            <w:r>
              <w:rPr/>
              <w:t xml:space="preserve">  </w:t>
            </w:r>
          </w:p>
        </w:tc>
        <w:tc>
          <w:tcPr>
            <w:tcW w:w="117"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835"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r>
      <w:tr>
        <w:trPr/>
        <w:tc>
          <w:tcPr>
            <w:tcW w:w="7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June 30, 2013</w:t>
            </w:r>
          </w:p>
        </w:tc>
        <w:tc>
          <w:tcPr>
            <w:tcW w:w="117" w:type="dxa"/>
            <w:tcBorders/>
            <w:shd w:fill="CCEEFF" w:val="clear"/>
            <w:vAlign w:val="bottom"/>
          </w:tcPr>
          <w:p>
            <w:pPr>
              <w:pStyle w:val="TableContents"/>
              <w:spacing w:before="0" w:after="283"/>
              <w:jc w:val="right"/>
              <w:rPr/>
            </w:pPr>
            <w:r>
              <w:rPr/>
              <w:t> </w:t>
            </w:r>
          </w:p>
        </w:tc>
        <w:tc>
          <w:tcPr>
            <w:tcW w:w="15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3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4,589,100</w:t>
            </w:r>
          </w:p>
        </w:tc>
        <w:tc>
          <w:tcPr>
            <w:tcW w:w="134"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No assets or other liabilities were carried at fair value at June 30, 2013 or March 31,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 w:name="PGBRK9"/>
      <w:bookmarkStart w:id="104" w:name="PGBRK9"/>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 w:name="FTR9"/>
      <w:bookmarkStart w:id="106" w:name="FTR9"/>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7" w:name="GLFTR9"/>
      <w:bookmarkEnd w:id="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8" w:name="PN9"/>
      <w:bookmarkEnd w:id="108"/>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HDR9"/>
      <w:bookmarkStart w:id="110" w:name="HDR9"/>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1" w:name="GLHDR9"/>
        <w:bookmarkEnd w:id="1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5.  Prepaid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Prepaid expenses consist of the following at June 30, 2013 and March 31,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73"/>
        <w:gridCol w:w="109"/>
        <w:gridCol w:w="125"/>
        <w:gridCol w:w="1031"/>
        <w:gridCol w:w="109"/>
        <w:gridCol w:w="109"/>
        <w:gridCol w:w="125"/>
        <w:gridCol w:w="1004"/>
        <w:gridCol w:w="120"/>
      </w:tblGrid>
      <w:tr>
        <w:trPr/>
        <w:tc>
          <w:tcPr>
            <w:tcW w:w="7473"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0" w:type="dxa"/>
            <w:tcBorders/>
            <w:shd w:fill="auto" w:val="clear"/>
            <w:vAlign w:val="bottom"/>
          </w:tcPr>
          <w:p>
            <w:pPr>
              <w:pStyle w:val="TableContents"/>
              <w:spacing w:before="0" w:after="283"/>
              <w:jc w:val="left"/>
              <w:rPr/>
            </w:pPr>
            <w:r>
              <w:rPr/>
              <w:t> </w:t>
            </w:r>
          </w:p>
        </w:tc>
      </w:tr>
      <w:tr>
        <w:trPr/>
        <w:tc>
          <w:tcPr>
            <w:tcW w:w="7473"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20" w:type="dxa"/>
            <w:tcBorders/>
            <w:shd w:fill="auto" w:val="clear"/>
            <w:vAlign w:val="bottom"/>
          </w:tcPr>
          <w:p>
            <w:pPr>
              <w:pStyle w:val="TableContents"/>
              <w:spacing w:before="0" w:after="283"/>
              <w:jc w:val="left"/>
              <w:rPr/>
            </w:pPr>
            <w:r>
              <w:rPr/>
              <w:t> </w:t>
            </w:r>
          </w:p>
        </w:tc>
      </w:tr>
      <w:tr>
        <w:trPr/>
        <w:tc>
          <w:tcPr>
            <w:tcW w:w="7473"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747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Insurance</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104,000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19,700</w:t>
            </w:r>
          </w:p>
        </w:tc>
        <w:tc>
          <w:tcPr>
            <w:tcW w:w="120" w:type="dxa"/>
            <w:tcBorders/>
            <w:shd w:fill="CCEEFF" w:val="clear"/>
            <w:vAlign w:val="bottom"/>
          </w:tcPr>
          <w:p>
            <w:pPr>
              <w:pStyle w:val="TableContents"/>
              <w:spacing w:before="0" w:after="283"/>
              <w:jc w:val="left"/>
              <w:rPr/>
            </w:pPr>
            <w:r>
              <w:rPr/>
              <w:t> </w:t>
            </w:r>
          </w:p>
        </w:tc>
      </w:tr>
      <w:tr>
        <w:trPr/>
        <w:tc>
          <w:tcPr>
            <w:tcW w:w="747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Rent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20,200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747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Legal fees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w:t>
            </w:r>
          </w:p>
        </w:tc>
        <w:tc>
          <w:tcPr>
            <w:tcW w:w="120" w:type="dxa"/>
            <w:tcBorders/>
            <w:shd w:fill="CCEEFF" w:val="clear"/>
            <w:vAlign w:val="bottom"/>
          </w:tcPr>
          <w:p>
            <w:pPr>
              <w:pStyle w:val="TableContents"/>
              <w:spacing w:before="0" w:after="283"/>
              <w:jc w:val="left"/>
              <w:rPr/>
            </w:pPr>
            <w:r>
              <w:rPr/>
              <w:t> </w:t>
            </w:r>
          </w:p>
        </w:tc>
      </w:tr>
      <w:tr>
        <w:trPr/>
        <w:tc>
          <w:tcPr>
            <w:tcW w:w="747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All other</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10,600</w:t>
            </w:r>
          </w:p>
        </w:tc>
        <w:tc>
          <w:tcPr>
            <w:tcW w:w="120" w:type="dxa"/>
            <w:tcBorders/>
            <w:shd w:fill="FFFFFF" w:val="clear"/>
            <w:vAlign w:val="bottom"/>
          </w:tcPr>
          <w:p>
            <w:pPr>
              <w:pStyle w:val="TableContents"/>
              <w:spacing w:before="0" w:after="283"/>
              <w:jc w:val="left"/>
              <w:rPr/>
            </w:pPr>
            <w:r>
              <w:rPr/>
              <w:t> </w:t>
            </w:r>
          </w:p>
        </w:tc>
      </w:tr>
      <w:tr>
        <w:trPr/>
        <w:tc>
          <w:tcPr>
            <w:tcW w:w="7473"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134,900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33,700</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6.  Accrued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Accrued expenses consist of the following at June 30, 2013 and March 31,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50"/>
        <w:gridCol w:w="109"/>
        <w:gridCol w:w="126"/>
        <w:gridCol w:w="1029"/>
        <w:gridCol w:w="109"/>
        <w:gridCol w:w="109"/>
        <w:gridCol w:w="126"/>
        <w:gridCol w:w="1029"/>
        <w:gridCol w:w="118"/>
      </w:tblGrid>
      <w:tr>
        <w:trPr/>
        <w:tc>
          <w:tcPr>
            <w:tcW w:w="745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8" w:type="dxa"/>
            <w:tcBorders/>
            <w:shd w:fill="auto" w:val="clear"/>
            <w:vAlign w:val="bottom"/>
          </w:tcPr>
          <w:p>
            <w:pPr>
              <w:pStyle w:val="TableContents"/>
              <w:spacing w:before="0" w:after="283"/>
              <w:jc w:val="left"/>
              <w:rPr/>
            </w:pPr>
            <w:r>
              <w:rPr/>
              <w:t> </w:t>
            </w:r>
          </w:p>
        </w:tc>
      </w:tr>
      <w:tr>
        <w:trPr/>
        <w:tc>
          <w:tcPr>
            <w:tcW w:w="745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8" w:type="dxa"/>
            <w:tcBorders/>
            <w:shd w:fill="auto" w:val="clear"/>
            <w:vAlign w:val="bottom"/>
          </w:tcPr>
          <w:p>
            <w:pPr>
              <w:pStyle w:val="TableContents"/>
              <w:spacing w:before="0" w:after="283"/>
              <w:jc w:val="left"/>
              <w:rPr/>
            </w:pPr>
            <w:r>
              <w:rPr/>
              <w:t> </w:t>
            </w:r>
          </w:p>
        </w:tc>
      </w:tr>
      <w:tr>
        <w:trPr/>
        <w:tc>
          <w:tcPr>
            <w:tcW w:w="745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professional services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74,300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67,800</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vacation pay and other compensation</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206,900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219,300</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royalties and license fees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18" w:type="dxa"/>
            <w:tcBorders/>
            <w:shd w:fill="CCEEFF" w:val="clear"/>
            <w:vAlign w:val="bottom"/>
          </w:tcPr>
          <w:p>
            <w:pPr>
              <w:pStyle w:val="TableContents"/>
              <w:spacing w:before="0" w:after="283"/>
              <w:jc w:val="left"/>
              <w:rPr/>
            </w:pPr>
            <w:r>
              <w:rPr/>
              <w:t> </w:t>
            </w:r>
          </w:p>
        </w:tc>
      </w:tr>
      <w:tr>
        <w:trPr/>
        <w:tc>
          <w:tcPr>
            <w:tcW w:w="745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All other</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30,800</w:t>
            </w:r>
          </w:p>
        </w:tc>
        <w:tc>
          <w:tcPr>
            <w:tcW w:w="118" w:type="dxa"/>
            <w:tcBorders/>
            <w:shd w:fill="FFFFFF" w:val="clear"/>
            <w:vAlign w:val="bottom"/>
          </w:tcPr>
          <w:p>
            <w:pPr>
              <w:pStyle w:val="TableContents"/>
              <w:spacing w:before="0" w:after="283"/>
              <w:jc w:val="left"/>
              <w:rPr/>
            </w:pPr>
            <w:r>
              <w:rPr/>
              <w:t> </w:t>
            </w:r>
          </w:p>
        </w:tc>
      </w:tr>
      <w:tr>
        <w:trPr/>
        <w:tc>
          <w:tcPr>
            <w:tcW w:w="7450"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371,300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342,900</w:t>
            </w:r>
          </w:p>
        </w:tc>
        <w:tc>
          <w:tcPr>
            <w:tcW w:w="118" w:type="dxa"/>
            <w:tcBorders/>
            <w:shd w:fill="CCEE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12" w:name="PGBRK10"/>
      <w:bookmarkStart w:id="113" w:name="PGBRK10"/>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4" w:name="FTR10"/>
      <w:bookmarkStart w:id="115" w:name="FTR10"/>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6" w:name="GLFTR10"/>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 w:name="PN10"/>
      <w:bookmarkEnd w:id="117"/>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8" w:name="HDR10"/>
      <w:bookmarkStart w:id="119" w:name="HDR10"/>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20" w:name="GLHDR10"/>
        <w:bookmarkEnd w:id="1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r>
        <w:rPr>
          <w:rFonts w:ascii="Times New Roman" w:hAnsi="Times New Roman"/>
          <w:b/>
          <w:sz w:val="20"/>
        </w:rPr>
        <w:t>Note 7.  Convertible Promissory Notes and Other Notes Payable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summarizes the Company’s secured and unsecured promissory notes and other notes payable at June 30, 2013 and March 31,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65"/>
        <w:gridCol w:w="92"/>
        <w:gridCol w:w="125"/>
        <w:gridCol w:w="1019"/>
        <w:gridCol w:w="102"/>
        <w:gridCol w:w="92"/>
        <w:gridCol w:w="125"/>
        <w:gridCol w:w="913"/>
        <w:gridCol w:w="102"/>
        <w:gridCol w:w="92"/>
        <w:gridCol w:w="125"/>
        <w:gridCol w:w="1018"/>
        <w:gridCol w:w="102"/>
        <w:gridCol w:w="92"/>
        <w:gridCol w:w="125"/>
        <w:gridCol w:w="1019"/>
        <w:gridCol w:w="102"/>
        <w:gridCol w:w="92"/>
        <w:gridCol w:w="125"/>
        <w:gridCol w:w="913"/>
        <w:gridCol w:w="102"/>
        <w:gridCol w:w="92"/>
        <w:gridCol w:w="125"/>
        <w:gridCol w:w="1018"/>
        <w:gridCol w:w="128"/>
      </w:tblGrid>
      <w:tr>
        <w:trPr/>
        <w:tc>
          <w:tcPr>
            <w:tcW w:w="2365" w:type="dxa"/>
            <w:tcBorders/>
            <w:shd w:fill="auto" w:val="clear"/>
            <w:vAlign w:val="bottom"/>
          </w:tcPr>
          <w:p>
            <w:pPr>
              <w:pStyle w:val="TableContents"/>
              <w:spacing w:before="0" w:after="0"/>
              <w:ind w:left="0" w:right="0" w:hanging="0"/>
              <w:jc w:val="left"/>
              <w:rPr/>
            </w:pPr>
            <w:r>
              <w:rPr/>
              <w:t> </w:t>
            </w:r>
          </w:p>
        </w:tc>
        <w:tc>
          <w:tcPr>
            <w:tcW w:w="92" w:type="dxa"/>
            <w:tcBorders/>
            <w:shd w:fill="auto" w:val="clear"/>
            <w:vAlign w:val="bottom"/>
          </w:tcPr>
          <w:p>
            <w:pPr>
              <w:pStyle w:val="TableContents"/>
              <w:spacing w:before="0" w:after="283"/>
              <w:rPr/>
            </w:pPr>
            <w:r>
              <w:rPr/>
              <w:t> </w:t>
            </w:r>
          </w:p>
        </w:tc>
        <w:tc>
          <w:tcPr>
            <w:tcW w:w="3713"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 2013</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3713"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2013</w:t>
            </w:r>
          </w:p>
        </w:tc>
        <w:tc>
          <w:tcPr>
            <w:tcW w:w="128" w:type="dxa"/>
            <w:tcBorders/>
            <w:shd w:fill="auto" w:val="clear"/>
            <w:vAlign w:val="bottom"/>
          </w:tcPr>
          <w:p>
            <w:pPr>
              <w:pStyle w:val="TableContents"/>
              <w:spacing w:before="0" w:after="283"/>
              <w:jc w:val="left"/>
              <w:rPr/>
            </w:pPr>
            <w:r>
              <w:rPr/>
              <w:t> </w:t>
            </w:r>
          </w:p>
        </w:tc>
      </w:tr>
      <w:tr>
        <w:trPr/>
        <w:tc>
          <w:tcPr>
            <w:tcW w:w="2365" w:type="dxa"/>
            <w:tcBorders/>
            <w:shd w:fill="auto" w:val="clear"/>
            <w:vAlign w:val="bottom"/>
          </w:tcPr>
          <w:p>
            <w:pPr>
              <w:pStyle w:val="TableContents"/>
              <w:spacing w:before="0" w:after="0"/>
              <w:ind w:left="0" w:right="0" w:hanging="0"/>
              <w:jc w:val="left"/>
              <w:rPr/>
            </w:pPr>
            <w:r>
              <w:rPr/>
              <w:t> </w:t>
            </w:r>
          </w:p>
        </w:tc>
        <w:tc>
          <w:tcPr>
            <w:tcW w:w="92"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237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237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28" w:type="dxa"/>
            <w:tcBorders/>
            <w:shd w:fill="auto" w:val="clear"/>
            <w:vAlign w:val="bottom"/>
          </w:tcPr>
          <w:p>
            <w:pPr>
              <w:pStyle w:val="TableContents"/>
              <w:spacing w:before="0" w:after="283"/>
              <w:jc w:val="left"/>
              <w:rPr/>
            </w:pPr>
            <w:r>
              <w:rPr/>
              <w:t> </w:t>
            </w:r>
          </w:p>
        </w:tc>
      </w:tr>
      <w:tr>
        <w:trPr/>
        <w:tc>
          <w:tcPr>
            <w:tcW w:w="2365"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w:t>
            </w:r>
          </w:p>
        </w:tc>
        <w:tc>
          <w:tcPr>
            <w:tcW w:w="11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8" w:type="dxa"/>
            <w:tcBorders/>
            <w:shd w:fill="auto" w:val="clear"/>
            <w:vAlign w:val="bottom"/>
          </w:tcPr>
          <w:p>
            <w:pPr>
              <w:pStyle w:val="TableContents"/>
              <w:spacing w:before="0" w:after="283"/>
              <w:jc w:val="left"/>
              <w:rPr/>
            </w:pPr>
            <w:r>
              <w:rPr/>
              <w:t> </w:t>
            </w:r>
          </w:p>
        </w:tc>
      </w:tr>
      <w:tr>
        <w:trPr/>
        <w:tc>
          <w:tcPr>
            <w:tcW w:w="4833" w:type="dxa"/>
            <w:gridSpan w:val="8"/>
            <w:tcBorders/>
            <w:shd w:fill="auto"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Senior Secured 10% Convertible Promissory Notes</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8"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r>
      <w:tr>
        <w:trPr/>
        <w:tc>
          <w:tcPr>
            <w:tcW w:w="2365" w:type="dxa"/>
            <w:tcBorders/>
            <w:shd w:fill="auto" w:val="clear"/>
            <w:vAlign w:val="bottom"/>
          </w:tcPr>
          <w:p>
            <w:pPr>
              <w:pStyle w:val="TableContents"/>
              <w:spacing w:before="0" w:after="0"/>
              <w:ind w:left="0" w:right="0" w:hanging="0"/>
              <w:jc w:val="left"/>
              <w:rPr/>
            </w:pPr>
            <w:r>
              <w:rPr/>
              <w:t>    </w:t>
            </w:r>
            <w:r>
              <w:rPr>
                <w:rFonts w:ascii="times new roman" w:hAnsi="times new roman"/>
                <w:b/>
                <w:i/>
                <w:sz w:val="20"/>
              </w:rPr>
              <w:t>issued to Platinum:</w:t>
            </w:r>
          </w:p>
        </w:tc>
        <w:tc>
          <w:tcPr>
            <w:tcW w:w="92"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8"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038"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Exchange Note issued on October 11, 2012</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1,272,600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1,368,300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1,272,600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1,334,300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October 11, 2012</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537,600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524,200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October 19, 2012</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523,000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February 22, 2013</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259,000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252,600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March 12, 2013</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773,100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754,700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3,272,600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201,800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3,474,400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3,272,600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3,388,800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Aggregate note discount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(1,947,100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(1,947,100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(1,963,100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(1,963,100</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Senior notes (non-current)</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1,325,500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1,527,300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1,425,700</w:t>
            </w:r>
          </w:p>
        </w:tc>
        <w:tc>
          <w:tcPr>
            <w:tcW w:w="128" w:type="dxa"/>
            <w:tcBorders/>
            <w:shd w:fill="FFFFFF" w:val="clear"/>
            <w:vAlign w:val="bottom"/>
          </w:tcPr>
          <w:p>
            <w:pPr>
              <w:pStyle w:val="TableContents"/>
              <w:spacing w:before="0" w:after="283"/>
              <w:jc w:val="left"/>
              <w:rPr/>
            </w:pPr>
            <w:r>
              <w:rPr/>
              <w:t> </w:t>
            </w:r>
          </w:p>
        </w:tc>
      </w:tr>
      <w:tr>
        <w:trPr/>
        <w:tc>
          <w:tcPr>
            <w:tcW w:w="2365" w:type="dxa"/>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unrelated parties:</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7.0% Notes payable (August 2012)</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7.0% Notes payable - non-current portion</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r>
      <w:tr>
        <w:trPr/>
        <w:tc>
          <w:tcPr>
            <w:tcW w:w="3601"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7.5% Notes payable to service providers for</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r>
      <w:tr>
        <w:trPr/>
        <w:tc>
          <w:tcPr>
            <w:tcW w:w="3601"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converted to notes payable:</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Burr, Pilger, Mayer</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Desjardins</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205,000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194,100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194,900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McCarthy Tetrault</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410,200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404,800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August 2012 Morrison &amp; Foerster Note A</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918,200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929,700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937,400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937,400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August 2012 Morrison &amp; Foerster Note B (1)</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1,379,400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85,900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1,465,300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1,379,400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1,439,500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University Health Network  (1)</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579,200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568,900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3,543,100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3,681,500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3,553,900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3,635,900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(1,075,200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(1,075,200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(1,142,600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(1,142,600</w:t>
            </w:r>
          </w:p>
        </w:tc>
        <w:tc>
          <w:tcPr>
            <w:tcW w:w="12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365"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2,467,900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138,400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2,606,300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2,411,300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2,493,300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(443,200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(466,000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(450,300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(452,800</w:t>
            </w:r>
          </w:p>
        </w:tc>
        <w:tc>
          <w:tcPr>
            <w:tcW w:w="12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2,024,700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115,600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2,140,300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1,961,000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79,500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2,040,500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r>
      <w:tr>
        <w:trPr/>
        <w:tc>
          <w:tcPr>
            <w:tcW w:w="3601"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5.8% and 8% Notes payable to insurance</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premium financing company (current)</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76,800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76,800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r>
      <w:tr>
        <w:trPr/>
        <w:tc>
          <w:tcPr>
            <w:tcW w:w="3601"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Notes payable to vendors for accounts</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payable converted to notes payable</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152,100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(25,700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(145,100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(128,800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(152,100</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notes payable to unrelated parties</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2,722,900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2,887,700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2,603,700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2,709,000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(646,800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(48,500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(695,300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(591,400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(25,800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(617,200</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2,076,100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2,192,400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2,012,300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2,091,800</w:t>
            </w:r>
          </w:p>
        </w:tc>
        <w:tc>
          <w:tcPr>
            <w:tcW w:w="128" w:type="dxa"/>
            <w:tcBorders/>
            <w:shd w:fill="FFFFFF" w:val="clear"/>
            <w:vAlign w:val="bottom"/>
          </w:tcPr>
          <w:p>
            <w:pPr>
              <w:pStyle w:val="TableContents"/>
              <w:spacing w:before="0" w:after="283"/>
              <w:jc w:val="left"/>
              <w:rPr/>
            </w:pPr>
            <w:r>
              <w:rPr/>
              <w:t> </w:t>
            </w:r>
          </w:p>
        </w:tc>
      </w:tr>
      <w:tr>
        <w:trPr/>
        <w:tc>
          <w:tcPr>
            <w:tcW w:w="2365" w:type="dxa"/>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related parties:</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October 2012 7.5% Note to Cato Holding Co.</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301,000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October 2012 7.5% Note to Cato Research Ltd. (1)</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1,009,000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55,900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1,064,900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1,009,000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1,045,200</w:t>
            </w:r>
          </w:p>
        </w:tc>
        <w:tc>
          <w:tcPr>
            <w:tcW w:w="128" w:type="dxa"/>
            <w:tcBorders/>
            <w:shd w:fill="CCEEFF" w:val="clear"/>
            <w:vAlign w:val="bottom"/>
          </w:tcPr>
          <w:p>
            <w:pPr>
              <w:pStyle w:val="TableContents"/>
              <w:spacing w:before="0" w:after="283"/>
              <w:jc w:val="left"/>
              <w:rPr/>
            </w:pPr>
            <w:r>
              <w:rPr/>
              <w:t> </w:t>
            </w:r>
          </w:p>
        </w:tc>
      </w:tr>
      <w:tr>
        <w:trPr/>
        <w:tc>
          <w:tcPr>
            <w:tcW w:w="2365"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68,900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1,371,500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1,302,600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1,346,200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(136,500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(136,500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(147,200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(147,200</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notes payable to related parties</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1,166,100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68,900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1,235,000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1,155,400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1,199,000</w:t>
            </w:r>
          </w:p>
        </w:tc>
        <w:tc>
          <w:tcPr>
            <w:tcW w:w="128" w:type="dxa"/>
            <w:tcBorders/>
            <w:shd w:fill="FFFFFF" w:val="clear"/>
            <w:vAlign w:val="bottom"/>
          </w:tcPr>
          <w:p>
            <w:pPr>
              <w:pStyle w:val="TableContents"/>
              <w:spacing w:before="0" w:after="283"/>
              <w:jc w:val="left"/>
              <w:rPr/>
            </w:pPr>
            <w:r>
              <w:rPr/>
              <w:t> </w:t>
            </w:r>
          </w:p>
        </w:tc>
      </w:tr>
      <w:tr>
        <w:trPr/>
        <w:tc>
          <w:tcPr>
            <w:tcW w:w="236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(85,600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(93,000</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36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1,078,700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55,900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1,134,600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1,069,800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0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1,106,000</w:t>
            </w:r>
          </w:p>
        </w:tc>
        <w:tc>
          <w:tcPr>
            <w:tcW w:w="128" w:type="dxa"/>
            <w:tcBorders/>
            <w:shd w:fill="FFFFFF" w:val="cle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492"/>
        <w:gridCol w:w="713"/>
      </w:tblGrid>
      <w:tr>
        <w:trPr/>
        <w:tc>
          <w:tcPr>
            <w:tcW w:w="94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 Note and interest payable solely in restricted shares of the Company's common stock.</w:t>
            </w:r>
          </w:p>
        </w:tc>
        <w:tc>
          <w:tcPr>
            <w:tcW w:w="713" w:type="dxa"/>
            <w:tcBorders/>
            <w:shd w:fill="auto" w:val="clear"/>
          </w:tcPr>
          <w:p>
            <w:pPr>
              <w:pStyle w:val="TableContents"/>
              <w:spacing w:before="0" w:after="283"/>
              <w:rPr/>
            </w:pPr>
            <w:r>
              <w:rPr/>
              <w:t xml:space="preserve">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21" w:name="PGBRK11"/>
      <w:bookmarkStart w:id="122" w:name="PGBRK11"/>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3" w:name="FTR11"/>
      <w:bookmarkStart w:id="124" w:name="FTR11"/>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25" w:name="GLFTR11"/>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6" w:name="PN11"/>
      <w:bookmarkEnd w:id="126"/>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7" w:name="HDR11"/>
      <w:bookmarkStart w:id="128" w:name="HDR11"/>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29" w:name="GLHDR11"/>
        <w:bookmarkEnd w:id="1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rFonts w:ascii="Times New Roman" w:hAnsi="Times New Roman"/>
          <w:b/>
          <w:sz w:val="20"/>
          <w:highlight w:val="white"/>
        </w:rPr>
      </w:pPr>
      <w:r>
        <w:rPr>
          <w:rFonts w:ascii="Times New Roman" w:hAnsi="Times New Roman"/>
          <w:b/>
          <w:sz w:val="20"/>
          <w:highlight w:val="white"/>
        </w:rPr>
        <w:t>Senior Secured Convertible Promissory Notes Issued to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2, 2012 and on August 31, 2012, the Company issued to Platinum senior secured convertible promissory notes in the principal amount of $500,000 (the “</w:t>
      </w:r>
      <w:r>
        <w:rPr>
          <w:rFonts w:ascii="Times New Roman" w:hAnsi="Times New Roman"/>
          <w:i/>
          <w:sz w:val="20"/>
        </w:rPr>
        <w:t>July 2012 Platinum Note</w:t>
      </w:r>
      <w:r>
        <w:rPr>
          <w:rFonts w:ascii="Times New Roman" w:hAnsi="Times New Roman"/>
          <w:sz w:val="20"/>
        </w:rPr>
        <w:t xml:space="preserve">”) and </w:t>
      </w:r>
      <w:r>
        <w:rPr>
          <w:rFonts w:ascii="Times New Roman" w:hAnsi="Times New Roman"/>
          <w:sz w:val="20"/>
          <w:highlight w:val="white"/>
        </w:rPr>
        <w:t>$750,000 (the "</w:t>
      </w:r>
      <w:r>
        <w:rPr>
          <w:rFonts w:ascii="Times New Roman" w:hAnsi="Times New Roman"/>
          <w:i/>
          <w:sz w:val="20"/>
          <w:highlight w:val="white"/>
        </w:rPr>
        <w:t>August 2012 Platinum Note</w:t>
      </w:r>
      <w:r>
        <w:rPr>
          <w:rFonts w:ascii="Times New Roman" w:hAnsi="Times New Roman"/>
          <w:sz w:val="20"/>
          <w:highlight w:val="white"/>
        </w:rPr>
        <w:t>"), respectively.  The July 2012 Platinum Note and the August 2012 Platinum Note 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11, 2012, the Company and Platinum entered into a Note Exchange and Purchase Agreement (the “</w:t>
      </w:r>
      <w:r>
        <w:rPr>
          <w:rFonts w:ascii="Times New Roman" w:hAnsi="Times New Roman"/>
          <w:i/>
          <w:sz w:val="20"/>
        </w:rPr>
        <w:t>October 2012 Agreement</w:t>
      </w:r>
      <w:r>
        <w:rPr>
          <w:rFonts w:ascii="Times New Roman" w:hAnsi="Times New Roman"/>
          <w:sz w:val="20"/>
        </w:rPr>
        <w:t xml:space="preserve">”) in which </w:t>
      </w:r>
      <w:r>
        <w:rPr>
          <w:rFonts w:ascii="Times New Roman" w:hAnsi="Times New Roman"/>
          <w:sz w:val="20"/>
          <w:highlight w:val="white"/>
        </w:rPr>
        <w:t xml:space="preserve">the July 2012 Platinum Note and the August 2012 Platinum Note </w:t>
      </w:r>
      <w:r>
        <w:rPr>
          <w:rFonts w:ascii="Times New Roman" w:hAnsi="Times New Roman"/>
          <w:sz w:val="20"/>
        </w:rPr>
        <w:t>(together, the “</w:t>
      </w:r>
      <w:r>
        <w:rPr>
          <w:rFonts w:ascii="Times New Roman" w:hAnsi="Times New Roman"/>
          <w:i/>
          <w:sz w:val="20"/>
        </w:rPr>
        <w:t>Existing Notes</w:t>
      </w:r>
      <w:r>
        <w:rPr>
          <w:rFonts w:ascii="Times New Roman" w:hAnsi="Times New Roman"/>
          <w:sz w:val="20"/>
        </w:rPr>
        <w:t>”)</w:t>
      </w:r>
      <w:r>
        <w:rPr>
          <w:rFonts w:ascii="Times New Roman" w:hAnsi="Times New Roman"/>
          <w:sz w:val="20"/>
          <w:highlight w:val="white"/>
        </w:rPr>
        <w:t>, as well as the related accrued interest, were consolidated into and exchanged for a single senior secured convertible note in the amount of $1,272,600 (the “</w:t>
      </w:r>
      <w:r>
        <w:rPr>
          <w:rFonts w:ascii="Times New Roman" w:hAnsi="Times New Roman"/>
          <w:i/>
          <w:sz w:val="20"/>
          <w:highlight w:val="white"/>
        </w:rPr>
        <w:t>Exchange Note</w:t>
      </w:r>
      <w:r>
        <w:rPr>
          <w:rFonts w:ascii="Times New Roman" w:hAnsi="Times New Roman"/>
          <w:sz w:val="20"/>
          <w:highlight w:val="white"/>
        </w:rPr>
        <w:t xml:space="preserve">”) and </w:t>
      </w:r>
      <w:r>
        <w:rPr>
          <w:rFonts w:ascii="Times New Roman" w:hAnsi="Times New Roman"/>
          <w:sz w:val="20"/>
        </w:rPr>
        <w:t>Platinum agreed to purchase four additional 10% senior secured convertible promissory notes in the aggregate principal amount of $2.0 million (the “</w:t>
      </w:r>
      <w:r>
        <w:rPr>
          <w:rFonts w:ascii="Times New Roman" w:hAnsi="Times New Roman"/>
          <w:i/>
          <w:sz w:val="20"/>
        </w:rPr>
        <w:t>Investment Notes</w:t>
      </w:r>
      <w:r>
        <w:rPr>
          <w:rFonts w:ascii="Times New Roman" w:hAnsi="Times New Roman"/>
          <w:sz w:val="20"/>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November 14, 2012 and January 31, 2013, the Company and Platinum entered into amendments to the October 2012 Agreement (the “</w:t>
      </w:r>
      <w:r>
        <w:rPr>
          <w:rFonts w:ascii="Times New Roman" w:hAnsi="Times New Roman"/>
          <w:i/>
          <w:sz w:val="20"/>
        </w:rPr>
        <w:t>NEPA Amendments</w:t>
      </w:r>
      <w:r>
        <w:rPr>
          <w:rFonts w:ascii="Times New Roman" w:hAnsi="Times New Roman"/>
          <w:sz w:val="20"/>
        </w:rPr>
        <w:t>”), pursuant to which the final two $500,000 tranches contemplated by the October 2012 Agreement were combined into a single Investment Note in the aggregate principal amount of $1.0 million (the “</w:t>
      </w:r>
      <w:r>
        <w:rPr>
          <w:rFonts w:ascii="Times New Roman" w:hAnsi="Times New Roman"/>
          <w:i/>
          <w:sz w:val="20"/>
        </w:rPr>
        <w:t>$1.0 Million Note</w:t>
      </w:r>
      <w:r>
        <w:rPr>
          <w:rFonts w:ascii="Times New Roman" w:hAnsi="Times New Roman"/>
          <w:sz w:val="20"/>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Times New Roman" w:hAnsi="Times New Roman"/>
          <w:i/>
          <w:sz w:val="20"/>
        </w:rPr>
        <w:t>Additional Financing Requirement</w:t>
      </w:r>
      <w:r>
        <w:rPr>
          <w:rFonts w:ascii="Times New Roman" w:hAnsi="Times New Roman"/>
          <w:sz w:val="20"/>
        </w:rPr>
        <w:t>”).  The Company satisfied the Additional Financing Requirement on February 12, 2013.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Exchange Note and each Investment Note (together, the “</w:t>
      </w:r>
      <w:r>
        <w:rPr>
          <w:rFonts w:ascii="Times New Roman" w:hAnsi="Times New Roman"/>
          <w:i/>
          <w:sz w:val="20"/>
        </w:rPr>
        <w:t>Notes</w:t>
      </w:r>
      <w:r>
        <w:rPr>
          <w:rFonts w:ascii="Times New Roman" w:hAnsi="Times New Roman"/>
          <w:sz w:val="20"/>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respective Investment Notes. At maturity, all principal and accrued interest under the Notes shall be payable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additional consideration for the purchase of the Investment Notes, the Company agreed to issue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hAnsi="Times New Roman"/>
          <w:i/>
          <w:sz w:val="20"/>
        </w:rPr>
        <w:t>Investment Warrant</w:t>
      </w:r>
      <w:r>
        <w:rPr>
          <w:rFonts w:ascii="Times New Roman" w:hAnsi="Times New Roman"/>
          <w:sz w:val="20"/>
        </w:rPr>
        <w:t>”).  In addition, the Company issued Platinum a warrant to purchase 1,272,577 shares of the Company’s common stock in connection with the issuance of the Exchange Note (the “</w:t>
      </w:r>
      <w:r>
        <w:rPr>
          <w:rFonts w:ascii="Times New Roman" w:hAnsi="Times New Roman"/>
          <w:i/>
          <w:sz w:val="20"/>
        </w:rPr>
        <w:t>Exchange Warrant</w:t>
      </w:r>
      <w:r>
        <w:rPr>
          <w:rFonts w:ascii="Times New Roman" w:hAnsi="Times New Roman"/>
          <w:sz w:val="20"/>
        </w:rPr>
        <w:t>”). At issuance, the Platinum Exchange Warrant and each Investment Warrant has a term of 5 years and an exercise price of $1.50 per share, subject to certain adjustments.</w:t>
      </w:r>
      <w:r>
        <w:rPr>
          <w:rFonts w:ascii="Times New Roman" w:hAnsi="Times New Roman"/>
          <w:sz w:val="20"/>
          <w:highlight w:val="white"/>
        </w:rPr>
        <w:t xml:space="preserve"> See Note 8, </w:t>
      </w:r>
      <w:r>
        <w:rPr>
          <w:rFonts w:ascii="Times New Roman" w:hAnsi="Times New Roman"/>
          <w:i/>
          <w:sz w:val="20"/>
          <w:highlight w:val="white"/>
        </w:rPr>
        <w:t xml:space="preserve">Capital Stock, </w:t>
      </w:r>
      <w:r>
        <w:rPr>
          <w:rFonts w:ascii="Times New Roman" w:hAnsi="Times New Roman"/>
          <w:sz w:val="20"/>
          <w:highlight w:val="white"/>
        </w:rPr>
        <w:t>regarding a modification of the exercise price of the Exchange Warrant and the Investment Warrants made in May 2013.  In connection with the October 2012 Agreement, the Company and Platinum also executed and subsequently amended a security agreement to secure repayment of all obligations due and payable under the terms of the Exchange Note and all of the Investment Notes.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 w:name="PGBRK12"/>
      <w:bookmarkStart w:id="131" w:name="PGBRK12"/>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FTR12"/>
      <w:bookmarkStart w:id="133" w:name="FTR12"/>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4" w:name="GLFTR12"/>
      <w:bookmarkEnd w:id="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5" w:name="PN12"/>
      <w:bookmarkEnd w:id="135"/>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HDR12"/>
      <w:bookmarkStart w:id="137" w:name="HDR12"/>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8" w:name="GLHDR12"/>
        <w:bookmarkEnd w:id="13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Subject to limited exceptions, the Exchange Warrant and each of the Investment Warrants include certain exercise price reset and anti-dilution protection features in the event that the Company issues other shares of common stock during the five-year term of the warrants at a price less than their initial $1.50 per share exercise price. As a result of these provisions, the Exchange Warrant and the Investment Warrants do not meet the criteria set forth in ASC 815, </w:t>
      </w:r>
      <w:r>
        <w:rPr>
          <w:rFonts w:ascii="Times New Roman" w:hAnsi="Times New Roman"/>
          <w:i/>
          <w:sz w:val="20"/>
        </w:rPr>
        <w:t>Derivatives and Hedging</w:t>
      </w:r>
      <w:r>
        <w:rPr>
          <w:rFonts w:ascii="Times New Roman" w:hAnsi="Times New Roman"/>
          <w:sz w:val="20"/>
        </w:rPr>
        <w:t>, to be considered indexed to the Company’s own stock and treated as equity instruments. Consequently, the Company recorded the Exchange Warrant and each of the Investment Warrants as liabilities at their fair value, which was estimated at the issuance date using a Monte Carlo simulation model.  The fair value of the Exchange Warrant at the date of issuance was recorded as a liability and as a corresponding charge to loss on early extinguishment of debt in the Statement of Operations and Comprehensive Income in the third quarter of the fiscal year ended March 31, 2013.  The fair value of each Investment Warrant at the date of issuance was recorded as a liability and as a corresponding discount to the related Investment Note.  Subject to limitations of the absolute amount of discount attributable to each Investment Note, the Company treated the issuance-date intrinsic value of the beneficial conversion feature embedded in each Investment Note as an additional component of the discount attributable to each Investment Note and recorded a discount attributable to the beneficial conversion feature for each Investment Note.  The Company amortizes the aggregate discount attributable to each of the Investment Notes using the interest method over the respective term of each note.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fair value of the Exchange Warrant and Investment Warrants was re-measured as of June 30, 2013 at an aggregate of $1,338,700 and the $649,300 decrease in fair value since March 31, 2013 was reflected in the accompanying Condensed Consolidated Statement of Operations and Comprehensive Income for the quarter ended June 30,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Notes Payable to Morrison &amp; Foerster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May 5, 2011, the Company and Morrison &amp; Foerster LLP (“</w:t>
      </w:r>
      <w:r>
        <w:rPr>
          <w:rFonts w:ascii="Times New Roman" w:hAnsi="Times New Roman"/>
          <w:i/>
          <w:sz w:val="20"/>
        </w:rPr>
        <w:t>Morrison &amp; Foerster</w:t>
      </w:r>
      <w:r>
        <w:rPr>
          <w:rFonts w:ascii="Times New Roman" w:hAnsi="Times New Roman"/>
          <w:sz w:val="20"/>
        </w:rPr>
        <w:t>”), the Company’s legal and intellectual property counsel, amended a previously outstanding note (the “</w:t>
      </w:r>
      <w:r>
        <w:rPr>
          <w:rFonts w:ascii="Times New Roman" w:hAnsi="Times New Roman"/>
          <w:i/>
          <w:sz w:val="20"/>
        </w:rPr>
        <w:t>Original Note</w:t>
      </w:r>
      <w:r>
        <w:rPr>
          <w:rFonts w:ascii="Times New Roman" w:hAnsi="Times New Roman"/>
          <w:sz w:val="20"/>
        </w:rPr>
        <w:t>”) issued by the Company in payment of legal services (the “</w:t>
      </w:r>
      <w:r>
        <w:rPr>
          <w:rFonts w:ascii="Times New Roman" w:hAnsi="Times New Roman"/>
          <w:i/>
          <w:sz w:val="20"/>
        </w:rPr>
        <w:t>Amended Note</w:t>
      </w:r>
      <w:r>
        <w:rPr>
          <w:rFonts w:ascii="Times New Roman" w:hAnsi="Times New Roman"/>
          <w:sz w:val="20"/>
        </w:rPr>
        <w:t xml:space="preserve">”).  Under the Amended Note, the principal balance of the Original Note was increased to $2,200,000, </w:t>
      </w:r>
      <w:r>
        <w:rPr>
          <w:rFonts w:ascii="Times New Roman" w:hAnsi="Times New Roman"/>
          <w:sz w:val="20"/>
          <w:highlight w:val="white"/>
        </w:rPr>
        <w:t xml:space="preserve">interest accrued at the rate of 7.5% per annum, and the Company was required to make </w:t>
      </w:r>
      <w:r>
        <w:rPr>
          <w:rFonts w:ascii="Times New Roman" w:hAnsi="Times New Roman"/>
          <w:sz w:val="20"/>
        </w:rPr>
        <w:t>an additional payment of $100,000 within three business days of the date of the Amended Note, which the Company made in a timely manner.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highlight w:val="white"/>
        </w:rPr>
        <w:t>On August 31, 2012, the Company restructured the Amended Note (the “</w:t>
      </w:r>
      <w:r>
        <w:rPr>
          <w:rFonts w:ascii="Times New Roman" w:hAnsi="Times New Roman"/>
          <w:i/>
          <w:sz w:val="20"/>
          <w:highlight w:val="white"/>
        </w:rPr>
        <w:t>Restructuring Agreement</w:t>
      </w:r>
      <w:r>
        <w:rPr>
          <w:rFonts w:ascii="Times New Roman" w:hAnsi="Times New Roman"/>
          <w:sz w:val="20"/>
          <w:highlight w:val="white"/>
        </w:rPr>
        <w:t>”).  Pursuant to the Restructuring Agreement, the Company issued to Morrison &amp; Foerster two new unsecured promissory notes to replace the Amended Note, one in the principal amount of $1,000,000 ("</w:t>
      </w:r>
      <w:r>
        <w:rPr>
          <w:rFonts w:ascii="Times New Roman" w:hAnsi="Times New Roman"/>
          <w:i/>
          <w:sz w:val="20"/>
          <w:highlight w:val="white"/>
        </w:rPr>
        <w:t>Replacement Note A</w:t>
      </w:r>
      <w:r>
        <w:rPr>
          <w:rFonts w:ascii="Times New Roman" w:hAnsi="Times New Roman"/>
          <w:sz w:val="20"/>
          <w:highlight w:val="white"/>
        </w:rPr>
        <w:t>") and the other in the principal amount of $1,379,400 ("</w:t>
      </w:r>
      <w:r>
        <w:rPr>
          <w:rFonts w:ascii="Times New Roman" w:hAnsi="Times New Roman"/>
          <w:i/>
          <w:sz w:val="20"/>
          <w:highlight w:val="white"/>
        </w:rPr>
        <w:t>Replacement Note B</w:t>
      </w:r>
      <w:r>
        <w:rPr>
          <w:rFonts w:ascii="Times New Roman" w:hAnsi="Times New Roman"/>
          <w:sz w:val="20"/>
          <w:highlight w:val="white"/>
        </w:rPr>
        <w:t>") (together, the "</w:t>
      </w:r>
      <w:r>
        <w:rPr>
          <w:rFonts w:ascii="Times New Roman" w:hAnsi="Times New Roman"/>
          <w:i/>
          <w:sz w:val="20"/>
          <w:highlight w:val="white"/>
        </w:rPr>
        <w:t>Replacement Notes</w:t>
      </w:r>
      <w:r>
        <w:rPr>
          <w:rFonts w:ascii="Times New Roman" w:hAnsi="Times New Roman"/>
          <w:sz w:val="20"/>
          <w:highlight w:val="white"/>
        </w:rPr>
        <w:t>"); amended an outstanding warrant to purchase 425,000 restricted shares of the Company’s common stock (the “</w:t>
      </w:r>
      <w:r>
        <w:rPr>
          <w:rFonts w:ascii="Times New Roman" w:hAnsi="Times New Roman"/>
          <w:i/>
          <w:sz w:val="20"/>
          <w:highlight w:val="white"/>
        </w:rPr>
        <w:t>Amended M&amp;F Warrant”)</w:t>
      </w:r>
      <w:r>
        <w:rPr>
          <w:rFonts w:ascii="Times New Roman" w:hAnsi="Times New Roman"/>
          <w:sz w:val="20"/>
          <w:highlight w:val="white"/>
        </w:rPr>
        <w:t>; and issued a new warrant to purchase 1,379,376 restricted shares of the Company’s common stock (the “</w:t>
      </w:r>
      <w:r>
        <w:rPr>
          <w:rFonts w:ascii="Times New Roman" w:hAnsi="Times New Roman"/>
          <w:i/>
          <w:sz w:val="20"/>
          <w:highlight w:val="white"/>
        </w:rPr>
        <w:t>New M&amp;F Warrant”).  </w:t>
      </w:r>
      <w:r>
        <w:rPr>
          <w:rFonts w:ascii="Times New Roman" w:hAnsi="Times New Roman"/>
          <w:sz w:val="20"/>
          <w:highlight w:val="white"/>
        </w:rPr>
        <w:t xml:space="preserve">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w:t>
      </w:r>
      <w:r>
        <w:rPr>
          <w:rFonts w:ascii="Times New Roman" w:hAnsi="Times New Roman"/>
          <w:sz w:val="20"/>
        </w:rPr>
        <w:t xml:space="preserve">monthly payments of $15,000 per month through March 31, 2013, and $25,000 per month thereafter until maturity. </w:t>
      </w:r>
      <w:r>
        <w:rPr>
          <w:rFonts w:ascii="Times New Roman" w:hAnsi="Times New Roman"/>
          <w:sz w:val="20"/>
          <w:highlight w:val="white"/>
        </w:rPr>
        <w:t>Payment of the principal and interest on Replacement Note B will be made solely in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treated the aggregate of the incremental value of the Amended M&amp;F Warrant and the fair value of the New M&amp;F Warrant as a discount to the Replacement Notes.  Through June 30, 2013, the Company has adjusted the New M&amp;F Warrant to increase the number of restricted shares available for purchase by 85,880 shares, based on interest accrued on Replacement Note B through that date. The Company has recorded the fair value of the additional shares as a charge to interest expense and a corresponding credit to additional paid-in capital.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 w:name="PGBRK13"/>
      <w:bookmarkStart w:id="140" w:name="PGBRK13"/>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FTR13"/>
      <w:bookmarkStart w:id="142" w:name="FTR13"/>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3" w:name="GLFTR13"/>
      <w:bookmarkEnd w:id="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4" w:name="PN13"/>
      <w:bookmarkEnd w:id="144"/>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HDR13"/>
      <w:bookmarkStart w:id="146" w:name="HDR13"/>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47" w:name="GLHDR13"/>
        <w:bookmarkEnd w:id="14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Payable to University Health Network (“</w:t>
      </w:r>
      <w:r>
        <w:rPr>
          <w:rFonts w:ascii="Times New Roman" w:hAnsi="Times New Roman"/>
          <w:b/>
          <w:i/>
          <w:sz w:val="20"/>
        </w:rPr>
        <w:t>UHN</w:t>
      </w:r>
      <w:r>
        <w:rPr>
          <w:rFonts w:ascii="Times New Roman" w:hAnsi="Times New Roman"/>
          <w:b/>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Sponsored Research Collaboration Agreement (“</w:t>
      </w:r>
      <w:r>
        <w:rPr>
          <w:rFonts w:ascii="Times New Roman" w:hAnsi="Times New Roman"/>
          <w:i/>
          <w:sz w:val="20"/>
        </w:rPr>
        <w:t>SRCA</w:t>
      </w:r>
      <w:r>
        <w:rPr>
          <w:rFonts w:ascii="Times New Roman" w:hAnsi="Times New Roman"/>
          <w:sz w:val="20"/>
        </w:rPr>
        <w:t xml:space="preserve">”, described in Note 8, </w:t>
      </w:r>
      <w:r>
        <w:rPr>
          <w:rFonts w:ascii="Times New Roman" w:hAnsi="Times New Roman"/>
          <w:i/>
          <w:sz w:val="20"/>
        </w:rPr>
        <w:t>Licensing and Collaborative Agreements</w:t>
      </w:r>
      <w:r>
        <w:rPr>
          <w:rFonts w:ascii="Times New Roman" w:hAnsi="Times New Roman"/>
          <w:sz w:val="20"/>
        </w:rPr>
        <w:t>) through September 30, 2012 (the “</w:t>
      </w:r>
      <w:r>
        <w:rPr>
          <w:rFonts w:ascii="Times New Roman" w:hAnsi="Times New Roman"/>
          <w:i/>
          <w:sz w:val="20"/>
        </w:rPr>
        <w:t>UHN Note</w:t>
      </w:r>
      <w:r>
        <w:rPr>
          <w:rFonts w:ascii="Times New Roman" w:hAnsi="Times New Roman"/>
          <w:sz w:val="20"/>
        </w:rPr>
        <w:t>”), and (ii) a five-year warrant to purchase, at a price of $1.00 per share, 549,500 restricted shares of the Company’s common stock, the amount equal to the sum of the principal amount of the UHN Note, plus all accrued interest thereon, divided by $1.00 per share (the “</w:t>
      </w:r>
      <w:r>
        <w:rPr>
          <w:rFonts w:ascii="Times New Roman" w:hAnsi="Times New Roman"/>
          <w:i/>
          <w:sz w:val="20"/>
        </w:rPr>
        <w:t>UHN Warrant</w:t>
      </w:r>
      <w:r>
        <w:rPr>
          <w:rFonts w:ascii="Times New Roman" w:hAnsi="Times New Roman"/>
          <w:sz w:val="20"/>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difference between the face value of the UHN Note and its issuance-date fair value has been treated as a discount to the note and is being amortized over the term of the note using the interest method.  Through June 30, 2013, the Company has adjusted the UHN Warrant to increase the number of shares available for purchase by 29,696 shares, based on interest accrued on the UHN Note through that date. The Company has recorded the fair value of the additional shares as a charge to interest expense and a corresponding credit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Notes Payable for Cancellation of Amounts Payable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25, 2011, the Company issued to Burr, Pilger, and Mayer, LLC (“</w:t>
      </w:r>
      <w:r>
        <w:rPr>
          <w:rFonts w:ascii="Times New Roman" w:hAnsi="Times New Roman"/>
          <w:i/>
          <w:sz w:val="20"/>
        </w:rPr>
        <w:t>BPM</w:t>
      </w:r>
      <w:r>
        <w:rPr>
          <w:rFonts w:ascii="Times New Roman" w:hAnsi="Times New Roman"/>
          <w:sz w:val="20"/>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29, 2011, the Company issued to Desjardins Securities, Inc. (“</w:t>
      </w:r>
      <w:r>
        <w:rPr>
          <w:rFonts w:ascii="Times New Roman" w:hAnsi="Times New Roman"/>
          <w:i/>
          <w:sz w:val="20"/>
        </w:rPr>
        <w:t>Desjardins</w:t>
      </w:r>
      <w:r>
        <w:rPr>
          <w:rFonts w:ascii="Times New Roman" w:hAnsi="Times New Roman"/>
          <w:sz w:val="20"/>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shall also make payments equal to one-half percent (0.5%) of the net proceeds of all private or public equity financings closed during the term of the note. At September 30, 2012, the Company had not made the monthly payments required for February through September 2012. However, the Company resumed such monthly payments in October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May 5, 2011, the Company issued to McCarthy Tetrault LLP (“</w:t>
      </w:r>
      <w:r>
        <w:rPr>
          <w:rFonts w:ascii="Times New Roman" w:hAnsi="Times New Roman"/>
          <w:i/>
          <w:sz w:val="20"/>
        </w:rPr>
        <w:t>McCarthy</w:t>
      </w:r>
      <w:r>
        <w:rPr>
          <w:rFonts w:ascii="Times New Roman" w:hAnsi="Times New Roman"/>
          <w:sz w:val="20"/>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At September 30, 2012, the Company had not made the monthly payments required for February through September 2012. In October 2012, the Company and McCarthy agreed to extend the term of the note through March 2015.</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8" w:name="PGBRK14"/>
      <w:bookmarkStart w:id="149" w:name="PGBRK14"/>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 w:name="FTR14"/>
      <w:bookmarkStart w:id="151" w:name="FTR14"/>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2" w:name="GLFTR14"/>
      <w:bookmarkEnd w:id="1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3" w:name="PN14"/>
      <w:bookmarkEnd w:id="153"/>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HDR14"/>
      <w:bookmarkStart w:id="155" w:name="HDR14"/>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56" w:name="GLHDR14"/>
        <w:bookmarkEnd w:id="15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 during the second quarter of the fiscal year ended March 31,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Payable to Cato Holding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2011, all amounts owed by the Company to Cato Holding Company ("</w:t>
      </w:r>
      <w:r>
        <w:rPr>
          <w:rFonts w:ascii="Times New Roman" w:hAnsi="Times New Roman"/>
          <w:i/>
          <w:sz w:val="20"/>
        </w:rPr>
        <w:t>CHC</w:t>
      </w:r>
      <w:r>
        <w:rPr>
          <w:rFonts w:ascii="Times New Roman" w:hAnsi="Times New Roman"/>
          <w:sz w:val="20"/>
        </w:rPr>
        <w:t>"), a related party, and its affiliates, were consolidated into a single note, in the principal amount of $352,300 (the “</w:t>
      </w:r>
      <w:r>
        <w:rPr>
          <w:rFonts w:ascii="Times New Roman" w:hAnsi="Times New Roman"/>
          <w:i/>
          <w:sz w:val="20"/>
        </w:rPr>
        <w:t>2011 CHC Note</w:t>
      </w:r>
      <w:r>
        <w:rPr>
          <w:rFonts w:ascii="Times New Roman" w:hAnsi="Times New Roman"/>
          <w:sz w:val="20"/>
        </w:rPr>
        <w:t>”).  Concurrently, CHC released all of its security interests in certain of the Company’s personal property.  The 2011 CHC note was to bear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and CHC restructured the 2011 CHC Note by cancelling the 2011 CHC Note and exchanging it for a new unsecured promissory note in the principal amount of $310,400 (the “</w:t>
      </w:r>
      <w:r>
        <w:rPr>
          <w:rFonts w:ascii="Times New Roman" w:hAnsi="Times New Roman"/>
          <w:i/>
          <w:sz w:val="20"/>
        </w:rPr>
        <w:t>2012 CHC Note</w:t>
      </w:r>
      <w:r>
        <w:rPr>
          <w:rFonts w:ascii="Times New Roman" w:hAnsi="Times New Roman"/>
          <w:sz w:val="20"/>
        </w:rPr>
        <w:t>”) and a five-year warrant to purchase 250,000 shares of the Company’s common stock at a price of $1.50 per share (the “</w:t>
      </w:r>
      <w:r>
        <w:rPr>
          <w:rFonts w:ascii="Times New Roman" w:hAnsi="Times New Roman"/>
          <w:i/>
          <w:sz w:val="20"/>
        </w:rPr>
        <w:t>CHC Warrant</w:t>
      </w:r>
      <w:r>
        <w:rPr>
          <w:rFonts w:ascii="Times New Roman" w:hAnsi="Times New Roman"/>
          <w:sz w:val="20"/>
        </w:rPr>
        <w:t>”).  The 2012 CHC Note accrues interest at a rate of 7.5% per annum and is due and payable in monthly installments of $10,000, beginning November 1, 2012 and continuing until the outstanding balance is paid in full.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The Company recognized the difference between the sum of the fair values of the 2012 CHC Note and the CHC Warrant less the carrying value of the 2011 CHC Note, $119,100, as a non-cash loss on early extinguishment of debt in the Consolidated Statements of Operations and Comprehensive Income for the third quarter of the fiscal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Payable to Cato Research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issued to Cato Research Ltd. (“</w:t>
      </w:r>
      <w:r>
        <w:rPr>
          <w:rFonts w:ascii="Times New Roman" w:hAnsi="Times New Roman"/>
          <w:i/>
          <w:sz w:val="20"/>
        </w:rPr>
        <w:t>CRL</w:t>
      </w:r>
      <w:r>
        <w:rPr>
          <w:rFonts w:ascii="Times New Roman" w:hAnsi="Times New Roman"/>
          <w:sz w:val="20"/>
        </w:rPr>
        <w:t>”), a related party: (i) an unsecured promissory note in the initial principal amount of $1,009,000, which is payable solely in restricted shares of the Company’s common stock and which accrues interest at the rate of 7.5% per annum, compounded monthly (the “</w:t>
      </w:r>
      <w:r>
        <w:rPr>
          <w:rFonts w:ascii="Times New Roman" w:hAnsi="Times New Roman"/>
          <w:i/>
          <w:sz w:val="20"/>
        </w:rPr>
        <w:t>CRL Note</w:t>
      </w:r>
      <w:r>
        <w:rPr>
          <w:rFonts w:ascii="Times New Roman" w:hAnsi="Times New Roman"/>
          <w:sz w:val="20"/>
        </w:rPr>
        <w:t>”), as payment in full for all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preclinical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hAnsi="Times New Roman"/>
          <w:i/>
          <w:sz w:val="20"/>
        </w:rPr>
        <w:t>CRL Warrant</w:t>
      </w:r>
      <w:r>
        <w:rPr>
          <w:rFonts w:ascii="Times New Roman" w:hAnsi="Times New Roman"/>
          <w:sz w:val="20"/>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7" w:name="PGBRK15"/>
      <w:bookmarkStart w:id="158" w:name="PGBRK15"/>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FTR15"/>
      <w:bookmarkStart w:id="160" w:name="FTR15"/>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1" w:name="GLFTR15"/>
      <w:bookmarkEnd w:id="1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2" w:name="PN15"/>
      <w:bookmarkEnd w:id="162"/>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3" w:name="HDR15"/>
      <w:bookmarkStart w:id="164" w:name="HDR15"/>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65" w:name="GLHDR15"/>
        <w:bookmarkEnd w:id="16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$486,200. The Company recognized the difference between the sum of the fair values of the CRL Note and the CRL Warrant less the accounts payable balance due to CRL, $335,100, as a non-cash loss on early extinguishment of debt in the Consolidated Statements of Operations and Comprehensive Income for the third quarter of the fiscal year ended March 31, 2013.  The fair value of the warrant, $486,200,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Through June 30, 2013, the Company has adjusted the CRL Warrant to increase the number of restricted shares available for purchase by 55,854 shares, based on interest accrued on the CRL Note through that date. The Company has recorded the fair value of the additional shares as a charge to interest expense and a corresponding credit to additional paid-in capital.</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8.  Licensing and Collaborative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University Health Network</w:t>
      </w:r>
    </w:p>
    <w:p>
      <w:pPr>
        <w:pStyle w:val="TextBody"/>
        <w:spacing w:before="0" w:after="0"/>
        <w:ind w:left="0" w:right="0" w:hanging="0"/>
        <w:jc w:val="both"/>
        <w:rPr/>
      </w:pPr>
      <w:r>
        <w:rPr/>
        <w:t> </w:t>
      </w:r>
    </w:p>
    <w:p>
      <w:pPr>
        <w:pStyle w:val="TextBody"/>
        <w:spacing w:before="0" w:after="0"/>
        <w:ind w:left="0" w:right="0" w:hanging="0"/>
        <w:jc w:val="both"/>
        <w:rPr/>
      </w:pPr>
      <w:bookmarkStart w:id="166" w:name="TAB22"/>
      <w:bookmarkEnd w:id="166"/>
      <w:r>
        <w:rPr>
          <w:spacing w:val="180"/>
        </w:rPr>
        <w:t>   </w:t>
      </w:r>
      <w:r>
        <w:rPr/>
        <w:t> </w:t>
      </w:r>
      <w:r>
        <w:rPr>
          <w:rFonts w:ascii="Times New Roman" w:hAnsi="Times New Roman"/>
          <w:sz w:val="20"/>
        </w:rPr>
        <w:t>On September 17, 2007, the Company and UHN entered into a Sponsored Research Collaboration Agreement (“</w:t>
      </w:r>
      <w:r>
        <w:rPr>
          <w:rFonts w:ascii="Times New Roman" w:hAnsi="Times New Roman"/>
          <w:i/>
          <w:sz w:val="20"/>
        </w:rPr>
        <w:t>SRCA</w:t>
      </w:r>
      <w:r>
        <w:rPr>
          <w:rFonts w:ascii="Times New Roman" w:hAnsi="Times New Roman"/>
          <w:sz w:val="20"/>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7, </w:t>
      </w:r>
      <w:r>
        <w:rPr>
          <w:rFonts w:ascii="Times New Roman" w:hAnsi="Times New Roman"/>
          <w:i/>
          <w:sz w:val="20"/>
        </w:rPr>
        <w:t>Convertible Notes and Other Notes Payable</w:t>
      </w:r>
      <w:r>
        <w:rPr>
          <w:rFonts w:ascii="Times New Roman" w:hAnsi="Times New Roman"/>
          <w:sz w:val="20"/>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 including payments aggregating $229,500 applicable to services for the period from October 1, 2012 through June 30, 2013.</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 National Institutes of Health</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fiscal years 2006 through 2008, the U.S. National Institutes of Health ("</w:t>
      </w:r>
      <w:r>
        <w:rPr>
          <w:rFonts w:ascii="Times New Roman" w:hAnsi="Times New Roman"/>
          <w:i/>
          <w:sz w:val="20"/>
        </w:rPr>
        <w:t>NIH</w:t>
      </w:r>
      <w:r>
        <w:rPr>
          <w:rFonts w:ascii="Times New Roman" w:hAnsi="Times New Roman"/>
          <w:sz w:val="20"/>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 and has not been extended or renewed.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7" w:name="PGBRK16"/>
      <w:bookmarkStart w:id="168" w:name="PGBRK16"/>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FTR16"/>
      <w:bookmarkStart w:id="170" w:name="FTR16"/>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1" w:name="GLFTR16"/>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2" w:name="PN16"/>
      <w:bookmarkEnd w:id="172"/>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HDR16"/>
      <w:bookmarkStart w:id="174" w:name="HDR16"/>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75" w:name="GLHDR16"/>
        <w:bookmarkEnd w:id="1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Cato Research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has built a strategic development relationship with Cato Research Ltd. (“</w:t>
      </w:r>
      <w:r>
        <w:rPr>
          <w:rFonts w:ascii="Times New Roman" w:hAnsi="Times New Roman"/>
          <w:i/>
          <w:sz w:val="20"/>
        </w:rPr>
        <w:t>CRL</w:t>
      </w:r>
      <w:r>
        <w:rPr>
          <w:rFonts w:ascii="Times New Roman" w:hAnsi="Times New Roman"/>
          <w:sz w:val="20"/>
        </w:rPr>
        <w:t xml:space="preserve">”), a global contract research and development organization, or CRO, and an affiliate of one of the Company’s largest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$30,000 and $222,600 in the three month periods ended June 30, 2013 and 2012, respectively. As described in Note 7, </w:t>
      </w:r>
      <w:r>
        <w:rPr>
          <w:rFonts w:ascii="Times New Roman" w:hAnsi="Times New Roman"/>
          <w:i/>
          <w:sz w:val="20"/>
        </w:rPr>
        <w:t>Convertible Promissory</w:t>
      </w:r>
      <w:r>
        <w:rPr>
          <w:rFonts w:ascii="Times New Roman" w:hAnsi="Times New Roman"/>
          <w:sz w:val="20"/>
        </w:rPr>
        <w:t xml:space="preserve"> </w:t>
      </w:r>
      <w:r>
        <w:rPr>
          <w:rFonts w:ascii="Times New Roman" w:hAnsi="Times New Roman"/>
          <w:i/>
          <w:sz w:val="20"/>
        </w:rPr>
        <w:t>Notes and Other Notes Payable</w:t>
      </w:r>
      <w:r>
        <w:rPr>
          <w:rFonts w:ascii="Times New Roman" w:hAnsi="Times New Roman"/>
          <w:sz w:val="20"/>
        </w:rPr>
        <w:t>, in October 2012, the Company issued an unsecured promissory note in the principal amount of $1,009,000, and a warrant exercisable for 1,009,000 shares of the Company’s common stock, as payment in full of all amounts owed to CRL for CRO services rendered to the Company through December 31,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9.  Capital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Autilion AG Securities Purchase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April 8, 2013, the Company entered into a Securities Purchase Agreement (the “</w:t>
      </w:r>
      <w:r>
        <w:rPr>
          <w:rFonts w:ascii="Times New Roman" w:hAnsi="Times New Roman"/>
          <w:i/>
          <w:sz w:val="20"/>
        </w:rPr>
        <w:t>Purchase Agreement</w:t>
      </w:r>
      <w:r>
        <w:rPr>
          <w:rFonts w:ascii="Times New Roman" w:hAnsi="Times New Roman"/>
          <w:sz w:val="20"/>
        </w:rPr>
        <w:t>”) with Autilion AG, a company organized and existing under the laws of Switzerland (“</w:t>
      </w:r>
      <w:r>
        <w:rPr>
          <w:rFonts w:ascii="Times New Roman" w:hAnsi="Times New Roman"/>
          <w:i/>
          <w:sz w:val="20"/>
        </w:rPr>
        <w:t>Autilion</w:t>
      </w:r>
      <w:r>
        <w:rPr>
          <w:rFonts w:ascii="Times New Roman" w:hAnsi="Times New Roman"/>
          <w:sz w:val="20"/>
        </w:rPr>
        <w:t>”).  On April 12, 2013, Autilion assigned the Purchase Agreement to its affiliate, Bergamo Acquisition Corp. PTE LTD, a corporation organized and existing under the laws of Singapore (“</w:t>
      </w:r>
      <w:r>
        <w:rPr>
          <w:rFonts w:ascii="Times New Roman" w:hAnsi="Times New Roman"/>
          <w:i/>
          <w:sz w:val="20"/>
        </w:rPr>
        <w:t>Bergamo Singapore</w:t>
      </w:r>
      <w:r>
        <w:rPr>
          <w:rFonts w:ascii="Times New Roman" w:hAnsi="Times New Roman"/>
          <w:sz w:val="20"/>
        </w:rPr>
        <w:t>”). On April 30, 2013, the Company and Bergamo Singapore amended the Purchase Agreement (the “</w:t>
      </w:r>
      <w:r>
        <w:rPr>
          <w:rFonts w:ascii="Times New Roman" w:hAnsi="Times New Roman"/>
          <w:i/>
          <w:sz w:val="20"/>
        </w:rPr>
        <w:t>Amendment No. 1</w:t>
      </w:r>
      <w:r>
        <w:rPr>
          <w:rFonts w:ascii="Times New Roman" w:hAnsi="Times New Roman"/>
          <w:sz w:val="20"/>
        </w:rPr>
        <w:t>”) to modify the investment dates.  On June 27, 2013, the Company, Autilion and Bergamo Singapore further amended the Agreement to vacate Autilion’s April 2013 assignment of the Purchase Agreement to Bergamo Singapore, provide for an initial closing under the Purchase Agreement, and amend certain of the investment dates under the Purchase Agreement (“</w:t>
      </w:r>
      <w:r>
        <w:rPr>
          <w:rFonts w:ascii="Times New Roman" w:hAnsi="Times New Roman"/>
          <w:i/>
          <w:sz w:val="20"/>
        </w:rPr>
        <w:t>Amendment No. 2</w:t>
      </w:r>
      <w:r>
        <w:rPr>
          <w:rFonts w:ascii="Times New Roman" w:hAnsi="Times New Roman"/>
          <w:sz w:val="20"/>
        </w:rPr>
        <w:t>”, and together with the Agreement and Amendment No. 1, the “</w:t>
      </w:r>
      <w:r>
        <w:rPr>
          <w:rFonts w:ascii="Times New Roman" w:hAnsi="Times New Roman"/>
          <w:i/>
          <w:sz w:val="20"/>
        </w:rPr>
        <w:t>Amended Purchase Agreement</w:t>
      </w:r>
      <w:r>
        <w:rPr>
          <w:rFonts w:ascii="Times New Roman" w:hAnsi="Times New Roman"/>
          <w:sz w:val="20"/>
        </w:rPr>
        <w:t>”). Under the terms of the Amended Purchase Agreement, Autilion is contractually obligated to purchase an aggregate of 72.0 million restricted shares of the Company’s common stock at a purchase price of $0.50 per share for aggregate cash consideration of $36.0 million, in a series of tranches between June 27, 2013 and September 30, 2013 (cumulatively, the “</w:t>
      </w:r>
      <w:r>
        <w:rPr>
          <w:rFonts w:ascii="Times New Roman" w:hAnsi="Times New Roman"/>
          <w:i/>
          <w:sz w:val="20"/>
        </w:rPr>
        <w:t>Autilion Financing</w:t>
      </w:r>
      <w:r>
        <w:rPr>
          <w:rFonts w:ascii="Times New Roman" w:hAnsi="Times New Roman"/>
          <w:sz w:val="20"/>
        </w:rPr>
        <w:t>”).  The Amended Purchase Agreement also provides for the election to the Company’s Board of Directors of a designee of Autilion upon completion of the Autilion Financing.  At June 30, 2013, the Company has completed an initial closing of the Autilion Financing in the amount of $25,000 and has issued 50,000 shares of its restricted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and Autilion also entered into a Voting Agreement, pursuant to which Autilion has agreed to vote all shares of capital stock of the Company held by Autilion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Autilion’s designee, as well as by the holders of a majority of the outstanding shares of Common Stock held by stockholders unaffiliated with Autilion (an “</w:t>
      </w:r>
      <w:r>
        <w:rPr>
          <w:rFonts w:ascii="Times New Roman" w:hAnsi="Times New Roman"/>
          <w:i/>
          <w:sz w:val="20"/>
        </w:rPr>
        <w:t>Approved Transaction</w:t>
      </w:r>
      <w:r>
        <w:rPr>
          <w:rFonts w:ascii="Times New Roman" w:hAnsi="Times New Roman"/>
          <w:sz w:val="20"/>
        </w:rPr>
        <w:t>”), Autilion is required to vote all shares of capital stock of the Company held by it for such Approved Transaction.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Modification of Warrants held by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on May 24, 2013, the Company and Platinum entered into an Amendment and Waiver pursuant to which the Company agreed to reduce the exercise price of the Exchange Warrant and the Investment Warrants issued to Platinum in October 2012 and February 2013 and March 2013 (collectively, the “</w:t>
      </w:r>
      <w:r>
        <w:rPr>
          <w:rFonts w:ascii="Times New Roman" w:hAnsi="Times New Roman"/>
          <w:i/>
          <w:sz w:val="20"/>
        </w:rPr>
        <w:t>Warrants</w:t>
      </w:r>
      <w:r>
        <w:rPr>
          <w:rFonts w:ascii="Times New Roman" w:hAnsi="Times New Roman"/>
          <w:sz w:val="20"/>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“Warrant Modifications and Exercises” below.)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6" w:name="PGBRK17"/>
      <w:bookmarkStart w:id="177" w:name="PGBRK17"/>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FTR17"/>
      <w:bookmarkStart w:id="179" w:name="FTR17"/>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0" w:name="GLFTR17"/>
      <w:bookmarkEnd w:id="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1" w:name="PN17"/>
      <w:bookmarkEnd w:id="181"/>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HDR17"/>
      <w:bookmarkStart w:id="183" w:name="HDR17"/>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84" w:name="GLHDR17"/>
        <w:bookmarkEnd w:id="18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described in Note 4, </w:t>
      </w:r>
      <w:r>
        <w:rPr>
          <w:rFonts w:ascii="Times New Roman" w:hAnsi="Times New Roman"/>
          <w:i/>
          <w:sz w:val="20"/>
        </w:rPr>
        <w:t>Fair Value Measurements</w:t>
      </w:r>
      <w:r>
        <w:rPr>
          <w:rFonts w:ascii="Times New Roman" w:hAnsi="Times New Roman"/>
          <w:sz w:val="20"/>
        </w:rPr>
        <w:t xml:space="preserve"> and in Note 7, </w:t>
      </w:r>
      <w:r>
        <w:rPr>
          <w:rFonts w:ascii="Times New Roman" w:hAnsi="Times New Roman"/>
          <w:i/>
          <w:sz w:val="20"/>
        </w:rPr>
        <w:t>Convertible Promissory Notes and Other Notes Payable</w:t>
      </w:r>
      <w:r>
        <w:rPr>
          <w:rFonts w:ascii="Times New Roman" w:hAnsi="Times New Roman"/>
          <w:sz w:val="20"/>
        </w:rPr>
        <w:t>, the Company re-measured the fair value of the Exchange Warrant and the Investment Warrants at June 30, 2013.  The re-measured fair value, recorded as a component of Warrant Liability in the accompanying Condensed Consolidated Balance Sheets at June 30, 2013, takes into account the modification of the exercise price resulting from the Amendment and Waiver. At June 30, 2013, the Company determined the fair values of the Exchange Warrant and the Investment Warrants to be a weighted average of $0.41 per share, or an aggregate of $1,338,700, using the Black Scholes Option Pricing Model and the following assumptions: market price per share: $0.60; exercise price per share: $0.50; risk-free interest rate: 1.14% to 1.30%; remaining contractual term: 4.28 years to 4.70 years; volatility: 85.1% to 92.6%; and expected dividend rate: 0%. At June 30, 2013, the Company also re-measured the fair value of the Series A Exchange Warrant which may be issuable to Platinum upon the exchange of its shares of Series A Preferred Stock into shares of restricted common stock.  The Company determined the fair value of the Series A Exchange Warrant, also recorded as a component of Warrant Liability in the accompanying Condensed Consolidated Balance Sheets at June 30, 2013, to be $0.43 per share, or $3,250,400, using the Black Scholes Option Pricing Model and the following assumptions: market price per share: $0.60; exercise price per share: $0.50; risk-free interest rate: 1.41%; contractual term: 5.00 years; volatility: 98.1%; expected dividend rate: 0%; and adjusted for an assumed probability of issuance of 95%.</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 Modifications and Exercises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month of June 2013, the Company offered certain long term warrant holders the opportunity to exercise their warrants having an exercise price of $1.50 per share to purchase shares of the Company’s restricted common stock at a reduced exercise price of $0.50 per share through July 15, 2013.  Through June 30, 2013, warrant holders exercised warrants to purchase an aggregate of 357,462 restricted shares of the Company’s common stock and the Company received cash proceeds of $178,700.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calculated the fair value of the warrants immediately before and after the modifications and exercises and determined that the fair value of the warrants exercised decreased by $34,500, which is reflected in general and administrative expense in the accompanying Condensed Consolidated Statements of Operations and Comprehensive Loss.  The warrants subject to the exercise price modifications were valued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22"/>
        <w:gridCol w:w="116"/>
        <w:gridCol w:w="365"/>
        <w:gridCol w:w="1911"/>
        <w:gridCol w:w="116"/>
        <w:gridCol w:w="116"/>
        <w:gridCol w:w="377"/>
        <w:gridCol w:w="1948"/>
        <w:gridCol w:w="134"/>
      </w:tblGrid>
      <w:tr>
        <w:trPr/>
        <w:tc>
          <w:tcPr>
            <w:tcW w:w="5122"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27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32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134" w:type="dxa"/>
            <w:tcBorders/>
            <w:shd w:fill="auto" w:val="clear"/>
            <w:tcMar>
              <w:bottom w:w="0" w:type="dxa"/>
            </w:tcMar>
            <w:vAlign w:val="bottom"/>
          </w:tcPr>
          <w:p>
            <w:pPr>
              <w:pStyle w:val="TableContents"/>
              <w:spacing w:before="0" w:after="283"/>
              <w:jc w:val="left"/>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0.75</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0.75</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1.50</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0.50</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0.91%</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0.03%</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3.91</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0.07</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87.7%</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74.1%</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5122"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1911"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1948" w:type="dxa"/>
            <w:tcBorders/>
            <w:shd w:fill="CCEEFF" w:val="clear"/>
            <w:tcMar>
              <w:bottom w:w="0" w:type="dxa"/>
            </w:tcMar>
            <w:vAlign w:val="bottom"/>
          </w:tcPr>
          <w:p>
            <w:pPr>
              <w:pStyle w:val="TableContents"/>
              <w:spacing w:before="0" w:after="283"/>
              <w:rPr/>
            </w:pPr>
            <w:r>
              <w:rPr/>
              <w:t xml:space="preserve">  </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0.35</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0.25</w:t>
            </w:r>
          </w:p>
        </w:tc>
        <w:tc>
          <w:tcPr>
            <w:tcW w:w="134" w:type="dxa"/>
            <w:tcBorders/>
            <w:shd w:fill="FFFFFF"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market price per share is based on the quoted market price of the Company’s common stock on the Over-the-Counter Bulletin Board on the date of the modification.  Because of its short history as a public company, the Company has estimated volatility based on the historical volatilities of a peer group of public companies over the expected term of the option.  The expected term of the modified warrant is determined based on the offer and exercise date and July 15, 2013, the expiration date for the modification offer. The risk-free rate of interest is based on the quoted constant maturity rate for U.S Treasury Bills on the date of the modification for the term corresponding with the expected term of the warrant.  The expected dividend rate is zero as the Company has not paid and does not expect to pay dividends in the near future.</w:t>
      </w:r>
    </w:p>
    <w:p>
      <w:pPr>
        <w:pStyle w:val="TextBody"/>
        <w:spacing w:before="0" w:after="0"/>
        <w:ind w:left="0" w:right="0" w:hanging="0"/>
        <w:rPr/>
      </w:pPr>
      <w:r>
        <w:rPr/>
        <w:t> </w:t>
      </w:r>
    </w:p>
    <w:p>
      <w:pPr>
        <w:pStyle w:val="TextBody"/>
        <w:spacing w:before="0" w:after="0"/>
        <w:ind w:left="0" w:right="0" w:hanging="0"/>
        <w:jc w:val="both"/>
        <w:rPr/>
      </w:pPr>
      <w:bookmarkStart w:id="185" w:name="TAB23"/>
      <w:bookmarkEnd w:id="185"/>
      <w:r>
        <w:rPr>
          <w:spacing w:val="180"/>
        </w:rPr>
        <w:t>   </w:t>
      </w:r>
      <w:r>
        <w:rPr/>
        <w:t xml:space="preserve">     </w:t>
      </w:r>
      <w:r>
        <w:rPr>
          <w:rFonts w:ascii="Times New Roman" w:hAnsi="Times New Roman"/>
          <w:sz w:val="20"/>
        </w:rPr>
        <w:t>On June 27, 2013, one of the Company’s executive officers exercised a warrant to purchase 50,000 restricted shares of the Company’s common stock at an exercise price of $0.64 per share and the Company received cash proceeds of $32,000.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6" w:name="PGBRK18"/>
      <w:bookmarkStart w:id="187" w:name="PGBRK18"/>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 w:name="FTR18"/>
      <w:bookmarkStart w:id="189" w:name="FTR18"/>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0" w:name="GLFTR18"/>
      <w:bookmarkEnd w:id="1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1" w:name="PN18"/>
      <w:bookmarkEnd w:id="191"/>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 w:name="HDR18"/>
      <w:bookmarkStart w:id="193" w:name="HDR18"/>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94" w:name="GLHDR18"/>
        <w:bookmarkEnd w:id="1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Following the warrant modifications and exercises described above, at June 30, 2013, the Company had outstanding warrants to purchase shares of its restricted common stock at a weighted average exercise price of $1.03 per share as follows:</w:t>
      </w:r>
    </w:p>
    <w:p>
      <w:pPr>
        <w:pStyle w:val="TextBody"/>
        <w:spacing w:before="0" w:after="0"/>
        <w:ind w:left="0" w:right="0" w:hanging="0"/>
        <w:rPr/>
      </w:pPr>
      <w:r>
        <w:rPr/>
        <w:t> </w:t>
      </w:r>
    </w:p>
    <w:tbl>
      <w:tblPr>
        <w:tblW w:w="3000" w:type="pct"/>
        <w:jc w:val="center"/>
        <w:tblInd w:w="0" w:type="dxa"/>
        <w:tblCellMar>
          <w:top w:w="0" w:type="dxa"/>
          <w:left w:w="0" w:type="dxa"/>
          <w:bottom w:w="0" w:type="dxa"/>
          <w:right w:w="0" w:type="dxa"/>
        </w:tblCellMar>
      </w:tblPr>
      <w:tblGrid>
        <w:gridCol w:w="171"/>
        <w:gridCol w:w="1619"/>
        <w:gridCol w:w="85"/>
        <w:gridCol w:w="2085"/>
        <w:gridCol w:w="85"/>
        <w:gridCol w:w="85"/>
        <w:gridCol w:w="1893"/>
        <w:gridCol w:w="100"/>
      </w:tblGrid>
      <w:tr>
        <w:trPr/>
        <w:tc>
          <w:tcPr>
            <w:tcW w:w="17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85" w:type="dxa"/>
            <w:tcBorders/>
            <w:shd w:fill="auto" w:val="clear"/>
            <w:vAlign w:val="bottom"/>
          </w:tcPr>
          <w:p>
            <w:pPr>
              <w:pStyle w:val="TableContents"/>
              <w:spacing w:before="0" w:after="283"/>
              <w:jc w:val="left"/>
              <w:rPr/>
            </w:pPr>
            <w:r>
              <w:rPr/>
              <w:t> </w:t>
            </w:r>
          </w:p>
        </w:tc>
        <w:tc>
          <w:tcPr>
            <w:tcW w:w="20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center"/>
              <w:rPr/>
            </w:pPr>
            <w:r>
              <w:rPr/>
              <w:t> </w:t>
            </w:r>
          </w:p>
        </w:tc>
        <w:tc>
          <w:tcPr>
            <w:tcW w:w="19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 Subject to</w:t>
            </w:r>
          </w:p>
        </w:tc>
        <w:tc>
          <w:tcPr>
            <w:tcW w:w="100" w:type="dxa"/>
            <w:tcBorders/>
            <w:shd w:fill="auto" w:val="clear"/>
            <w:vAlign w:val="bottom"/>
          </w:tcPr>
          <w:p>
            <w:pPr>
              <w:pStyle w:val="TableContents"/>
              <w:spacing w:before="0" w:after="283"/>
              <w:jc w:val="left"/>
              <w:rPr/>
            </w:pPr>
            <w:r>
              <w:rPr/>
              <w:t> </w:t>
            </w:r>
          </w:p>
        </w:tc>
      </w:tr>
      <w:tr>
        <w:trPr/>
        <w:tc>
          <w:tcPr>
            <w:tcW w:w="179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85" w:type="dxa"/>
            <w:tcBorders/>
            <w:shd w:fill="auto" w:val="clear"/>
            <w:vAlign w:val="bottom"/>
          </w:tcPr>
          <w:p>
            <w:pPr>
              <w:pStyle w:val="TableContents"/>
              <w:spacing w:before="0" w:after="283"/>
              <w:jc w:val="left"/>
              <w:rPr/>
            </w:pPr>
            <w:r>
              <w:rPr/>
              <w:t> </w:t>
            </w:r>
          </w:p>
        </w:tc>
        <w:tc>
          <w:tcPr>
            <w:tcW w:w="208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tc>
        <w:tc>
          <w:tcPr>
            <w:tcW w:w="85" w:type="dxa"/>
            <w:tcBorders/>
            <w:shd w:fill="auto" w:val="clear"/>
            <w:vAlign w:val="bottom"/>
          </w:tcPr>
          <w:p>
            <w:pPr>
              <w:pStyle w:val="TableContents"/>
              <w:spacing w:before="0" w:after="283"/>
              <w:rPr/>
            </w:pPr>
            <w:r>
              <w:rPr/>
              <w:t> </w:t>
            </w:r>
          </w:p>
        </w:tc>
        <w:tc>
          <w:tcPr>
            <w:tcW w:w="1978" w:type="dxa"/>
            <w:gridSpan w:val="2"/>
            <w:tcBorders/>
            <w:shd w:fill="auto" w:val="clear"/>
            <w:vAlign w:val="bottom"/>
          </w:tcPr>
          <w:p>
            <w:pPr>
              <w:pStyle w:val="TableContents"/>
              <w:spacing w:before="0" w:after="283"/>
              <w:rPr>
                <w:b/>
              </w:rPr>
            </w:pPr>
            <w:r>
              <w:rPr>
                <w:b/>
              </w:rPr>
              <w:t>Purchase at</w:t>
            </w:r>
          </w:p>
        </w:tc>
        <w:tc>
          <w:tcPr>
            <w:tcW w:w="100" w:type="dxa"/>
            <w:tcBorders/>
            <w:shd w:fill="auto" w:val="clear"/>
            <w:vAlign w:val="bottom"/>
          </w:tcPr>
          <w:p>
            <w:pPr>
              <w:pStyle w:val="TableContents"/>
              <w:spacing w:before="0" w:after="283"/>
              <w:jc w:val="left"/>
              <w:rPr/>
            </w:pPr>
            <w:r>
              <w:rPr/>
              <w:t> </w:t>
            </w:r>
          </w:p>
        </w:tc>
      </w:tr>
      <w:tr>
        <w:trPr/>
        <w:tc>
          <w:tcPr>
            <w:tcW w:w="17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 Share</w:t>
            </w:r>
          </w:p>
        </w:tc>
        <w:tc>
          <w:tcPr>
            <w:tcW w:w="85" w:type="dxa"/>
            <w:tcBorders/>
            <w:shd w:fill="auto" w:val="clear"/>
            <w:vAlign w:val="bottom"/>
          </w:tcPr>
          <w:p>
            <w:pPr>
              <w:pStyle w:val="TableContents"/>
              <w:spacing w:before="0" w:after="283"/>
              <w:jc w:val="left"/>
              <w:rPr/>
            </w:pPr>
            <w:r>
              <w:rPr/>
              <w:t> </w:t>
            </w:r>
          </w:p>
        </w:tc>
        <w:tc>
          <w:tcPr>
            <w:tcW w:w="2085"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c>
          <w:tcPr>
            <w:tcW w:w="85" w:type="dxa"/>
            <w:tcBorders/>
            <w:shd w:fill="auto" w:val="clear"/>
            <w:vAlign w:val="bottom"/>
          </w:tcPr>
          <w:p>
            <w:pPr>
              <w:pStyle w:val="TableContents"/>
              <w:spacing w:before="0" w:after="283"/>
              <w:rPr/>
            </w:pPr>
            <w:r>
              <w:rPr/>
              <w:t> </w:t>
            </w:r>
          </w:p>
        </w:tc>
        <w:tc>
          <w:tcPr>
            <w:tcW w:w="19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 2013</w:t>
            </w:r>
          </w:p>
        </w:tc>
        <w:tc>
          <w:tcPr>
            <w:tcW w:w="100" w:type="dxa"/>
            <w:tcBorders/>
            <w:shd w:fill="auto" w:val="clear"/>
            <w:vAlign w:val="bottom"/>
          </w:tcPr>
          <w:p>
            <w:pPr>
              <w:pStyle w:val="TableContents"/>
              <w:spacing w:before="0" w:after="283"/>
              <w:jc w:val="left"/>
              <w:rPr/>
            </w:pPr>
            <w:r>
              <w:rPr/>
              <w:t> </w:t>
            </w:r>
          </w:p>
        </w:tc>
      </w:tr>
      <w:tr>
        <w:trPr/>
        <w:tc>
          <w:tcPr>
            <w:tcW w:w="1790"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left"/>
              <w:rPr/>
            </w:pPr>
            <w:r>
              <w:rPr/>
              <w:t> </w:t>
            </w:r>
          </w:p>
        </w:tc>
        <w:tc>
          <w:tcPr>
            <w:tcW w:w="2085" w:type="dxa"/>
            <w:tcBorders/>
            <w:shd w:fill="auto" w:val="clear"/>
            <w:vAlign w:val="bottom"/>
          </w:tcPr>
          <w:p>
            <w:pPr>
              <w:pStyle w:val="TableContents"/>
              <w:spacing w:before="0" w:after="283"/>
              <w:rPr/>
            </w:pPr>
            <w:r>
              <w:rPr/>
              <w:t xml:space="preserve">  </w:t>
            </w:r>
          </w:p>
        </w:tc>
        <w:tc>
          <w:tcPr>
            <w:tcW w:w="85" w:type="dxa"/>
            <w:tcBorders/>
            <w:shd w:fill="auto" w:val="clear"/>
            <w:vAlign w:val="bottom"/>
          </w:tcPr>
          <w:p>
            <w:pPr>
              <w:pStyle w:val="TableContents"/>
              <w:spacing w:before="0" w:after="283"/>
              <w:rPr/>
            </w:pPr>
            <w:r>
              <w:rPr/>
              <w:t> </w:t>
            </w:r>
          </w:p>
        </w:tc>
        <w:tc>
          <w:tcPr>
            <w:tcW w:w="1978" w:type="dxa"/>
            <w:gridSpan w:val="2"/>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85" w:type="dxa"/>
            <w:tcBorders/>
            <w:shd w:fill="CCEEFF" w:val="clear"/>
            <w:vAlign w:val="bottom"/>
          </w:tcPr>
          <w:p>
            <w:pPr>
              <w:pStyle w:val="TableContents"/>
              <w:spacing w:before="0" w:after="283"/>
              <w:jc w:val="left"/>
              <w:rPr/>
            </w:pPr>
            <w:r>
              <w:rPr/>
              <w:t> </w:t>
            </w:r>
          </w:p>
        </w:tc>
        <w:tc>
          <w:tcPr>
            <w:tcW w:w="20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10/11/2017 to 3/12/2018</w:t>
            </w:r>
          </w:p>
        </w:tc>
        <w:tc>
          <w:tcPr>
            <w:tcW w:w="85"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1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3,272,577</w:t>
            </w:r>
          </w:p>
        </w:tc>
        <w:tc>
          <w:tcPr>
            <w:tcW w:w="100"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85" w:type="dxa"/>
            <w:tcBorders/>
            <w:shd w:fill="FFFFFF" w:val="clear"/>
            <w:vAlign w:val="bottom"/>
          </w:tcPr>
          <w:p>
            <w:pPr>
              <w:pStyle w:val="TableContents"/>
              <w:spacing w:before="0" w:after="283"/>
              <w:jc w:val="left"/>
              <w:rPr/>
            </w:pPr>
            <w:r>
              <w:rPr/>
              <w:t> </w:t>
            </w:r>
          </w:p>
        </w:tc>
        <w:tc>
          <w:tcPr>
            <w:tcW w:w="208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3/3/2023</w:t>
            </w:r>
          </w:p>
        </w:tc>
        <w:tc>
          <w:tcPr>
            <w:tcW w:w="85"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18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2,950,000</w:t>
            </w:r>
          </w:p>
        </w:tc>
        <w:tc>
          <w:tcPr>
            <w:tcW w:w="100"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85" w:type="dxa"/>
            <w:tcBorders/>
            <w:shd w:fill="CCEEFF" w:val="clear"/>
            <w:vAlign w:val="bottom"/>
          </w:tcPr>
          <w:p>
            <w:pPr>
              <w:pStyle w:val="TableContents"/>
              <w:spacing w:before="0" w:after="283"/>
              <w:jc w:val="left"/>
              <w:rPr/>
            </w:pPr>
            <w:r>
              <w:rPr/>
              <w:t> </w:t>
            </w:r>
          </w:p>
        </w:tc>
        <w:tc>
          <w:tcPr>
            <w:tcW w:w="20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85"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1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15,428</w:t>
            </w:r>
          </w:p>
        </w:tc>
        <w:tc>
          <w:tcPr>
            <w:tcW w:w="100"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5" w:type="dxa"/>
            <w:tcBorders/>
            <w:shd w:fill="FFFFFF" w:val="clear"/>
            <w:vAlign w:val="bottom"/>
          </w:tcPr>
          <w:p>
            <w:pPr>
              <w:pStyle w:val="TableContents"/>
              <w:spacing w:before="0" w:after="283"/>
              <w:jc w:val="left"/>
              <w:rPr/>
            </w:pPr>
            <w:r>
              <w:rPr/>
              <w:t> </w:t>
            </w:r>
          </w:p>
        </w:tc>
        <w:tc>
          <w:tcPr>
            <w:tcW w:w="208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9/15/2017 to 9/30/2017</w:t>
            </w:r>
          </w:p>
        </w:tc>
        <w:tc>
          <w:tcPr>
            <w:tcW w:w="85"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18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3,109,306</w:t>
            </w:r>
          </w:p>
        </w:tc>
        <w:tc>
          <w:tcPr>
            <w:tcW w:w="100"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85" w:type="dxa"/>
            <w:tcBorders/>
            <w:shd w:fill="CCEEFF" w:val="clear"/>
            <w:vAlign w:val="bottom"/>
          </w:tcPr>
          <w:p>
            <w:pPr>
              <w:pStyle w:val="TableContents"/>
              <w:spacing w:before="0" w:after="283"/>
              <w:jc w:val="left"/>
              <w:rPr/>
            </w:pPr>
            <w:r>
              <w:rPr/>
              <w:t> </w:t>
            </w:r>
          </w:p>
        </w:tc>
        <w:tc>
          <w:tcPr>
            <w:tcW w:w="20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 to 12/31/2014</w:t>
            </w:r>
          </w:p>
        </w:tc>
        <w:tc>
          <w:tcPr>
            <w:tcW w:w="85"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1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120,280</w:t>
            </w:r>
          </w:p>
        </w:tc>
        <w:tc>
          <w:tcPr>
            <w:tcW w:w="100"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85" w:type="dxa"/>
            <w:tcBorders/>
            <w:shd w:fill="FFFFFF" w:val="clear"/>
            <w:vAlign w:val="bottom"/>
          </w:tcPr>
          <w:p>
            <w:pPr>
              <w:pStyle w:val="TableContents"/>
              <w:spacing w:before="0" w:after="283"/>
              <w:jc w:val="left"/>
              <w:rPr/>
            </w:pPr>
            <w:r>
              <w:rPr/>
              <w:t> </w:t>
            </w:r>
          </w:p>
        </w:tc>
        <w:tc>
          <w:tcPr>
            <w:tcW w:w="208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 to 3/14/2018</w:t>
            </w:r>
          </w:p>
        </w:tc>
        <w:tc>
          <w:tcPr>
            <w:tcW w:w="85"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18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3,830,777</w:t>
            </w:r>
          </w:p>
        </w:tc>
        <w:tc>
          <w:tcPr>
            <w:tcW w:w="100"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85" w:type="dxa"/>
            <w:tcBorders/>
            <w:shd w:fill="CCEEFF" w:val="clear"/>
            <w:vAlign w:val="bottom"/>
          </w:tcPr>
          <w:p>
            <w:pPr>
              <w:pStyle w:val="TableContents"/>
              <w:spacing w:before="0" w:after="283"/>
              <w:jc w:val="left"/>
              <w:rPr/>
            </w:pPr>
            <w:r>
              <w:rPr/>
              <w:t> </w:t>
            </w:r>
          </w:p>
        </w:tc>
        <w:tc>
          <w:tcPr>
            <w:tcW w:w="20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85"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1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349,235</w:t>
            </w:r>
          </w:p>
        </w:tc>
        <w:tc>
          <w:tcPr>
            <w:tcW w:w="100"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85" w:type="dxa"/>
            <w:tcBorders/>
            <w:shd w:fill="FFFFFF" w:val="clear"/>
            <w:vAlign w:val="bottom"/>
          </w:tcPr>
          <w:p>
            <w:pPr>
              <w:pStyle w:val="TableContents"/>
              <w:spacing w:before="0" w:after="283"/>
              <w:jc w:val="left"/>
              <w:rPr/>
            </w:pPr>
            <w:r>
              <w:rPr/>
              <w:t> </w:t>
            </w:r>
          </w:p>
        </w:tc>
        <w:tc>
          <w:tcPr>
            <w:tcW w:w="208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9/15/2017</w:t>
            </w:r>
          </w:p>
        </w:tc>
        <w:tc>
          <w:tcPr>
            <w:tcW w:w="85"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18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100"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85" w:type="dxa"/>
            <w:tcBorders/>
            <w:shd w:fill="CCEEFF" w:val="clear"/>
            <w:vAlign w:val="bottom"/>
          </w:tcPr>
          <w:p>
            <w:pPr>
              <w:pStyle w:val="TableContents"/>
              <w:spacing w:before="0" w:after="283"/>
              <w:jc w:val="left"/>
              <w:rPr/>
            </w:pPr>
            <w:r>
              <w:rPr/>
              <w:t> </w:t>
            </w:r>
          </w:p>
        </w:tc>
        <w:tc>
          <w:tcPr>
            <w:tcW w:w="20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85"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1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42,443</w:t>
            </w:r>
          </w:p>
        </w:tc>
        <w:tc>
          <w:tcPr>
            <w:tcW w:w="100"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2.625</w:t>
            </w:r>
          </w:p>
        </w:tc>
        <w:tc>
          <w:tcPr>
            <w:tcW w:w="85" w:type="dxa"/>
            <w:tcBorders/>
            <w:shd w:fill="FFFFFF" w:val="clear"/>
            <w:vAlign w:val="bottom"/>
          </w:tcPr>
          <w:p>
            <w:pPr>
              <w:pStyle w:val="TableContents"/>
              <w:spacing w:before="0" w:after="283"/>
              <w:jc w:val="left"/>
              <w:rPr/>
            </w:pPr>
            <w:r>
              <w:rPr/>
              <w:t> </w:t>
            </w:r>
          </w:p>
        </w:tc>
        <w:tc>
          <w:tcPr>
            <w:tcW w:w="208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85"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18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68,560</w:t>
            </w:r>
          </w:p>
        </w:tc>
        <w:tc>
          <w:tcPr>
            <w:tcW w:w="100"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85" w:type="dxa"/>
            <w:tcBorders/>
            <w:shd w:fill="CCEEFF" w:val="clear"/>
            <w:vAlign w:val="bottom"/>
          </w:tcPr>
          <w:p>
            <w:pPr>
              <w:pStyle w:val="TableContents"/>
              <w:spacing w:before="0" w:after="283"/>
              <w:jc w:val="left"/>
              <w:rPr/>
            </w:pPr>
            <w:r>
              <w:rPr/>
              <w:t> </w:t>
            </w:r>
          </w:p>
        </w:tc>
        <w:tc>
          <w:tcPr>
            <w:tcW w:w="20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5/11/2015 to 2/13/2016</w:t>
            </w:r>
          </w:p>
        </w:tc>
        <w:tc>
          <w:tcPr>
            <w:tcW w:w="85" w:type="dxa"/>
            <w:tcBorders/>
            <w:shd w:fill="CCEEFF" w:val="clear"/>
            <w:vAlign w:val="bottom"/>
          </w:tcPr>
          <w:p>
            <w:pPr>
              <w:pStyle w:val="TableContents"/>
              <w:spacing w:before="0" w:after="283"/>
              <w:jc w:val="right"/>
              <w:rPr/>
            </w:pPr>
            <w:r>
              <w:rPr/>
              <w:t> </w:t>
            </w:r>
          </w:p>
        </w:tc>
        <w:tc>
          <w:tcPr>
            <w:tcW w:w="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c>
          <w:tcPr>
            <w:tcW w:w="100" w:type="dxa"/>
            <w:tcBorders/>
            <w:shd w:fill="CCEEFF" w:val="clear"/>
            <w:vAlign w:val="bottom"/>
          </w:tcPr>
          <w:p>
            <w:pPr>
              <w:pStyle w:val="TableContents"/>
              <w:spacing w:before="0" w:after="283"/>
              <w:jc w:val="left"/>
              <w:rPr/>
            </w:pPr>
            <w:r>
              <w:rPr/>
              <w:t> </w:t>
            </w:r>
          </w:p>
        </w:tc>
      </w:tr>
      <w:tr>
        <w:trPr/>
        <w:tc>
          <w:tcPr>
            <w:tcW w:w="171" w:type="dxa"/>
            <w:tcBorders/>
            <w:shd w:fill="FFFFFF" w:val="clear"/>
            <w:vAlign w:val="bottom"/>
          </w:tcPr>
          <w:p>
            <w:pPr>
              <w:pStyle w:val="TableContents"/>
              <w:spacing w:before="0" w:after="283"/>
              <w:jc w:val="left"/>
              <w:rPr/>
            </w:pPr>
            <w:r>
              <w:rPr/>
              <w:t> </w:t>
            </w:r>
          </w:p>
        </w:tc>
        <w:tc>
          <w:tcPr>
            <w:tcW w:w="1619"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2085"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w:t>
            </w:r>
          </w:p>
        </w:tc>
        <w:tc>
          <w:tcPr>
            <w:tcW w:w="85" w:type="dxa"/>
            <w:tcBorders/>
            <w:shd w:fill="FFFFFF" w:val="clear"/>
            <w:vAlign w:val="bottom"/>
          </w:tcPr>
          <w:p>
            <w:pPr>
              <w:pStyle w:val="TableContents"/>
              <w:spacing w:before="0" w:after="283"/>
              <w:jc w:val="left"/>
              <w:rPr/>
            </w:pPr>
            <w:r>
              <w:rPr/>
              <w:t> </w:t>
            </w:r>
          </w:p>
        </w:tc>
        <w:tc>
          <w:tcPr>
            <w:tcW w:w="1893"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r>
      <w:tr>
        <w:trPr/>
        <w:tc>
          <w:tcPr>
            <w:tcW w:w="171" w:type="dxa"/>
            <w:tcBorders/>
            <w:shd w:fill="CCEEFF" w:val="clear"/>
            <w:vAlign w:val="bottom"/>
          </w:tcPr>
          <w:p>
            <w:pPr>
              <w:pStyle w:val="TableContents"/>
              <w:spacing w:before="0" w:after="283"/>
              <w:jc w:val="left"/>
              <w:rPr/>
            </w:pPr>
            <w:r>
              <w:rPr/>
              <w:t> </w:t>
            </w:r>
          </w:p>
        </w:tc>
        <w:tc>
          <w:tcPr>
            <w:tcW w:w="1619"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jc w:val="left"/>
              <w:rPr/>
            </w:pPr>
            <w:r>
              <w:rPr/>
              <w:t> </w:t>
            </w:r>
          </w:p>
        </w:tc>
        <w:tc>
          <w:tcPr>
            <w:tcW w:w="2085" w:type="dxa"/>
            <w:tcBorders/>
            <w:shd w:fill="CCEEFF" w:val="clear"/>
            <w:vAlign w:val="bottom"/>
          </w:tcPr>
          <w:p>
            <w:pPr>
              <w:pStyle w:val="TableContents"/>
              <w:spacing w:before="0" w:after="283"/>
              <w:rPr/>
            </w:pPr>
            <w:r>
              <w:rPr/>
              <w:t xml:space="preserve">  </w:t>
            </w:r>
          </w:p>
        </w:tc>
        <w:tc>
          <w:tcPr>
            <w:tcW w:w="85" w:type="dxa"/>
            <w:tcBorders/>
            <w:shd w:fill="CCEEFF" w:val="clear"/>
            <w:vAlign w:val="bottom"/>
          </w:tcPr>
          <w:p>
            <w:pPr>
              <w:pStyle w:val="TableContents"/>
              <w:spacing w:before="0" w:after="283"/>
              <w:jc w:val="right"/>
              <w:rPr/>
            </w:pPr>
            <w:r>
              <w:rPr/>
              <w:t> </w:t>
            </w:r>
          </w:p>
        </w:tc>
        <w:tc>
          <w:tcPr>
            <w:tcW w:w="8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89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14,308,606</w:t>
            </w:r>
          </w:p>
        </w:tc>
        <w:tc>
          <w:tcPr>
            <w:tcW w:w="100"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10.  Related Party Transactions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Cato Holding Company, doing business as Cato BioVentures ("</w:t>
      </w:r>
      <w:r>
        <w:rPr>
          <w:rFonts w:ascii="Times New Roman" w:hAnsi="Times New Roman"/>
          <w:i/>
          <w:sz w:val="20"/>
        </w:rPr>
        <w:t>CBV</w:t>
      </w:r>
      <w:r>
        <w:rPr>
          <w:rFonts w:ascii="Times New Roman" w:hAnsi="Times New Roman"/>
          <w:sz w:val="20"/>
        </w:rPr>
        <w:t xml:space="preserve">"), the parent of CRL, is one of the Company’s largest institutional stockholders at June 30, 2013.  As described in Note 7, </w:t>
      </w:r>
      <w:r>
        <w:rPr>
          <w:rFonts w:ascii="Times New Roman" w:hAnsi="Times New Roman"/>
          <w:i/>
          <w:sz w:val="20"/>
        </w:rPr>
        <w:t>Convertible Promissory Notes and Other Notes Payable,</w:t>
      </w:r>
      <w:r>
        <w:rPr>
          <w:rFonts w:ascii="Times New Roman" w:hAnsi="Times New Roman"/>
          <w:sz w:val="20"/>
        </w:rPr>
        <w:t xml:space="preserve"> in October 2012, the 2011 CHC Note was cancelled and exchanged for the 2012 CHC Note and the CHC Warrant.  The 2012 CHC Note bears interest at the rate of 7.5% compounded monthly and is payable in monthly installments of $10,000 beginning November 1, 2012 until the balance is paid in full, with the final monthly payment to be made in the amount equal to the then current outstanding balance of principal and interest due under the 2012 Cato Note.  Total interest expense, including amortization of note discount, on notes payable to CHC was $16,100 and $5,100 in the three month periods ended June 30, 2013 and 2012,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fiscal year 2007, the Company entered into a contract research organization arrangement with CRL related to the development of its lead drug candidate, AV-101, and subsequent other projects under which the Company incurred expenses of $30,000 and $222,600 in the three month periods ended June 20, 2013 and 2012,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described in Note 7, </w:t>
      </w:r>
      <w:r>
        <w:rPr>
          <w:rFonts w:ascii="Times New Roman" w:hAnsi="Times New Roman"/>
          <w:i/>
          <w:sz w:val="20"/>
        </w:rPr>
        <w:t>Convertible Promissory Notes and Other Notes Payable</w:t>
      </w:r>
      <w:r>
        <w:rPr>
          <w:rFonts w:ascii="Times New Roman" w:hAnsi="Times New Roman"/>
          <w:sz w:val="20"/>
        </w:rPr>
        <w:t>, in October 2012, the Company issued to CRL (i) the CRL Note as payment in full for all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preclinical and clinical development of AV-101, and (ii) the CRL Warrant. The principal amount of the CRL Note may, at the Company’s option, be automatically increased as a result of future CRO Services rendered by CRL to the Company and its affiliates from January 1, 2013 to June 30, 2013.  The CRL Note accrues interest at a rate of 7.5% compounded monthly, is due and payable on March 31, 2016 and is payable solely by CRL's surrender from time to time of all or a portion of the principal and interest balance due on the CRL Note in connection with its concurrent exercise of the CRL Warrant.  Total interest expense, including amortization of the note discount, on the CRL Note for the three month period ended June 30, 2013 was $27,900.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11.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 Modifications and Exercises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connection with the warrant modification offer described in Note 9, </w:t>
      </w:r>
      <w:r>
        <w:rPr>
          <w:rFonts w:ascii="Times New Roman" w:hAnsi="Times New Roman"/>
          <w:i/>
          <w:sz w:val="20"/>
        </w:rPr>
        <w:t>Capital Stock</w:t>
      </w:r>
      <w:r>
        <w:rPr>
          <w:rFonts w:ascii="Times New Roman" w:hAnsi="Times New Roman"/>
          <w:sz w:val="20"/>
        </w:rPr>
        <w:t>, between July 1, 2013 and July 17, 2013, warrant holders exercised warrants to purchase an aggregate of 170,908 restricted shares of the Company’s common stock and the Company received cash proceeds of $85,500.  In addition, certain warrant holders exercised modified warrants to purchase 16,646 shares of the Company’s restricted common stock in lieu of payment by the Company in satisfaction of amounts due for professional services in the aggregate amount of $8,300.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5" w:name="PGBRK19"/>
      <w:bookmarkStart w:id="196" w:name="PGBRK19"/>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 w:name="FTR19"/>
      <w:bookmarkStart w:id="198" w:name="FTR19"/>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9" w:name="GLFTR19"/>
      <w:bookmarkEnd w:id="1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0" w:name="PN19"/>
      <w:bookmarkEnd w:id="200"/>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 w:name="HDR19"/>
      <w:bookmarkStart w:id="202" w:name="HDR19"/>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03" w:name="GLHDR19"/>
        <w:bookmarkEnd w:id="20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Convertible Note issued to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26, 2013, the Company issued a senior secured convertible promissory note in the principal amount of $250,000 to Platinum (the “</w:t>
      </w:r>
      <w:r>
        <w:rPr>
          <w:rFonts w:ascii="Times New Roman" w:hAnsi="Times New Roman"/>
          <w:i/>
          <w:sz w:val="20"/>
        </w:rPr>
        <w:t>July 2013 Note</w:t>
      </w:r>
      <w:r>
        <w:rPr>
          <w:rFonts w:ascii="Times New Roman" w:hAnsi="Times New Roman"/>
          <w:sz w:val="20"/>
        </w:rPr>
        <w:t>”). The July 2013 Note matures three years from the date of issuance and accrues interest at a rate of 10% per annum. Subject to certain terms and conditions, all principal and accrued interest under the July 2013 Note shall be payable by the Company through the issuance of restricted shares of common stock to Platinum. As additional consideration for the purchase of the July 2013 Note, the Company issued to Platinum a five-year warrant to purchase 250,000 shares of the Company’s common stock for $0.50 per share. In addition, the Company granted Platinum the right to exchange all amounts due under the terms of the July 2013 Note into such securities as may be offered by the Company to third party investors to finance its short-term working capital needs (“</w:t>
      </w:r>
      <w:r>
        <w:rPr>
          <w:rFonts w:ascii="Times New Roman" w:hAnsi="Times New Roman"/>
          <w:i/>
          <w:sz w:val="20"/>
        </w:rPr>
        <w:t>Exchange Securities</w:t>
      </w:r>
      <w:r>
        <w:rPr>
          <w:rFonts w:ascii="Times New Roman" w:hAnsi="Times New Roman"/>
          <w:sz w:val="20"/>
        </w:rPr>
        <w:t>”). In the event and at such time as the Company receives gross proceeds of at least $10.0 million resulting from the sale of the its common stock to Autilion AG, or its affiliates or nominees, the July 2013 Note shall automatically convert into such Exchange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August 2013 Unit Financing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Through August 12, 2013, the Company entered into a securities purchase agreement with an accredited investor pursuant to which it sold to such investor eight (8) Units, each Unit consisting of (i) a one-year 10% convertible note in the face amount of $25,000; (ii) 50,000 shares of the Company’s restricted common stock; and (iii) a three-year warrant to purchase 50,000 restricted shares of the Company’s common stock at an exercise price of $1.00 per share, and the Company received cash proceeds of $200,000. Additionally, the Units represent the Exchange Securities into which Platinum may convert its July 2013 Note.</w:t>
      </w:r>
    </w:p>
    <w:p>
      <w:pPr>
        <w:pStyle w:val="TextBody"/>
        <w:spacing w:before="0" w:after="0"/>
        <w:ind w:left="0" w:right="0" w:hanging="0"/>
        <w:jc w:val="left"/>
        <w:rPr/>
      </w:pPr>
      <w:r>
        <w:rPr/>
        <w:t> </w:t>
      </w:r>
    </w:p>
    <w:p>
      <w:pPr>
        <w:pStyle w:val="TextBody"/>
        <w:spacing w:before="0" w:after="0"/>
        <w:ind w:left="0" w:right="16" w:hanging="0"/>
        <w:jc w:val="left"/>
        <w:rPr>
          <w:rFonts w:ascii="Times New Roman" w:hAnsi="Times New Roman"/>
          <w:b/>
          <w:sz w:val="20"/>
        </w:rPr>
      </w:pPr>
      <w:bookmarkStart w:id="204" w:name="mdaj"/>
      <w:bookmarkEnd w:id="204"/>
      <w:r>
        <w:rPr>
          <w:rFonts w:ascii="Times New Roman" w:hAnsi="Times New Roman"/>
          <w:b/>
          <w:sz w:val="20"/>
        </w:rPr>
        <w:t>Item 2.  MANAGEMENT’S DISCUSSION AND ANALYSIS OF FINANCIAL CONDITION AND RESULTS OF OPERATIONS</w:t>
      </w:r>
    </w:p>
    <w:p>
      <w:pPr>
        <w:pStyle w:val="TextBody"/>
        <w:spacing w:before="0" w:after="0"/>
        <w:ind w:left="0" w:right="0" w:hanging="0"/>
        <w:jc w:val="both"/>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The following discussion contains forward-looking statements that are based on the current beliefs of our management, as well as current assumptions made by, and information currently available to, our management. All statements contained in the discussion below, other than statements that are purely historical, are forward-looking statements. These forward-looking statements are subject to risks and uncertainties that could cause our future actual results, performance or achievements to differ materially from those expressed in, or implied by, any such forward-looking statements as a result of certain factors, including, but not limited to, those risks and uncertainties discussed in this section, as well as elsewhere in our other filings with the Securities and Exchange Commission (“SEC”). Forward-looking statements are based on estimates and assumptions we make in light of our experience and perception of historical trends, current conditions and expected future developments, as well as other factors that we believe are appropriate and reasonable in the circumstances.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i/>
          <w:sz w:val="20"/>
        </w:rPr>
      </w:pPr>
      <w:r>
        <w:rPr>
          <w:rFonts w:ascii="Times New Roman" w:hAnsi="Times New Roman"/>
          <w:i/>
          <w:sz w:val="20"/>
        </w:rPr>
        <w:t>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2013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i/>
          <w:sz w:val="20"/>
        </w:rPr>
      </w:pPr>
      <w:r>
        <w:rPr>
          <w:rFonts w:ascii="Times New Roman" w:hAnsi="Times New Roman"/>
          <w:i/>
          <w:sz w:val="20"/>
        </w:rPr>
        <w:t>Investors are cautioned not to place undue reliance on the forward-looking statements contained herein. Additionally, unless otherwise stated, the forward-looking statements contained in this report are made as of the date of this report, and we have no intention and undertake no obligation to update or revise any forward-looking statements, whether as a result of new information, future events or otherwise, except as required by applicable law. The forward-looking statements contained in this report are expressly qualified by this cautionary statement.  New factors emerge from time to time, and it is not possible for us to predict which factors may arise. In addition, we cannot assess the impact of each factor on our business or the extent to which any factor, or combination of factors, may cause our actual results to differ materially from those contained in any forward-looking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5" w:name="PGBRK20"/>
      <w:bookmarkStart w:id="206" w:name="PGBRK20"/>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 w:name="FTR20"/>
      <w:bookmarkStart w:id="208" w:name="FTR20"/>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9" w:name="GLFTR20"/>
      <w:bookmarkEnd w:id="2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0" w:name="PN20"/>
      <w:bookmarkEnd w:id="210"/>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HDR20"/>
      <w:bookmarkStart w:id="212" w:name="HDR20"/>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13" w:name="GLHDR20"/>
        <w:bookmarkEnd w:id="21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Business Overview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a biotechnology company with expertise applying human pluripotent stem cell technology (“</w:t>
      </w:r>
      <w:r>
        <w:rPr>
          <w:rFonts w:ascii="Times New Roman" w:hAnsi="Times New Roman"/>
          <w:i/>
          <w:sz w:val="20"/>
        </w:rPr>
        <w:t>hPSC technology</w:t>
      </w:r>
      <w:r>
        <w:rPr>
          <w:rFonts w:ascii="Times New Roman" w:hAnsi="Times New Roman"/>
          <w:sz w:val="20"/>
        </w:rPr>
        <w:t>”) for drug rescue and regenerative cell therapy.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Drug rescue involves the combination of hPSC technology with modern medicinal chemistry to generate new chemical variants (“</w:t>
      </w:r>
      <w:r>
        <w:rPr>
          <w:rFonts w:ascii="Times New Roman" w:hAnsi="Times New Roman"/>
          <w:i/>
          <w:sz w:val="20"/>
        </w:rPr>
        <w:t>Drug Rescue Variants</w:t>
      </w:r>
      <w:r>
        <w:rPr>
          <w:rFonts w:ascii="Times New Roman" w:hAnsi="Times New Roman"/>
          <w:sz w:val="20"/>
        </w:rPr>
        <w:t xml:space="preserve">”) of promising small molecule drug candidates that pharmaceutical or biotechnology companies have discontinued during development due to unexpected safety concerns involving the heart and/or liver. We anticipate that our hPSC technology platform, </w:t>
      </w:r>
      <w:r>
        <w:rPr>
          <w:rFonts w:ascii="Times New Roman" w:hAnsi="Times New Roman"/>
          <w:i/>
          <w:sz w:val="20"/>
        </w:rPr>
        <w:t>Human Clinical Trials in a Test Tube</w:t>
      </w:r>
      <w:r>
        <w:rPr>
          <w:rFonts w:ascii="Times New Roman" w:hAnsi="Times New Roman"/>
          <w:smallCaps/>
          <w:sz w:val="20"/>
        </w:rPr>
        <w:t>tm</w:t>
      </w:r>
      <w:r>
        <w:rPr>
          <w:rFonts w:ascii="Times New Roman" w:hAnsi="Times New Roman"/>
          <w:sz w:val="20"/>
        </w:rPr>
        <w:t xml:space="preserve">, will allow us to assess the heart and liver toxicity profile of new drug candidates with greater speed and precision than </w:t>
      </w:r>
      <w:r>
        <w:rPr>
          <w:rFonts w:ascii="Times New Roman" w:hAnsi="Times New Roman"/>
          <w:i/>
          <w:sz w:val="20"/>
        </w:rPr>
        <w:t>in vitro</w:t>
      </w:r>
      <w:r>
        <w:rPr>
          <w:rFonts w:ascii="Times New Roman" w:hAnsi="Times New Roman"/>
          <w:sz w:val="20"/>
        </w:rPr>
        <w:t xml:space="preserve"> techniques and technologies currently used in the drug development process.  Our drug rescue model is designed to leverage both substantial prior third-party investment in discovery and development of once-promising drug candidates which ultimately were discontinued prior to market approval and the predictive toxicology and other drug development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mallCaps/>
          <w:sz w:val="20"/>
        </w:rPr>
        <w:t>tm</w:t>
      </w:r>
      <w:r>
        <w:rPr>
          <w:rFonts w:ascii="Times New Roman" w:hAnsi="Times New Roman"/>
          <w:sz w:val="20"/>
        </w:rPr>
        <w:t xml:space="preserve"> platform is based on a combination of proprietary and exclusively licensed stem cell technologies, including technologies developed over the last 20 years by VistaGen California’s co-founder and Canadian scientist, Dr. Gordon Keller, and Dr. Ralph Snodgrass, VistaGen California’s co-founder, and our President and Chief Scientific Officer. Dr. Keller is currently the Director of the University Health Network’s McEwen Centre for Regenerative Medicine in Toronto. Dr. Keller’s research is focused on understanding and controlling stem cell differentiation (development) and production of multiple types of mature, functional, human cells from pluripotent stem cells, including heart cells and liver cells that can be used in our biological assay systems for drug rescue and development. Dr. Snodgrass has over 20 years of experience in both academia and industry in the development and application of stem cell differentiation systems for drug discovery and development.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With mature heart cells produced from stem cells, we have developed </w:t>
      </w:r>
      <w:r>
        <w:rPr>
          <w:rFonts w:ascii="Times New Roman" w:hAnsi="Times New Roman"/>
          <w:i/>
          <w:sz w:val="20"/>
        </w:rPr>
        <w:t>CardioSafe 3D</w:t>
      </w:r>
      <w:r>
        <w:rPr>
          <w:rFonts w:ascii="Times New Roman" w:hAnsi="Times New Roman"/>
          <w:sz w:val="20"/>
        </w:rPr>
        <w:t xml:space="preserve"> ™, a three-dimensional (“3D”) bioassay system. We believe </w:t>
      </w:r>
      <w:r>
        <w:rPr>
          <w:rFonts w:ascii="Times New Roman" w:hAnsi="Times New Roman"/>
          <w:i/>
          <w:sz w:val="20"/>
        </w:rPr>
        <w:t>CardioSafe 3D</w:t>
      </w:r>
      <w:r>
        <w:rPr>
          <w:rFonts w:ascii="Times New Roman" w:hAnsi="Times New Roman"/>
          <w:sz w:val="20"/>
        </w:rPr>
        <w:t xml:space="preserve"> ™ is capable of predicting the </w:t>
      </w:r>
      <w:r>
        <w:rPr>
          <w:rFonts w:ascii="Times New Roman" w:hAnsi="Times New Roman"/>
          <w:i/>
          <w:sz w:val="20"/>
        </w:rPr>
        <w:t>in vivo</w:t>
      </w:r>
      <w:r>
        <w:rPr>
          <w:rFonts w:ascii="Times New Roman" w:hAnsi="Times New Roman"/>
          <w:sz w:val="20"/>
        </w:rPr>
        <w:t xml:space="preserve"> cardiac effects, both toxic and non-toxic, of small molecule drug candidates before they are tested in humans. Our immediate goal is to leverage </w:t>
      </w:r>
      <w:r>
        <w:rPr>
          <w:rFonts w:ascii="Times New Roman" w:hAnsi="Times New Roman"/>
          <w:i/>
          <w:sz w:val="20"/>
        </w:rPr>
        <w:t>CardioSafe 3D</w:t>
      </w:r>
      <w:r>
        <w:rPr>
          <w:rFonts w:ascii="Times New Roman" w:hAnsi="Times New Roman"/>
          <w:sz w:val="20"/>
        </w:rPr>
        <w:t xml:space="preserve"> ™ to generate and monetize a pipeline of small molecule drug candidates through drug rescue collaborations. We intend to expand our drug rescue capabilities by developing </w:t>
      </w:r>
      <w:r>
        <w:rPr>
          <w:rFonts w:ascii="Times New Roman" w:hAnsi="Times New Roman"/>
          <w:i/>
          <w:sz w:val="20"/>
        </w:rPr>
        <w:t>LiverSafe 3D</w:t>
      </w:r>
      <w:r>
        <w:rPr>
          <w:rFonts w:ascii="Times New Roman" w:hAnsi="Times New Roman"/>
          <w:sz w:val="20"/>
        </w:rPr>
        <w:t xml:space="preserve"> ™, a human liver cell-based bioassay system for assessing potential liver toxicity and adverse drug-drug interactions.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parallel with our drug rescue activities, we plan to advance pilot nonclinical development of regenerative cell therapy programs focused on blood, cartilage, heart, liver and pancreas cells. Each of these regenerative cell therapy programs is based on the proprietary differentiation and production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With grant funding from the U.S. National Institutes of Health (“NIH”), we have successfully completed Phase 1 development of AV-101 during calendar 2012.  AV-101 is an orally available small molecule prodrug candidate aimed at the multi-billion dollar neurological disease and disorders market, including neuropathic pain, a serious and chronic condition causing pain after an injury or disease of the peripheral or central nervous system. Neuropathic pain affects approximately 1.8 million people in the U.S. alone. To date, we have been awarded over $8.8 million of grant funding from the NIH for non-clinical and Phase I clinical development of AV-101.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immediate plan is to utilize the vast amount of information available in the public domain with respect to potential small molecule drug candidates for inclusion in our drug rescue programs.  We may also seek to acquire rights to drug rescue candidates that third-parties, including academic research institutions and biotechnology, medicinal chemistry and pharmaceutical companies have discontinued due to unexpected safety concerns involving the heart and/or liver.  In connection with our drug rescue programs, we plan to collaborate with contract medicinal chemistry and other third parties to generate and assess the therapeutics and commercial potential of each Drug Rescue Variant we generate. We plan to have economic participation rights in each Drug Rescue Variant we are able to generate in connection with our projected drug rescue programs.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4" w:name="PGBRK21"/>
      <w:bookmarkStart w:id="215" w:name="PGBRK21"/>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 w:name="FTR21"/>
      <w:bookmarkStart w:id="217" w:name="FTR21"/>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8" w:name="GLFTR21"/>
      <w:bookmarkEnd w:id="2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9" w:name="PN21"/>
      <w:bookmarkEnd w:id="219"/>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 w:name="HDR21"/>
      <w:bookmarkStart w:id="221" w:name="HDR21"/>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2" w:name="GLHDR21"/>
        <w:bookmarkEnd w:id="22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Financial Operations Overview and Results of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critical accounting policies and estimates and recent accounting pronouncements are disclosed in our Form 10-K for the fiscal year ended March 31, 2013, as filed with the United States Securities and Exchange Commission, and in Note 3 to the accompanying unaudited Condensed Consolidated Financial Statements included in Part 1, Item 1 of this Quarterly Report on Form 10-Q.</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Summary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During the quarter ended June 30, 2013, our scientific personnel have continued to expand the capabilities of </w:t>
      </w:r>
      <w:r>
        <w:rPr>
          <w:rFonts w:ascii="Times New Roman" w:hAnsi="Times New Roman"/>
          <w:i/>
          <w:sz w:val="20"/>
        </w:rPr>
        <w:t xml:space="preserve">CardioSafe </w:t>
      </w:r>
      <w:r>
        <w:rPr>
          <w:rFonts w:ascii="Times New Roman" w:hAnsi="Times New Roman"/>
          <w:sz w:val="20"/>
        </w:rPr>
        <w:t xml:space="preserve">3D™ and further develop </w:t>
      </w:r>
      <w:r>
        <w:rPr>
          <w:rFonts w:ascii="Times New Roman" w:hAnsi="Times New Roman"/>
          <w:i/>
          <w:sz w:val="20"/>
        </w:rPr>
        <w:t xml:space="preserve">LiverSafe </w:t>
      </w:r>
      <w:r>
        <w:rPr>
          <w:rFonts w:ascii="Times New Roman" w:hAnsi="Times New Roman"/>
          <w:sz w:val="20"/>
        </w:rPr>
        <w:t>3D™.  Additionally, we have continued to advance our evaluation of prospective drug rescue candidates. We successfully completed Phase 1 clinical development of AV-101 during our fiscal year ended March 31, 2013 and directed our current quarter efforts on finalizing AV-101 Phase 1b clinical study reports, as required under the terms of our NIH grant awards and to facilitate further collaborative development of AV-101.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the “</w:t>
      </w:r>
      <w:r>
        <w:rPr>
          <w:rFonts w:ascii="Times New Roman" w:hAnsi="Times New Roman"/>
          <w:i/>
          <w:sz w:val="20"/>
        </w:rPr>
        <w:t>Amended Purchase Agreement</w:t>
      </w:r>
      <w:r>
        <w:rPr>
          <w:rFonts w:ascii="Times New Roman" w:hAnsi="Times New Roman"/>
          <w:sz w:val="20"/>
        </w:rPr>
        <w:t>”) with Autilion AG, a company organized and existing under the laws of Switzerland (“</w:t>
      </w:r>
      <w:r>
        <w:rPr>
          <w:rFonts w:ascii="Times New Roman" w:hAnsi="Times New Roman"/>
          <w:i/>
          <w:sz w:val="20"/>
        </w:rPr>
        <w:t>Autilion</w:t>
      </w:r>
      <w:r>
        <w:rPr>
          <w:rFonts w:ascii="Times New Roman" w:hAnsi="Times New Roman"/>
          <w:sz w:val="20"/>
        </w:rPr>
        <w:t>”).  Under the terms of the Amended Purchase Agreement, Autilion is contractually obligated to purchase an aggregate of 72.0 million restricted shares of our common stock at a purchase price of $0.50 per share for aggregate cash proceeds to us of $36.0 million, in a series of tranches between June 27, 2013 and September 30, 2013 (cumulatively, the “</w:t>
      </w:r>
      <w:r>
        <w:rPr>
          <w:rFonts w:ascii="Times New Roman" w:hAnsi="Times New Roman"/>
          <w:i/>
          <w:sz w:val="20"/>
        </w:rPr>
        <w:t>Autilion Financing</w:t>
      </w:r>
      <w:r>
        <w:rPr>
          <w:rFonts w:ascii="Times New Roman" w:hAnsi="Times New Roman"/>
          <w:sz w:val="20"/>
        </w:rPr>
        <w:t xml:space="preserve">”). At June 30, 2013, we had completed a nominal initial closing of the Autilion Financing. Although we have not yet completed an additional closing under the Autilion Financing subsequent to June 30, 2013, we have been informed by Autilion that we will receive the total $36 million of proceeds contemplated by the Amended Purchase Agreement. We can, however, give no assurances as to whether we will receive any additional funding in connection with the Autilion Financing in a timely manner, if at all.  The Amended Purchase Agreement also provides for the election to our Board of Directors of a designee of Autilion upon completion of the Autilion Financing.  This transaction is described in greater detail in Note 9, </w:t>
      </w:r>
      <w:r>
        <w:rPr>
          <w:rFonts w:ascii="Times New Roman" w:hAnsi="Times New Roman"/>
          <w:i/>
          <w:sz w:val="20"/>
        </w:rPr>
        <w:t>Capital Stock,</w:t>
      </w:r>
      <w:r>
        <w:rPr>
          <w:rFonts w:ascii="Times New Roman" w:hAnsi="Times New Roman"/>
          <w:sz w:val="20"/>
        </w:rPr>
        <w:t xml:space="preserve"> in the Condensed Consolidated Financial Statements included in this Quarterly Report on Form 10-Q.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Pending the closing of a significant tranche of the Autilion Financing, during June 2013, we offered certain warrant holders the opportunity to exercise outstanding warrants having an exercise price of $1.50 per share to purchase shares of our restricted common stock at a reduced exercise price of $0.50 per share.  Through July 2013, warrant holders exercised modified warrants to purchase an aggregate of 528,370 restricted shares of our common stock and we received cash proceeds of $264,200.  In addition, certain long-term warrant holders exercised modified warrants to purchase 16,646 shares of our restricted common stock in lieu of payment by us in satisfaction of amounts due for professional services in the aggregate amount of $8,300. Additionally, in July 2013, we issued to Platinum a senior secured convertible note in the face amount of $250,000 (the “</w:t>
      </w:r>
      <w:r>
        <w:rPr>
          <w:rFonts w:ascii="Times New Roman" w:hAnsi="Times New Roman"/>
          <w:i/>
          <w:sz w:val="20"/>
        </w:rPr>
        <w:t>July 2013 Note</w:t>
      </w:r>
      <w:r>
        <w:rPr>
          <w:rFonts w:ascii="Times New Roman" w:hAnsi="Times New Roman"/>
          <w:sz w:val="20"/>
        </w:rPr>
        <w:t>”) and a five-year warrant to purchase 250,000 shares of our restricted common stock at an exercise price of $0.50 per share. Through the date of this report, in August 2013, we entered into a securities purchase agreement with an accredited investor pursuant to which we sold to such investor eight (8) Units, each Unit consisting of (i) a one-year 10% convertible note in the face amount of $25,000 (ii) 50,000 shares of our restricted common stock and (iii) a three-year warrant to purchase 50,000 restricted shares of our common stock at an exercise price of $1.00 per share, and we received cash proceeds of $200,000.  Under certain circumstances, the July 2013 Note issued to Platinum is convertible into ten (10) Units.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3" w:name="PGBRK22"/>
      <w:bookmarkStart w:id="224" w:name="PGBRK22"/>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FTR22"/>
      <w:bookmarkStart w:id="226" w:name="FTR22"/>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7" w:name="GLFTR22"/>
      <w:bookmarkEnd w:id="2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8" w:name="PN22"/>
      <w:bookmarkEnd w:id="228"/>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HDR22"/>
      <w:bookmarkStart w:id="230" w:name="HDR22"/>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31" w:name="GLHDR22"/>
        <w:bookmarkEnd w:id="23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i/>
          <w:sz w:val="20"/>
        </w:rPr>
      </w:pPr>
      <w:r>
        <w:rPr>
          <w:rFonts w:ascii="Times New Roman" w:hAnsi="Times New Roman"/>
          <w:b/>
          <w:i/>
          <w:sz w:val="20"/>
        </w:rPr>
        <w:t>Comparison of Three Months Ended June 30, 2013 and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results of our operations for the three months ended June 30, 2013 and 2012 (amounts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500"/>
        <w:gridCol w:w="110"/>
        <w:gridCol w:w="127"/>
        <w:gridCol w:w="995"/>
        <w:gridCol w:w="115"/>
        <w:gridCol w:w="110"/>
        <w:gridCol w:w="127"/>
        <w:gridCol w:w="995"/>
        <w:gridCol w:w="126"/>
      </w:tblGrid>
      <w:tr>
        <w:trPr/>
        <w:tc>
          <w:tcPr>
            <w:tcW w:w="750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6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 Ended June 30,</w:t>
            </w:r>
          </w:p>
        </w:tc>
        <w:tc>
          <w:tcPr>
            <w:tcW w:w="126" w:type="dxa"/>
            <w:tcBorders/>
            <w:shd w:fill="auto" w:val="clear"/>
            <w:vAlign w:val="bottom"/>
          </w:tcPr>
          <w:p>
            <w:pPr>
              <w:pStyle w:val="TableContents"/>
              <w:spacing w:before="0" w:after="283"/>
              <w:jc w:val="left"/>
              <w:rPr/>
            </w:pPr>
            <w:r>
              <w:rPr/>
              <w:t> </w:t>
            </w:r>
          </w:p>
        </w:tc>
      </w:tr>
      <w:tr>
        <w:trPr/>
        <w:tc>
          <w:tcPr>
            <w:tcW w:w="750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6" w:type="dxa"/>
            <w:tcBorders/>
            <w:shd w:fill="auto" w:val="clear"/>
            <w:vAlign w:val="bottom"/>
          </w:tcPr>
          <w:p>
            <w:pPr>
              <w:pStyle w:val="TableContents"/>
              <w:spacing w:before="0" w:after="283"/>
              <w:jc w:val="left"/>
              <w:rPr/>
            </w:pPr>
            <w:r>
              <w:rPr/>
              <w:t> </w:t>
            </w:r>
          </w:p>
        </w:tc>
      </w:tr>
      <w:tr>
        <w:trPr/>
        <w:tc>
          <w:tcPr>
            <w:tcW w:w="750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10" w:type="dxa"/>
            <w:tcBorders/>
            <w:shd w:fill="auto" w:val="clear"/>
            <w:vAlign w:val="bottom"/>
          </w:tcPr>
          <w:p>
            <w:pPr>
              <w:pStyle w:val="TableContents"/>
              <w:spacing w:before="0" w:after="283"/>
              <w:jc w:val="left"/>
              <w:rPr/>
            </w:pPr>
            <w:r>
              <w:rPr/>
              <w:t> </w:t>
            </w:r>
          </w:p>
        </w:tc>
        <w:tc>
          <w:tcPr>
            <w:tcW w:w="1122" w:type="dxa"/>
            <w:gridSpan w:val="2"/>
            <w:tcBorders/>
            <w:shd w:fill="auto" w:val="clear"/>
            <w:vAlign w:val="bottom"/>
          </w:tcPr>
          <w:p>
            <w:pPr>
              <w:pStyle w:val="TableContents"/>
              <w:spacing w:before="0" w:after="0"/>
              <w:ind w:left="0" w:right="0" w:hanging="0"/>
              <w:jc w:val="left"/>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left"/>
              <w:rPr/>
            </w:pPr>
            <w:r>
              <w:rPr/>
              <w:t> </w:t>
            </w:r>
          </w:p>
        </w:tc>
        <w:tc>
          <w:tcPr>
            <w:tcW w:w="1122" w:type="dxa"/>
            <w:gridSpan w:val="2"/>
            <w:tcBorders/>
            <w:shd w:fill="auto" w:val="clear"/>
            <w:vAlign w:val="bottom"/>
          </w:tcPr>
          <w:p>
            <w:pPr>
              <w:pStyle w:val="TableContents"/>
              <w:spacing w:before="0" w:after="0"/>
              <w:ind w:left="0" w:right="0" w:hanging="0"/>
              <w:jc w:val="left"/>
              <w:rPr/>
            </w:pPr>
            <w:r>
              <w:rPr/>
              <w:t> </w:t>
            </w:r>
          </w:p>
        </w:tc>
        <w:tc>
          <w:tcPr>
            <w:tcW w:w="126" w:type="dxa"/>
            <w:tcBorders/>
            <w:shd w:fill="auto" w:val="clear"/>
            <w:vAlign w:val="bottom"/>
          </w:tcPr>
          <w:p>
            <w:pPr>
              <w:pStyle w:val="TableContents"/>
              <w:spacing w:before="0" w:after="283"/>
              <w:jc w:val="left"/>
              <w:rPr/>
            </w:pPr>
            <w:r>
              <w:rPr/>
              <w:t> </w:t>
            </w:r>
          </w:p>
        </w:tc>
      </w:tr>
      <w:tr>
        <w:trPr/>
        <w:tc>
          <w:tcPr>
            <w:tcW w:w="750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6" w:type="dxa"/>
            <w:tcBorders/>
            <w:shd w:fill="CCEEFF" w:val="clear"/>
            <w:vAlign w:val="bottom"/>
          </w:tcPr>
          <w:p>
            <w:pPr>
              <w:pStyle w:val="TableContents"/>
              <w:spacing w:before="0" w:after="283"/>
              <w:jc w:val="left"/>
              <w:rPr/>
            </w:pPr>
            <w:r>
              <w:rPr/>
              <w:t> </w:t>
            </w:r>
          </w:p>
        </w:tc>
      </w:tr>
      <w:tr>
        <w:trPr/>
        <w:tc>
          <w:tcPr>
            <w:tcW w:w="75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750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866</w:t>
            </w:r>
          </w:p>
        </w:tc>
        <w:tc>
          <w:tcPr>
            <w:tcW w:w="126" w:type="dxa"/>
            <w:tcBorders/>
            <w:shd w:fill="CCEEFF" w:val="clear"/>
            <w:vAlign w:val="bottom"/>
          </w:tcPr>
          <w:p>
            <w:pPr>
              <w:pStyle w:val="TableContents"/>
              <w:spacing w:before="0" w:after="283"/>
              <w:jc w:val="left"/>
              <w:rPr/>
            </w:pPr>
            <w:r>
              <w:rPr/>
              <w:t> </w:t>
            </w:r>
          </w:p>
        </w:tc>
      </w:tr>
      <w:tr>
        <w:trPr/>
        <w:tc>
          <w:tcPr>
            <w:tcW w:w="750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1,055</w:t>
            </w:r>
          </w:p>
        </w:tc>
        <w:tc>
          <w:tcPr>
            <w:tcW w:w="126" w:type="dxa"/>
            <w:tcBorders/>
            <w:shd w:fill="FFFFFF" w:val="clear"/>
            <w:vAlign w:val="bottom"/>
          </w:tcPr>
          <w:p>
            <w:pPr>
              <w:pStyle w:val="TableContents"/>
              <w:spacing w:before="0" w:after="283"/>
              <w:jc w:val="left"/>
              <w:rPr/>
            </w:pPr>
            <w:r>
              <w:rPr/>
              <w:t> </w:t>
            </w:r>
          </w:p>
        </w:tc>
      </w:tr>
      <w:tr>
        <w:trPr/>
        <w:tc>
          <w:tcPr>
            <w:tcW w:w="750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1,300</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1,921</w:t>
            </w:r>
          </w:p>
        </w:tc>
        <w:tc>
          <w:tcPr>
            <w:tcW w:w="126" w:type="dxa"/>
            <w:tcBorders/>
            <w:shd w:fill="CCEEFF" w:val="clear"/>
            <w:vAlign w:val="bottom"/>
          </w:tcPr>
          <w:p>
            <w:pPr>
              <w:pStyle w:val="TableContents"/>
              <w:spacing w:before="0" w:after="283"/>
              <w:jc w:val="left"/>
              <w:rPr/>
            </w:pPr>
            <w:r>
              <w:rPr/>
              <w:t> </w:t>
            </w:r>
          </w:p>
        </w:tc>
      </w:tr>
      <w:tr>
        <w:trPr/>
        <w:tc>
          <w:tcPr>
            <w:tcW w:w="75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(1,300</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(1,721</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750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Change in warrant liabilities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75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(loss)  before income taxes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(1,824</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(1,826</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Revenue</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compares our primary revenue sources between the periods (in $000):</w:t>
      </w:r>
    </w:p>
    <w:tbl>
      <w:tblPr>
        <w:tblW w:w="5000" w:type="pct"/>
        <w:jc w:val="left"/>
        <w:tblInd w:w="0" w:type="dxa"/>
        <w:tblCellMar>
          <w:top w:w="0" w:type="dxa"/>
          <w:left w:w="0" w:type="dxa"/>
          <w:bottom w:w="0" w:type="dxa"/>
          <w:right w:w="0" w:type="dxa"/>
        </w:tblCellMar>
      </w:tblPr>
      <w:tblGrid>
        <w:gridCol w:w="7271"/>
        <w:gridCol w:w="131"/>
        <w:gridCol w:w="360"/>
        <w:gridCol w:w="830"/>
        <w:gridCol w:w="131"/>
        <w:gridCol w:w="131"/>
        <w:gridCol w:w="180"/>
        <w:gridCol w:w="1025"/>
        <w:gridCol w:w="146"/>
      </w:tblGrid>
      <w:tr>
        <w:trPr/>
        <w:tc>
          <w:tcPr>
            <w:tcW w:w="7271"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265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June 30,</w:t>
            </w:r>
          </w:p>
        </w:tc>
        <w:tc>
          <w:tcPr>
            <w:tcW w:w="146" w:type="dxa"/>
            <w:tcBorders/>
            <w:shd w:fill="auto" w:val="clear"/>
            <w:vAlign w:val="bottom"/>
          </w:tcPr>
          <w:p>
            <w:pPr>
              <w:pStyle w:val="TableContents"/>
              <w:spacing w:before="0" w:after="283"/>
              <w:jc w:val="left"/>
              <w:rPr/>
            </w:pPr>
            <w:r>
              <w:rPr/>
              <w:t> </w:t>
            </w:r>
          </w:p>
        </w:tc>
      </w:tr>
      <w:tr>
        <w:trPr/>
        <w:tc>
          <w:tcPr>
            <w:tcW w:w="7271"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46" w:type="dxa"/>
            <w:tcBorders/>
            <w:shd w:fill="auto" w:val="clear"/>
            <w:vAlign w:val="bottom"/>
          </w:tcPr>
          <w:p>
            <w:pPr>
              <w:pStyle w:val="TableContents"/>
              <w:spacing w:before="0" w:after="283"/>
              <w:jc w:val="left"/>
              <w:rPr/>
            </w:pPr>
            <w:r>
              <w:rPr/>
              <w:t> </w:t>
            </w:r>
          </w:p>
        </w:tc>
      </w:tr>
      <w:tr>
        <w:trPr/>
        <w:tc>
          <w:tcPr>
            <w:tcW w:w="7271"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r>
      <w:tr>
        <w:trPr/>
        <w:tc>
          <w:tcPr>
            <w:tcW w:w="727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NIH - AV-101 grant</w:t>
            </w:r>
          </w:p>
        </w:tc>
        <w:tc>
          <w:tcPr>
            <w:tcW w:w="131" w:type="dxa"/>
            <w:tcBorders/>
            <w:shd w:fill="CCEEFF" w:val="clear"/>
            <w:vAlign w:val="bottom"/>
          </w:tcPr>
          <w:p>
            <w:pPr>
              <w:pStyle w:val="TableContents"/>
              <w:spacing w:before="0" w:after="283"/>
              <w:jc w:val="right"/>
              <w:rPr/>
            </w:pPr>
            <w:r>
              <w:rPr/>
              <w:t> </w:t>
            </w:r>
          </w:p>
        </w:tc>
        <w:tc>
          <w:tcPr>
            <w:tcW w:w="36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46" w:type="dxa"/>
            <w:tcBorders/>
            <w:shd w:fill="CCEEFF" w:val="clear"/>
            <w:vAlign w:val="bottom"/>
          </w:tcPr>
          <w:p>
            <w:pPr>
              <w:pStyle w:val="TableContents"/>
              <w:spacing w:before="0" w:after="283"/>
              <w:jc w:val="left"/>
              <w:rPr/>
            </w:pPr>
            <w:r>
              <w:rPr/>
              <w:t> </w:t>
            </w:r>
          </w:p>
        </w:tc>
      </w:tr>
      <w:tr>
        <w:trPr/>
        <w:tc>
          <w:tcPr>
            <w:tcW w:w="727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Subcontract revenue</w:t>
            </w:r>
          </w:p>
        </w:tc>
        <w:tc>
          <w:tcPr>
            <w:tcW w:w="131" w:type="dxa"/>
            <w:tcBorders/>
            <w:shd w:fill="FFFFFF" w:val="clear"/>
            <w:vAlign w:val="bottom"/>
          </w:tcPr>
          <w:p>
            <w:pPr>
              <w:pStyle w:val="TableContents"/>
              <w:spacing w:before="0" w:after="283"/>
              <w:jc w:val="right"/>
              <w:rPr/>
            </w:pPr>
            <w:r>
              <w:rPr/>
              <w:t> </w:t>
            </w:r>
          </w:p>
        </w:tc>
        <w:tc>
          <w:tcPr>
            <w:tcW w:w="3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3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46" w:type="dxa"/>
            <w:tcBorders/>
            <w:shd w:fill="FFFFFF" w:val="clear"/>
            <w:vAlign w:val="bottom"/>
          </w:tcPr>
          <w:p>
            <w:pPr>
              <w:pStyle w:val="TableContents"/>
              <w:spacing w:before="0" w:after="283"/>
              <w:jc w:val="left"/>
              <w:rPr/>
            </w:pPr>
            <w:r>
              <w:rPr/>
              <w:t> </w:t>
            </w:r>
          </w:p>
        </w:tc>
      </w:tr>
      <w:tr>
        <w:trPr/>
        <w:tc>
          <w:tcPr>
            <w:tcW w:w="7271" w:type="dxa"/>
            <w:tcBorders/>
            <w:shd w:fill="CCEEFF" w:val="clear"/>
            <w:vAlign w:val="bottom"/>
          </w:tcPr>
          <w:p>
            <w:pPr>
              <w:pStyle w:val="TableContents"/>
              <w:spacing w:before="0" w:after="283"/>
              <w:rPr/>
            </w:pPr>
            <w:r>
              <w:rPr/>
              <w:t xml:space="preserve">  </w:t>
            </w:r>
          </w:p>
        </w:tc>
        <w:tc>
          <w:tcPr>
            <w:tcW w:w="131"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r>
      <w:tr>
        <w:trPr/>
        <w:tc>
          <w:tcPr>
            <w:tcW w:w="727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31" w:type="dxa"/>
            <w:tcBorders/>
            <w:shd w:fill="FFFFFF" w:val="clear"/>
            <w:vAlign w:val="bottom"/>
          </w:tcPr>
          <w:p>
            <w:pPr>
              <w:pStyle w:val="TableContents"/>
              <w:spacing w:before="0" w:after="283"/>
              <w:jc w:val="right"/>
              <w:rPr/>
            </w:pPr>
            <w:r>
              <w:rPr/>
              <w:t> </w:t>
            </w:r>
          </w:p>
        </w:tc>
        <w:tc>
          <w:tcPr>
            <w:tcW w:w="36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8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4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reported no grant or subcontract revenue for the quarter ended June 30, 2013. We have successfully completed our Phase I development of AV-101, our prodrug candidate for the treatment of neuropathic pain.  We reported no grant revenue from the NIH grant in the quarter ended June 30, 2013 as the grant expired in its normal course at June 30, 2012 and has not been extended or renewed.  We had drawn the maximum amount available under the grant prior to its expiration.  Revenue associated with our subcontract research arrangement terminated in May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Research and development expense totaled $695,500 for the quarter ended June 30, 2013, a 20% decrease compared to $866,300 for the quarter ended June 30, 2012.  The following table compares the primary components of research and development expense between the periods (in $000):</w:t>
      </w:r>
    </w:p>
    <w:tbl>
      <w:tblPr>
        <w:tblW w:w="5000" w:type="pct"/>
        <w:jc w:val="left"/>
        <w:tblInd w:w="0" w:type="dxa"/>
        <w:tblCellMar>
          <w:top w:w="0" w:type="dxa"/>
          <w:left w:w="0" w:type="dxa"/>
          <w:bottom w:w="0" w:type="dxa"/>
          <w:right w:w="0" w:type="dxa"/>
        </w:tblCellMar>
      </w:tblPr>
      <w:tblGrid>
        <w:gridCol w:w="7594"/>
        <w:gridCol w:w="111"/>
        <w:gridCol w:w="128"/>
        <w:gridCol w:w="951"/>
        <w:gridCol w:w="111"/>
        <w:gridCol w:w="111"/>
        <w:gridCol w:w="128"/>
        <w:gridCol w:w="951"/>
        <w:gridCol w:w="120"/>
      </w:tblGrid>
      <w:tr>
        <w:trPr/>
        <w:tc>
          <w:tcPr>
            <w:tcW w:w="7594"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238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June 30,</w:t>
            </w:r>
          </w:p>
        </w:tc>
        <w:tc>
          <w:tcPr>
            <w:tcW w:w="120" w:type="dxa"/>
            <w:tcBorders/>
            <w:shd w:fill="auto" w:val="clear"/>
            <w:vAlign w:val="bottom"/>
          </w:tcPr>
          <w:p>
            <w:pPr>
              <w:pStyle w:val="TableContents"/>
              <w:spacing w:before="0" w:after="283"/>
              <w:jc w:val="left"/>
              <w:rPr/>
            </w:pPr>
            <w:r>
              <w:rPr/>
              <w:t> </w:t>
            </w:r>
          </w:p>
        </w:tc>
      </w:tr>
      <w:tr>
        <w:trPr/>
        <w:tc>
          <w:tcPr>
            <w:tcW w:w="7594"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0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0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0" w:type="dxa"/>
            <w:tcBorders/>
            <w:shd w:fill="auto" w:val="clear"/>
            <w:vAlign w:val="bottom"/>
          </w:tcPr>
          <w:p>
            <w:pPr>
              <w:pStyle w:val="TableContents"/>
              <w:spacing w:before="0" w:after="283"/>
              <w:jc w:val="left"/>
              <w:rPr/>
            </w:pPr>
            <w:r>
              <w:rPr/>
              <w:t> </w:t>
            </w:r>
          </w:p>
        </w:tc>
      </w:tr>
      <w:tr>
        <w:trPr/>
        <w:tc>
          <w:tcPr>
            <w:tcW w:w="7594"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759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0" w:type="dxa"/>
            <w:tcBorders/>
            <w:shd w:fill="CCEEFF" w:val="clear"/>
            <w:vAlign w:val="bottom"/>
          </w:tcPr>
          <w:p>
            <w:pPr>
              <w:pStyle w:val="TableContents"/>
              <w:spacing w:before="0" w:after="283"/>
              <w:jc w:val="left"/>
              <w:rPr/>
            </w:pPr>
            <w:r>
              <w:rPr/>
              <w:t> </w:t>
            </w:r>
          </w:p>
        </w:tc>
      </w:tr>
      <w:tr>
        <w:trPr/>
        <w:tc>
          <w:tcPr>
            <w:tcW w:w="759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0" w:type="dxa"/>
            <w:tcBorders/>
            <w:shd w:fill="FFFFFF" w:val="clear"/>
            <w:vAlign w:val="bottom"/>
          </w:tcPr>
          <w:p>
            <w:pPr>
              <w:pStyle w:val="TableContents"/>
              <w:spacing w:before="0" w:after="283"/>
              <w:jc w:val="left"/>
              <w:rPr/>
            </w:pPr>
            <w:r>
              <w:rPr/>
              <w:t> </w:t>
            </w:r>
          </w:p>
        </w:tc>
      </w:tr>
      <w:tr>
        <w:trPr/>
        <w:tc>
          <w:tcPr>
            <w:tcW w:w="759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0" w:type="dxa"/>
            <w:tcBorders/>
            <w:shd w:fill="CCEEFF" w:val="clear"/>
            <w:vAlign w:val="bottom"/>
          </w:tcPr>
          <w:p>
            <w:pPr>
              <w:pStyle w:val="TableContents"/>
              <w:spacing w:before="0" w:after="283"/>
              <w:jc w:val="left"/>
              <w:rPr/>
            </w:pPr>
            <w:r>
              <w:rPr/>
              <w:t> </w:t>
            </w:r>
          </w:p>
        </w:tc>
      </w:tr>
      <w:tr>
        <w:trPr/>
        <w:tc>
          <w:tcPr>
            <w:tcW w:w="759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0" w:type="dxa"/>
            <w:tcBorders/>
            <w:shd w:fill="FFFFFF" w:val="clear"/>
            <w:vAlign w:val="bottom"/>
          </w:tcPr>
          <w:p>
            <w:pPr>
              <w:pStyle w:val="TableContents"/>
              <w:spacing w:before="0" w:after="283"/>
              <w:jc w:val="left"/>
              <w:rPr/>
            </w:pPr>
            <w:r>
              <w:rPr/>
              <w:t> </w:t>
            </w:r>
          </w:p>
        </w:tc>
      </w:tr>
      <w:tr>
        <w:trPr/>
        <w:tc>
          <w:tcPr>
            <w:tcW w:w="10085"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20" w:type="dxa"/>
            <w:tcBorders/>
            <w:shd w:fill="CCEEFF" w:val="clear"/>
            <w:vAlign w:val="bottom"/>
          </w:tcPr>
          <w:p>
            <w:pPr>
              <w:pStyle w:val="TableContents"/>
              <w:spacing w:before="0" w:after="283"/>
              <w:jc w:val="left"/>
              <w:rPr/>
            </w:pPr>
            <w:r>
              <w:rPr/>
              <w:t> </w:t>
            </w:r>
          </w:p>
        </w:tc>
      </w:tr>
      <w:tr>
        <w:trPr/>
        <w:tc>
          <w:tcPr>
            <w:tcW w:w="759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120" w:type="dxa"/>
            <w:tcBorders/>
            <w:shd w:fill="FFFFFF" w:val="clear"/>
            <w:vAlign w:val="bottom"/>
          </w:tcPr>
          <w:p>
            <w:pPr>
              <w:pStyle w:val="TableContents"/>
              <w:spacing w:before="0" w:after="283"/>
              <w:jc w:val="left"/>
              <w:rPr/>
            </w:pPr>
            <w:r>
              <w:rPr/>
              <w:t> </w:t>
            </w:r>
          </w:p>
        </w:tc>
      </w:tr>
      <w:tr>
        <w:trPr/>
        <w:tc>
          <w:tcPr>
            <w:tcW w:w="759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1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0" w:type="dxa"/>
            <w:tcBorders/>
            <w:shd w:fill="CCEEFF" w:val="clear"/>
            <w:vAlign w:val="bottom"/>
          </w:tcPr>
          <w:p>
            <w:pPr>
              <w:pStyle w:val="TableContents"/>
              <w:spacing w:before="0" w:after="283"/>
              <w:jc w:val="left"/>
              <w:rPr/>
            </w:pPr>
            <w:r>
              <w:rPr/>
              <w:t> </w:t>
            </w:r>
          </w:p>
        </w:tc>
      </w:tr>
      <w:tr>
        <w:trPr/>
        <w:tc>
          <w:tcPr>
            <w:tcW w:w="7594"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120" w:type="dxa"/>
            <w:tcBorders/>
            <w:shd w:fill="FFFFFF" w:val="clear"/>
            <w:vAlign w:val="bottom"/>
          </w:tcPr>
          <w:p>
            <w:pPr>
              <w:pStyle w:val="TableContents"/>
              <w:spacing w:before="0" w:after="283"/>
              <w:jc w:val="left"/>
              <w:rPr/>
            </w:pPr>
            <w:r>
              <w:rPr/>
              <w:t> </w:t>
            </w:r>
          </w:p>
        </w:tc>
      </w:tr>
      <w:tr>
        <w:trPr/>
        <w:tc>
          <w:tcPr>
            <w:tcW w:w="759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0" w:type="dxa"/>
            <w:tcBorders/>
            <w:shd w:fill="CCEEFF" w:val="clear"/>
            <w:vAlign w:val="bottom"/>
          </w:tcPr>
          <w:p>
            <w:pPr>
              <w:pStyle w:val="TableContents"/>
              <w:spacing w:before="0" w:after="283"/>
              <w:jc w:val="left"/>
              <w:rPr/>
            </w:pPr>
            <w:r>
              <w:rPr/>
              <w:t> </w:t>
            </w:r>
          </w:p>
        </w:tc>
      </w:tr>
      <w:tr>
        <w:trPr/>
        <w:tc>
          <w:tcPr>
            <w:tcW w:w="759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11"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FFFFFF" w:val="clear"/>
            <w:vAlign w:val="bottom"/>
          </w:tcPr>
          <w:p>
            <w:pPr>
              <w:pStyle w:val="TableContents"/>
              <w:spacing w:before="0" w:after="283"/>
              <w:jc w:val="left"/>
              <w:rPr/>
            </w:pPr>
            <w:r>
              <w:rPr/>
              <w:t> </w:t>
            </w:r>
          </w:p>
        </w:tc>
      </w:tr>
      <w:tr>
        <w:trPr/>
        <w:tc>
          <w:tcPr>
            <w:tcW w:w="7594"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759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11" w:type="dxa"/>
            <w:tcBorders/>
            <w:shd w:fill="FFFFFF" w:val="clear"/>
            <w:vAlign w:val="bottom"/>
          </w:tcPr>
          <w:p>
            <w:pPr>
              <w:pStyle w:val="TableContents"/>
              <w:spacing w:before="0" w:after="283"/>
              <w:jc w:val="right"/>
              <w:rPr/>
            </w:pPr>
            <w:r>
              <w:rPr/>
              <w:t> </w:t>
            </w:r>
          </w:p>
        </w:tc>
        <w:tc>
          <w:tcPr>
            <w:tcW w:w="1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695</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866</w:t>
            </w:r>
          </w:p>
        </w:tc>
        <w:tc>
          <w:tcPr>
            <w:tcW w:w="120" w:type="dxa"/>
            <w:tcBorders/>
            <w:shd w:fill="FFFF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32" w:name="PGBRK23"/>
      <w:bookmarkStart w:id="233" w:name="PGBRK23"/>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4" w:name="FTR23"/>
      <w:bookmarkStart w:id="235" w:name="FTR23"/>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36" w:name="GLFTR23"/>
      <w:bookmarkEnd w:id="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7" w:name="PN23"/>
      <w:bookmarkEnd w:id="237"/>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8" w:name="HDR23"/>
      <w:bookmarkStart w:id="239" w:name="HDR23"/>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40" w:name="GLHDR23"/>
        <w:bookmarkEnd w:id="24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increase in R&amp;D salaries and benefits expense reflects the impact of the addition of a research technician in April 2013, the partial restoration in April 2013 of an earlier voluntary salary reduction to below his contractual pay rate taken by our President and Chief Scientific Officer, and general increases in employee benefits costs. Stock-based compensation increased in 2013 compared to 2012 as a result of recognizing the expense resulting from (i) the March 2013 grant of a warrant to our President and Chief Scientific Officer that vests over three years, subject to certain vesting acceleration events, and (ii) the October 2012 cancellation of certain unvested option grants having exercise prices between $1.13 per share and $2.58 per share made to certain scientific employees and consultants in prior years and the granting of new options vesting over two years and having an exercise price of $0.75 per share to those same employees and consultants. Sponsored research at UHN in both 2013 and 2012 reflects our long-term stem cell research collaboration with Dr. Gordon Keller’s laboratory in accordance with modifications to our collaboration agreement with UHN made in the third and fourth quarters of our fiscal year ended March 31, 2012 and in a further modification effective beginning in October 2012. Technology license expense increased in 2013 reflecting increased costs for patent prosecution and protection that we are required to fund under the terms of certain of our license agreements. We recognize these costs as they are passed on to us by the licensors and they do not occur ratably throughout the year or between years. We began Phase 1b clinical trials of AV-101 early in calendar 2012 and completed them by mid-year 2012. AV-101 expenses in the current quarter of 2013 reflect the costs associated with finalizing the clinical trial results and preparing reports required under the terms of the NIH grant, primarily through our contract research collaborator, Cato Research Ltd.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 and administrative expense was $604,600 for the quarter ended June 30, 2013, a 43% reduction compared with $1,055,300 for the quarter ended June 30, 2012.  The following table compares the primary components of general and administrative expenses between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565"/>
        <w:gridCol w:w="110"/>
        <w:gridCol w:w="127"/>
        <w:gridCol w:w="945"/>
        <w:gridCol w:w="115"/>
        <w:gridCol w:w="110"/>
        <w:gridCol w:w="127"/>
        <w:gridCol w:w="985"/>
        <w:gridCol w:w="121"/>
      </w:tblGrid>
      <w:tr>
        <w:trPr/>
        <w:tc>
          <w:tcPr>
            <w:tcW w:w="7565"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09"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June 30,</w:t>
            </w:r>
          </w:p>
        </w:tc>
        <w:tc>
          <w:tcPr>
            <w:tcW w:w="121" w:type="dxa"/>
            <w:tcBorders/>
            <w:shd w:fill="auto" w:val="clear"/>
            <w:vAlign w:val="bottom"/>
          </w:tcPr>
          <w:p>
            <w:pPr>
              <w:pStyle w:val="TableContents"/>
              <w:spacing w:before="0" w:after="283"/>
              <w:jc w:val="left"/>
              <w:rPr/>
            </w:pPr>
            <w:r>
              <w:rPr/>
              <w:t> </w:t>
            </w:r>
          </w:p>
        </w:tc>
      </w:tr>
      <w:tr>
        <w:trPr/>
        <w:tc>
          <w:tcPr>
            <w:tcW w:w="7565"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0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1" w:type="dxa"/>
            <w:tcBorders/>
            <w:shd w:fill="auto" w:val="clear"/>
            <w:vAlign w:val="bottom"/>
          </w:tcPr>
          <w:p>
            <w:pPr>
              <w:pStyle w:val="TableContents"/>
              <w:spacing w:before="0" w:after="283"/>
              <w:jc w:val="left"/>
              <w:rPr/>
            </w:pPr>
            <w:r>
              <w:rPr/>
              <w:t> </w:t>
            </w:r>
          </w:p>
        </w:tc>
      </w:tr>
      <w:tr>
        <w:trPr/>
        <w:tc>
          <w:tcPr>
            <w:tcW w:w="7565"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12"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5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121" w:type="dxa"/>
            <w:tcBorders/>
            <w:shd w:fill="CCEEFF" w:val="clear"/>
            <w:vAlign w:val="bottom"/>
          </w:tcPr>
          <w:p>
            <w:pPr>
              <w:pStyle w:val="TableContents"/>
              <w:spacing w:before="0" w:after="283"/>
              <w:jc w:val="left"/>
              <w:rPr/>
            </w:pPr>
            <w:r>
              <w:rPr/>
              <w:t> </w:t>
            </w:r>
          </w:p>
        </w:tc>
      </w:tr>
      <w:tr>
        <w:trPr/>
        <w:tc>
          <w:tcPr>
            <w:tcW w:w="75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1" w:type="dxa"/>
            <w:tcBorders/>
            <w:shd w:fill="FFFFFF" w:val="clear"/>
            <w:vAlign w:val="bottom"/>
          </w:tcPr>
          <w:p>
            <w:pPr>
              <w:pStyle w:val="TableContents"/>
              <w:spacing w:before="0" w:after="283"/>
              <w:jc w:val="left"/>
              <w:rPr/>
            </w:pPr>
            <w:r>
              <w:rPr/>
              <w:t> </w:t>
            </w:r>
          </w:p>
        </w:tc>
      </w:tr>
      <w:tr>
        <w:trPr/>
        <w:tc>
          <w:tcPr>
            <w:tcW w:w="75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1" w:type="dxa"/>
            <w:tcBorders/>
            <w:shd w:fill="CCEEFF" w:val="clear"/>
            <w:vAlign w:val="bottom"/>
          </w:tcPr>
          <w:p>
            <w:pPr>
              <w:pStyle w:val="TableContents"/>
              <w:spacing w:before="0" w:after="283"/>
              <w:jc w:val="left"/>
              <w:rPr/>
            </w:pPr>
            <w:r>
              <w:rPr/>
              <w:t> </w:t>
            </w:r>
          </w:p>
        </w:tc>
      </w:tr>
      <w:tr>
        <w:trPr/>
        <w:tc>
          <w:tcPr>
            <w:tcW w:w="75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208</w:t>
            </w:r>
          </w:p>
        </w:tc>
        <w:tc>
          <w:tcPr>
            <w:tcW w:w="121" w:type="dxa"/>
            <w:tcBorders/>
            <w:shd w:fill="FFFFFF" w:val="clear"/>
            <w:vAlign w:val="bottom"/>
          </w:tcPr>
          <w:p>
            <w:pPr>
              <w:pStyle w:val="TableContents"/>
              <w:spacing w:before="0" w:after="283"/>
              <w:jc w:val="left"/>
              <w:rPr/>
            </w:pPr>
            <w:r>
              <w:rPr/>
              <w:t> </w:t>
            </w:r>
          </w:p>
        </w:tc>
      </w:tr>
      <w:tr>
        <w:trPr/>
        <w:tc>
          <w:tcPr>
            <w:tcW w:w="75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21" w:type="dxa"/>
            <w:tcBorders/>
            <w:shd w:fill="CCEEFF" w:val="clear"/>
            <w:vAlign w:val="bottom"/>
          </w:tcPr>
          <w:p>
            <w:pPr>
              <w:pStyle w:val="TableContents"/>
              <w:spacing w:before="0" w:after="283"/>
              <w:jc w:val="left"/>
              <w:rPr/>
            </w:pPr>
            <w:r>
              <w:rPr/>
              <w:t> </w:t>
            </w:r>
          </w:p>
        </w:tc>
      </w:tr>
      <w:tr>
        <w:trPr/>
        <w:tc>
          <w:tcPr>
            <w:tcW w:w="75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1" w:type="dxa"/>
            <w:tcBorders/>
            <w:shd w:fill="FFFFFF" w:val="clear"/>
            <w:vAlign w:val="bottom"/>
          </w:tcPr>
          <w:p>
            <w:pPr>
              <w:pStyle w:val="TableContents"/>
              <w:spacing w:before="0" w:after="283"/>
              <w:jc w:val="left"/>
              <w:rPr/>
            </w:pPr>
            <w:r>
              <w:rPr/>
              <w:t> </w:t>
            </w:r>
          </w:p>
        </w:tc>
      </w:tr>
      <w:tr>
        <w:trPr/>
        <w:tc>
          <w:tcPr>
            <w:tcW w:w="75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5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1" w:type="dxa"/>
            <w:tcBorders/>
            <w:shd w:fill="FFFFFF" w:val="clear"/>
            <w:vAlign w:val="bottom"/>
          </w:tcPr>
          <w:p>
            <w:pPr>
              <w:pStyle w:val="TableContents"/>
              <w:spacing w:before="0" w:after="283"/>
              <w:jc w:val="left"/>
              <w:rPr/>
            </w:pPr>
            <w:r>
              <w:rPr/>
              <w:t> </w:t>
            </w:r>
          </w:p>
        </w:tc>
      </w:tr>
      <w:tr>
        <w:trPr/>
        <w:tc>
          <w:tcPr>
            <w:tcW w:w="75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w:t>
            </w:r>
          </w:p>
        </w:tc>
        <w:tc>
          <w:tcPr>
            <w:tcW w:w="121" w:type="dxa"/>
            <w:tcBorders/>
            <w:shd w:fill="CCEEFF" w:val="clear"/>
            <w:vAlign w:val="bottom"/>
          </w:tcPr>
          <w:p>
            <w:pPr>
              <w:pStyle w:val="TableContents"/>
              <w:spacing w:before="0" w:after="283"/>
              <w:jc w:val="left"/>
              <w:rPr/>
            </w:pPr>
            <w:r>
              <w:rPr/>
              <w:t> </w:t>
            </w:r>
          </w:p>
        </w:tc>
      </w:tr>
      <w:tr>
        <w:trPr/>
        <w:tc>
          <w:tcPr>
            <w:tcW w:w="75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expenses</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1" w:type="dxa"/>
            <w:tcBorders/>
            <w:shd w:fill="FFFFFF" w:val="clear"/>
            <w:vAlign w:val="bottom"/>
          </w:tcPr>
          <w:p>
            <w:pPr>
              <w:pStyle w:val="TableContents"/>
              <w:spacing w:before="0" w:after="283"/>
              <w:jc w:val="left"/>
              <w:rPr/>
            </w:pPr>
            <w:r>
              <w:rPr/>
              <w:t> </w:t>
            </w:r>
          </w:p>
        </w:tc>
      </w:tr>
      <w:tr>
        <w:trPr/>
        <w:tc>
          <w:tcPr>
            <w:tcW w:w="7565"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45"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5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1,055</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part-time consultant to full-time employee status, and (iv) general annual increases in employee benefits costs. Stock-based compensation increased in 2013 compared to 2012 as a result of recognizing the expense resulting from (i) the March 2013 grant of warrants vesting over three years, subject to certain vesting acceleration events, to certain of our senior management and to the independent members of our Board of Directors, and (ii) the October 2012 cancellation of certain unvested option grants having exercise prices between $1.13 per share and $2.58 per share made to certain administrative employees and consultants in prior years and the granting of new options vesting over two years and having an exercise price of $0.75 per share to those same employees and consultants.  The reduction in legal, accounting and other professional fees is primarily the result of the September 2012 conversion of our Chief Financial Officer from part-time consultant to full-time employee status, as noted above. During 2012, we had engaged third parties to provide us with investor relations services and to conduct market awareness initiatives that had not been necessary as a private company; for strategic purposes, we have scaled back those initiatives during 2013.  In 2012, we incurred non-cash warrant modification expense of $436,000 related to the increase in the fair value of the underlying warrants due to reducing the exercise price of certain outstanding warrants to purchase our common stock. In 2013, we reduced the exercise price of certain warrants for a limited period of time and the resulting fair value of the warrants so modified decreased.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1" w:name="PGBRK24"/>
      <w:bookmarkStart w:id="242" w:name="PGBRK24"/>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FTR24"/>
      <w:bookmarkStart w:id="244" w:name="FTR24"/>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5" w:name="GLFTR24"/>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6" w:name="PN24"/>
      <w:bookmarkEnd w:id="246"/>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HDR24"/>
      <w:bookmarkStart w:id="248" w:name="HDR24"/>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49" w:name="GLHDR24"/>
        <w:bookmarkEnd w:id="2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Interest and 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net totaled $316,400 for the three months ended June 30, 2013, approximately three times the $102,800 reported for the three months ended June 30, 2012.  The following table summarizes the primary components of interest expense for each of the periods (in $000):</w:t>
      </w:r>
    </w:p>
    <w:tbl>
      <w:tblPr>
        <w:tblW w:w="5000" w:type="pct"/>
        <w:jc w:val="left"/>
        <w:tblInd w:w="0" w:type="dxa"/>
        <w:tblCellMar>
          <w:top w:w="0" w:type="dxa"/>
          <w:left w:w="0" w:type="dxa"/>
          <w:bottom w:w="0" w:type="dxa"/>
          <w:right w:w="0" w:type="dxa"/>
        </w:tblCellMar>
      </w:tblPr>
      <w:tblGrid>
        <w:gridCol w:w="7599"/>
        <w:gridCol w:w="110"/>
        <w:gridCol w:w="125"/>
        <w:gridCol w:w="949"/>
        <w:gridCol w:w="115"/>
        <w:gridCol w:w="110"/>
        <w:gridCol w:w="125"/>
        <w:gridCol w:w="949"/>
        <w:gridCol w:w="123"/>
      </w:tblGrid>
      <w:tr>
        <w:trPr/>
        <w:tc>
          <w:tcPr>
            <w:tcW w:w="759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373"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23" w:type="dxa"/>
            <w:tcBorders/>
            <w:shd w:fill="auto" w:val="clear"/>
            <w:vAlign w:val="bottom"/>
          </w:tcPr>
          <w:p>
            <w:pPr>
              <w:pStyle w:val="TableContents"/>
              <w:spacing w:before="0" w:after="283"/>
              <w:jc w:val="left"/>
              <w:rPr/>
            </w:pPr>
            <w:r>
              <w:rPr/>
              <w:t> </w:t>
            </w:r>
          </w:p>
        </w:tc>
      </w:tr>
      <w:tr>
        <w:trPr/>
        <w:tc>
          <w:tcPr>
            <w:tcW w:w="759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37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123" w:type="dxa"/>
            <w:tcBorders/>
            <w:shd w:fill="auto" w:val="clear"/>
            <w:vAlign w:val="bottom"/>
          </w:tcPr>
          <w:p>
            <w:pPr>
              <w:pStyle w:val="TableContents"/>
              <w:spacing w:before="0" w:after="283"/>
              <w:jc w:val="left"/>
              <w:rPr/>
            </w:pPr>
            <w:r>
              <w:rPr/>
              <w:t> </w:t>
            </w:r>
          </w:p>
        </w:tc>
      </w:tr>
      <w:tr>
        <w:trPr/>
        <w:tc>
          <w:tcPr>
            <w:tcW w:w="759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89"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0" w:type="dxa"/>
            <w:tcBorders/>
            <w:shd w:fill="auto" w:val="clear"/>
            <w:vAlign w:val="bottom"/>
          </w:tcPr>
          <w:p>
            <w:pPr>
              <w:pStyle w:val="TableContents"/>
              <w:spacing w:before="0" w:after="283"/>
              <w:rPr/>
            </w:pPr>
            <w:r>
              <w:rPr/>
              <w:t> </w:t>
            </w:r>
          </w:p>
        </w:tc>
        <w:tc>
          <w:tcPr>
            <w:tcW w:w="10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3" w:type="dxa"/>
            <w:tcBorders/>
            <w:shd w:fill="auto" w:val="clear"/>
            <w:vAlign w:val="bottom"/>
          </w:tcPr>
          <w:p>
            <w:pPr>
              <w:pStyle w:val="TableContents"/>
              <w:spacing w:before="0" w:after="283"/>
              <w:jc w:val="left"/>
              <w:rPr/>
            </w:pPr>
            <w:r>
              <w:rPr/>
              <w:t> </w:t>
            </w:r>
          </w:p>
        </w:tc>
      </w:tr>
      <w:tr>
        <w:trPr/>
        <w:tc>
          <w:tcPr>
            <w:tcW w:w="759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5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on promissory notes, including discount amortization</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23" w:type="dxa"/>
            <w:tcBorders/>
            <w:shd w:fill="CCEE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for fair value of replacement warrants issued in connection</w:t>
            </w:r>
          </w:p>
        </w:tc>
        <w:tc>
          <w:tcPr>
            <w:tcW w:w="123" w:type="dxa"/>
            <w:tcBorders/>
            <w:shd w:fill="FFFFFF" w:val="clear"/>
            <w:vAlign w:val="bottom"/>
          </w:tcPr>
          <w:p>
            <w:pPr>
              <w:pStyle w:val="TableContents"/>
              <w:spacing w:before="0" w:after="283"/>
              <w:jc w:val="left"/>
              <w:rPr/>
            </w:pPr>
            <w:r>
              <w:rPr/>
              <w:t> </w:t>
            </w:r>
          </w:p>
        </w:tc>
      </w:tr>
      <w:tr>
        <w:trPr/>
        <w:tc>
          <w:tcPr>
            <w:tcW w:w="75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with exercise of modified warrants</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CCEE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related to registration rights for February 2012 12%</w:t>
            </w:r>
          </w:p>
        </w:tc>
        <w:tc>
          <w:tcPr>
            <w:tcW w:w="123" w:type="dxa"/>
            <w:tcBorders/>
            <w:shd w:fill="FFFFFF" w:val="clear"/>
            <w:vAlign w:val="bottom"/>
          </w:tcPr>
          <w:p>
            <w:pPr>
              <w:pStyle w:val="TableContents"/>
              <w:spacing w:before="0" w:after="283"/>
              <w:jc w:val="left"/>
              <w:rPr/>
            </w:pPr>
            <w:r>
              <w:rPr/>
              <w:t> </w:t>
            </w:r>
          </w:p>
        </w:tc>
      </w:tr>
      <w:tr>
        <w:trPr/>
        <w:tc>
          <w:tcPr>
            <w:tcW w:w="75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CCEEFF" w:val="clear"/>
            <w:vAlign w:val="bottom"/>
          </w:tcPr>
          <w:p>
            <w:pPr>
              <w:pStyle w:val="TableContents"/>
              <w:spacing w:before="0" w:after="283"/>
              <w:jc w:val="left"/>
              <w:rPr/>
            </w:pPr>
            <w:r>
              <w:rPr/>
              <w:t> </w:t>
            </w:r>
          </w:p>
        </w:tc>
      </w:tr>
      <w:tr>
        <w:trPr/>
        <w:tc>
          <w:tcPr>
            <w:tcW w:w="759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interest expense, including on capital leases and premium financing</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FFFFFF" w:val="clear"/>
            <w:vAlign w:val="bottom"/>
          </w:tcPr>
          <w:p>
            <w:pPr>
              <w:pStyle w:val="TableContents"/>
              <w:spacing w:before="0" w:after="283"/>
              <w:jc w:val="left"/>
              <w:rPr/>
            </w:pPr>
            <w:r>
              <w:rPr/>
              <w:t> </w:t>
            </w:r>
          </w:p>
        </w:tc>
      </w:tr>
      <w:tr>
        <w:trPr/>
        <w:tc>
          <w:tcPr>
            <w:tcW w:w="7599"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123" w:type="dxa"/>
            <w:tcBorders/>
            <w:shd w:fill="CCEEFF" w:val="clear"/>
            <w:vAlign w:val="bottom"/>
          </w:tcPr>
          <w:p>
            <w:pPr>
              <w:pStyle w:val="TableContents"/>
              <w:spacing w:before="0" w:after="283"/>
              <w:jc w:val="left"/>
              <w:rPr/>
            </w:pPr>
            <w:r>
              <w:rPr/>
              <w:t> </w:t>
            </w:r>
          </w:p>
        </w:tc>
      </w:tr>
      <w:tr>
        <w:trPr/>
        <w:tc>
          <w:tcPr>
            <w:tcW w:w="759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foreign currency fluctuations on notes payable</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jc w:val="left"/>
              <w:rPr/>
            </w:pPr>
            <w:r>
              <w:rPr/>
              <w:t> </w:t>
            </w:r>
          </w:p>
        </w:tc>
      </w:tr>
      <w:tr>
        <w:trPr/>
        <w:tc>
          <w:tcPr>
            <w:tcW w:w="7599"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4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49"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5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1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increase in interest expense is primarily attributable to the accrued interest and discount amortization recorded for the July 2012 through March 2013 issuance and restructuring of an aggregate of $3.3 million of 10% senior secured convertible notes to Platinum and the restructuring in September and October 2012 of an additional $3.9 million of debt into new convertible notes to other service providers including Morrison &amp; Foerster, Cato Research Ltd., and University Health Network. These transactions are described in greater detail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Item 1 of this Quarterly Report on Form 10-Q.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(as described more completely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Item 1 of this Quarterly Report on Form 10-Q), and the potential issuance of the Series A Exchange Warrant to Platinum,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the current quarter, we recognized non-cash income of $1.8 million related to the decrease in the estimated fair value of these liabilities since March 31, 2013, which resulted primarily from the decrease in the market price of our common stock in relation to the anticipated exercise price of the warrants.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in May 1998, we have financed our operations and technology acquisitions primarily through the issuance and sale of equity and debt securities, including secured and unsecured convertible promissory notes and secured and unsecured short-term promissory notes, for cash consideration, as well as from government research grant awards and strategic collaboration payments.  At June 30, 2013, we had $89,800 in cash and cash equivalents, including funds from the exercise of modified warrants and from the initial closing of the Autilion Financing (described below).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described previously, in April 2013, we entered into a Securities Purchase Agreement (as amended, the “</w:t>
      </w:r>
      <w:r>
        <w:rPr>
          <w:rFonts w:ascii="Times New Roman" w:hAnsi="Times New Roman"/>
          <w:i/>
          <w:sz w:val="20"/>
        </w:rPr>
        <w:t>Amended Purchase Agreement</w:t>
      </w:r>
      <w:r>
        <w:rPr>
          <w:rFonts w:ascii="Times New Roman" w:hAnsi="Times New Roman"/>
          <w:sz w:val="20"/>
        </w:rPr>
        <w:t>”) providing for the issuance to Autilion AG (“</w:t>
      </w:r>
      <w:r>
        <w:rPr>
          <w:rFonts w:ascii="Times New Roman" w:hAnsi="Times New Roman"/>
          <w:i/>
          <w:sz w:val="20"/>
        </w:rPr>
        <w:t>Autilion"</w:t>
      </w:r>
      <w:r>
        <w:rPr>
          <w:rFonts w:ascii="Times New Roman" w:hAnsi="Times New Roman"/>
          <w:sz w:val="20"/>
        </w:rPr>
        <w:t>), of 72 million shares of our common stock for total gross proceeds to us of $36 million (the “</w:t>
      </w:r>
      <w:r>
        <w:rPr>
          <w:rFonts w:ascii="Times New Roman" w:hAnsi="Times New Roman"/>
          <w:i/>
          <w:sz w:val="20"/>
        </w:rPr>
        <w:t>Autilion</w:t>
      </w:r>
      <w:r>
        <w:rPr>
          <w:rFonts w:ascii="Times New Roman" w:hAnsi="Times New Roman"/>
          <w:sz w:val="20"/>
        </w:rPr>
        <w:t xml:space="preserve"> </w:t>
      </w:r>
      <w:r>
        <w:rPr>
          <w:rFonts w:ascii="Times New Roman" w:hAnsi="Times New Roman"/>
          <w:i/>
          <w:sz w:val="20"/>
        </w:rPr>
        <w:t>Financing</w:t>
      </w:r>
      <w:r>
        <w:rPr>
          <w:rFonts w:ascii="Times New Roman" w:hAnsi="Times New Roman"/>
          <w:sz w:val="20"/>
        </w:rPr>
        <w:t>”). At June 30, 2013, we had completed a nominal initial closing of the Autilion Financing.  Although we have not yet completed an additional closing under the Autilion Financing subsequent to June 30, 2013, we have been informed by Autilion that we will receive the $36 million of proceeds contemplated by the Amended Purchase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0" w:name="PGBRK25"/>
      <w:bookmarkStart w:id="251" w:name="PGBRK25"/>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 w:name="FTR25"/>
      <w:bookmarkStart w:id="253" w:name="FTR25"/>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4" w:name="GLFTR25"/>
      <w:bookmarkEnd w:id="2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5" w:name="PN25"/>
      <w:bookmarkEnd w:id="255"/>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HDR25"/>
      <w:bookmarkStart w:id="257" w:name="HDR25"/>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58" w:name="GLHDR25"/>
        <w:bookmarkEnd w:id="2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anticipate that our cash expenditures during the next twelve months will be approximately $4.0 to $6.0 million. We believe that our current cash and cash equivalents, combined with the expected cash proceeds from the Autilion Financing, will enable us to fund our operations well beyond the next twelve months.  There have, however, been delays in the closing of certain tranches of the Autilion Financing in accordance with the Amended Purchase Agreement.  Autilion has informed us that such delays result from administrative delays involving Autilion and its international affiliates and investment partners.  Accordingly, we can provide no assurance regarding whether we will receive additional funding or the specific timing of such funding, if any, in connection with the Autilion Financing. In the event that we are not able to close with respect to at least a significant portion of the remaining proceeds anticipated from the Autilion Financing, we will need to obtain substantial additional financing. Substantial additional financing may not be available on a timely basis on terms acceptable to us, or at all. In the event we are unable to obtain additional financing, our business, financial condition, and results of operations may be harmed, the price of our stock may decline, and we may not be able to continue as a going concern. In the event the Autilion Financing is completed in an amount exceeding $11.0 million, and we issue over 22 million shares of our restricted common stock in connection with such funding, Autilion will control in excess of 50% of our issued and outstanding common stock, resulting in a change in control of the Company.  In addition, substantial dilution to existing stockholders will occur upon completion of the Autilion Financing in substantial part or in full.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meet our cash needs and fund our working capital requirements prior to the completion of a significant tranche of the Autilion Financing, on July 30, 2013, we issued to Platinum a senior secured convertible note in the face amount of $250,000 (the “</w:t>
      </w:r>
      <w:r>
        <w:rPr>
          <w:rFonts w:ascii="Times New Roman" w:hAnsi="Times New Roman"/>
          <w:i/>
          <w:sz w:val="20"/>
        </w:rPr>
        <w:t>July 2013 Note</w:t>
      </w:r>
      <w:r>
        <w:rPr>
          <w:rFonts w:ascii="Times New Roman" w:hAnsi="Times New Roman"/>
          <w:sz w:val="20"/>
        </w:rPr>
        <w:t>”) and a five-year warrant to purchase 250,000 shares of our restricted common stock at an exercise price of $0.50 per share. Through the date of this report, in August 2013, we entered into a securities purchase agreement with an accredited investor pursuant to which we sold to such investor eight (8) Units in which each Unit consists of (i) a one-year 10% convertible note in the face amount of $25,000 (ii) 50,000 shares of our restricted common stock and (iii) a three-year warrant to purchase 50,000 restricted shares of our common stock at an exercise price of $1.00 per share, and we received cash proceeds of $200,000. Additionally, we granted Platinum the right to convert the July 2013 Note and related accrued interest into such Units. The July 2013 Note will automatically convert into such Units in the event and at such time as we receive gross proceeds of at least $10.0 million resulting from the sale of our common stock pursuant to the Autilion Financing.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If and as necessary, we may supplement the expected proceeds from the Autilion Financing through a combination of additional private placements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and we will continue to pursue additional financing opportunities as necessary to meet our business objectives, there can be no assurance that additional capital will be available to us in sufficient amounts, on terms favorable to us, and without substantial dilution to our current stockholders,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we obtain additional strategic financing by selling our equity or debt securities, we anticipate that substantial dilution to our existing stockholders will result. Our future working capital requirements will depend on many factors, including, without limitation, the scope and nature of our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9" w:name="PGBRK26"/>
      <w:bookmarkStart w:id="260" w:name="PGBRK26"/>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1" w:name="FTR26"/>
      <w:bookmarkStart w:id="262" w:name="FTR26"/>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3" w:name="GLFTR26"/>
      <w:bookmarkEnd w:id="2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4" w:name="PN26"/>
      <w:bookmarkEnd w:id="264"/>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5" w:name="HDR26"/>
      <w:bookmarkStart w:id="266" w:name="HDR26"/>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67" w:name="GLHDR26"/>
        <w:bookmarkEnd w:id="26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Cash and Cash Equivalents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summarizes changes in cash and cash equivalents for the periods stated (in thousands):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561"/>
        <w:gridCol w:w="110"/>
        <w:gridCol w:w="126"/>
        <w:gridCol w:w="966"/>
        <w:gridCol w:w="115"/>
        <w:gridCol w:w="110"/>
        <w:gridCol w:w="126"/>
        <w:gridCol w:w="966"/>
        <w:gridCol w:w="125"/>
      </w:tblGrid>
      <w:tr>
        <w:trPr/>
        <w:tc>
          <w:tcPr>
            <w:tcW w:w="756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09"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 Ended</w:t>
            </w:r>
          </w:p>
        </w:tc>
        <w:tc>
          <w:tcPr>
            <w:tcW w:w="125" w:type="dxa"/>
            <w:tcBorders/>
            <w:shd w:fill="auto" w:val="clear"/>
            <w:vAlign w:val="bottom"/>
          </w:tcPr>
          <w:p>
            <w:pPr>
              <w:pStyle w:val="TableContents"/>
              <w:spacing w:before="0" w:after="283"/>
              <w:jc w:val="left"/>
              <w:rPr/>
            </w:pPr>
            <w:r>
              <w:rPr/>
              <w:t> </w:t>
            </w:r>
          </w:p>
        </w:tc>
      </w:tr>
      <w:tr>
        <w:trPr/>
        <w:tc>
          <w:tcPr>
            <w:tcW w:w="756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0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w:t>
            </w:r>
          </w:p>
        </w:tc>
        <w:tc>
          <w:tcPr>
            <w:tcW w:w="125" w:type="dxa"/>
            <w:tcBorders/>
            <w:shd w:fill="auto" w:val="clear"/>
            <w:vAlign w:val="bottom"/>
          </w:tcPr>
          <w:p>
            <w:pPr>
              <w:pStyle w:val="TableContents"/>
              <w:spacing w:before="0" w:after="283"/>
              <w:jc w:val="left"/>
              <w:rPr/>
            </w:pPr>
            <w:r>
              <w:rPr/>
              <w:t> </w:t>
            </w:r>
          </w:p>
        </w:tc>
      </w:tr>
      <w:tr>
        <w:trPr/>
        <w:tc>
          <w:tcPr>
            <w:tcW w:w="756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0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5" w:type="dxa"/>
            <w:tcBorders/>
            <w:shd w:fill="auto" w:val="clear"/>
            <w:vAlign w:val="bottom"/>
          </w:tcPr>
          <w:p>
            <w:pPr>
              <w:pStyle w:val="TableContents"/>
              <w:spacing w:before="0" w:after="283"/>
              <w:jc w:val="left"/>
              <w:rPr/>
            </w:pPr>
            <w:r>
              <w:rPr/>
              <w:t> </w:t>
            </w:r>
          </w:p>
        </w:tc>
      </w:tr>
      <w:tr>
        <w:trPr/>
        <w:tc>
          <w:tcPr>
            <w:tcW w:w="756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092"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92"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75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(732</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75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 including warrant exercises and sale of common stock in 2013 and warrant exercises in 2012</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no off-balance sheet arrangements.</w:t>
      </w:r>
    </w:p>
    <w:p>
      <w:pPr>
        <w:pStyle w:val="TextBody"/>
        <w:spacing w:before="0" w:after="0"/>
        <w:ind w:left="0" w:right="0" w:hanging="0"/>
        <w:jc w:val="left"/>
        <w:rPr/>
      </w:pPr>
      <w:r>
        <w:rPr/>
        <w:t> </w:t>
      </w:r>
    </w:p>
    <w:p>
      <w:pPr>
        <w:pStyle w:val="TextBody"/>
        <w:spacing w:before="0" w:after="0"/>
        <w:rPr>
          <w:rFonts w:ascii="Times New Roman" w:hAnsi="Times New Roman"/>
          <w:b/>
          <w:sz w:val="20"/>
        </w:rPr>
      </w:pPr>
      <w:bookmarkStart w:id="268" w:name="cpj"/>
      <w:bookmarkEnd w:id="268"/>
      <w:r>
        <w:rPr>
          <w:rFonts w:ascii="Times New Roman" w:hAnsi="Times New Roman"/>
          <w:b/>
          <w:sz w:val="20"/>
        </w:rPr>
        <w:t>Item 4.  CONTROLS AND PROCEDURES</w:t>
      </w: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Disclosure Controls and Procedures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Internal Control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was no change in our internal control over financial reporting (as defined in Rule 13a-15(f) of the Exchange Act) that occurred during the fiscal quarter to which this Quarterly Report on Form 10-Q relates that has materially affected, or is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9" w:name="PGBRK27"/>
      <w:bookmarkStart w:id="270" w:name="PGBRK27"/>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FTR27"/>
      <w:bookmarkStart w:id="272" w:name="FTR27"/>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3" w:name="GLFTR27"/>
      <w:bookmarkEnd w:id="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4" w:name="PN27"/>
      <w:bookmarkEnd w:id="274"/>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 w:name="HDR27"/>
      <w:bookmarkStart w:id="276" w:name="HDR27"/>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77" w:name="GLHDR27"/>
        <w:bookmarkEnd w:id="2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bookmarkStart w:id="278" w:name="p2j"/>
      <w:bookmarkEnd w:id="278"/>
      <w:r>
        <w:rPr>
          <w:rFonts w:ascii="Times New Roman" w:hAnsi="Times New Roman"/>
          <w:b/>
          <w:sz w:val="20"/>
        </w:rPr>
        <w:t>PART II:  OTHER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  Legal Proceedings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9" w:name="TAB1"/>
      <w:bookmarkEnd w:id="279"/>
      <w:r>
        <w:rPr>
          <w:rFonts w:ascii="Times New Roman" w:hAnsi="Times New Roman"/>
          <w:sz w:val="20"/>
        </w:rPr>
        <w:t>We are not involved in any legal proceedings nor do we know of any legal proceedings which are threatened or contemplated.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identified the following risk factor in addition to the risk factors previously disclosed in Part I, Item 1A, “Risk Factors” in our Annual Report on Form 10-K for the year ended March 31,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entered into a strategic financing agreement to provide us with $36.0 million in working capital.  An initial closing under the agreement resulting in nominal proceeds has occurred; however, no further scheduled closings have occurred.   No assurances can be given that we will consummate any further closings under the strategic financing agreement, in which event we will need to secure alternative sources of capital, which may not be available on acceptable terms, or at all, potentially resulting in our inability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2013, we entered into a Securities Purchase Agreement (as amended, the “</w:t>
      </w:r>
      <w:r>
        <w:rPr>
          <w:rFonts w:ascii="Times New Roman" w:hAnsi="Times New Roman"/>
          <w:i/>
          <w:sz w:val="20"/>
        </w:rPr>
        <w:t>Purchase Agreement</w:t>
      </w:r>
      <w:r>
        <w:rPr>
          <w:rFonts w:ascii="Times New Roman" w:hAnsi="Times New Roman"/>
          <w:sz w:val="20"/>
        </w:rPr>
        <w:t>”) providing for the issuance to Autilion AG, a corporation organized and existing under the laws of Switzerland  (“</w:t>
      </w:r>
      <w:r>
        <w:rPr>
          <w:rFonts w:ascii="Times New Roman" w:hAnsi="Times New Roman"/>
          <w:i/>
          <w:sz w:val="20"/>
        </w:rPr>
        <w:t>Autilion</w:t>
      </w:r>
      <w:r>
        <w:rPr>
          <w:rFonts w:ascii="Times New Roman" w:hAnsi="Times New Roman"/>
          <w:sz w:val="20"/>
        </w:rPr>
        <w:t>), of 72 million shares of our common stock for total gross proceeds of $36 million (the “</w:t>
      </w:r>
      <w:r>
        <w:rPr>
          <w:rFonts w:ascii="Times New Roman" w:hAnsi="Times New Roman"/>
          <w:i/>
          <w:sz w:val="20"/>
        </w:rPr>
        <w:t>AutilionFinancing</w:t>
      </w:r>
      <w:r>
        <w:rPr>
          <w:rFonts w:ascii="Times New Roman" w:hAnsi="Times New Roman"/>
          <w:sz w:val="20"/>
        </w:rPr>
        <w:t>”). As amended, the Purchase Agreement provides for a series of closings between June 27, 2013 and September 30, 2013.  As of the date of this report, a closing resulting in nominal proceeds from the Autilion Financing has occurred.  However, further scheduled closings have not occurred.  We are informed by Autilion that the failure to close is due to administrative delays involving Autilion and its international affiliates and investment partners.  Because the scheduled closings have not occurred, the Purchase Agreement is currently in default.  We have been informed by Autilion that we will receive the total $36 million of proceeds contemplated by the Purchase Agreement.  However, we can give no assurances as to whether we will receive any additional funding in connection with the Autilion Financing. In the event we are not able to close with respect to at least a significant portion of the proceeds anticipated from the Autilion Financing, we will need to obtain substantial additional financing. Substantial additional financing may not be available on a timely basis, on terms acceptable to us, or at all.  In the event we are unable to obtain additional financing, our business, financial condition, and results of operations may be harmed, the price of our stock may decline, and we may not be able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event the Autilion Financing is completed in an amount exceeding $11.0 million, and we issue over 22 million shares of our restricted common stock in connection with such funding, Autilion will control in excess of 50% of our issued and outstanding common stock, resulting in a change in control of the Company.  In addition, substantial dilution to existing stockholders will occur upon completion of the Autilion Financing in part or in full. </w:t>
      </w:r>
    </w:p>
    <w:p>
      <w:pPr>
        <w:pStyle w:val="TextBody"/>
        <w:spacing w:before="0" w:after="0"/>
        <w:ind w:left="0" w:right="16" w:hanging="0"/>
        <w:jc w:val="left"/>
        <w:rPr/>
      </w:pPr>
      <w:r>
        <w:rPr/>
        <w:t> </w:t>
      </w:r>
    </w:p>
    <w:p>
      <w:pPr>
        <w:pStyle w:val="TextBody"/>
        <w:spacing w:before="0" w:after="0"/>
        <w:ind w:left="0" w:right="16" w:hanging="0"/>
        <w:jc w:val="left"/>
        <w:rPr>
          <w:rFonts w:ascii="Times New Roman" w:hAnsi="Times New Roman"/>
          <w:b/>
          <w:sz w:val="20"/>
        </w:rPr>
      </w:pPr>
      <w:r>
        <w:rPr>
          <w:rFonts w:ascii="Times New Roman" w:hAnsi="Times New Roman"/>
          <w:b/>
          <w:sz w:val="20"/>
        </w:rPr>
        <w:t>Item 2.  Unregistered Sales of Equity Securities and Use of Proceeds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Modification and Exercise of Warrants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June 2013, the Company offered certain long-term warrant holders the opportunity to exercise outstanding warrants having an exercise price of $1.50 per share to purchase shares of the Company’s restricted common stock at a reduced exercise price of $0.50 per share.  Through July 17, 2013, warrant holders exercised modified warrants to purchase an aggregate of 528,370 restricted shares of the Company’s common stock and the Company received cash proceeds of $264,185.  In addition, certain long-term warrant holders exercised modified warrants to purchase 16,646 shares of the Company’s restricted common stock in lieu of payment by the Company in satisfaction of amounts due for professional services in the aggregate amount of $8,323. The Company has used the proceeds from the exercise of the warrants for general corporate purposes.  The unregistered shares of common stock issued pursuant to the warrant exercises were offered and sold in transactions exempt from registration under the Securities Act of 1933, as amended (the “</w:t>
      </w:r>
      <w:r>
        <w:rPr>
          <w:rFonts w:ascii="Times New Roman" w:hAnsi="Times New Roman"/>
          <w:i/>
          <w:sz w:val="20"/>
        </w:rPr>
        <w:t>Securities Act</w:t>
      </w:r>
      <w:r>
        <w:rPr>
          <w:rFonts w:ascii="Times New Roman" w:hAnsi="Times New Roman"/>
          <w:sz w:val="20"/>
        </w:rPr>
        <w:t>”), in reliance on Section 4(2) thereof and Rule 506 of Regulation D thereunder.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  Defaults Upon Senior Securities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80" w:name="TAB11"/>
      <w:bookmarkEnd w:id="280"/>
      <w:r>
        <w:rPr>
          <w:rFonts w:ascii="Times New Roman" w:hAnsi="Times New Roman"/>
          <w:sz w:val="20"/>
        </w:rPr>
        <w:t>None.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1" w:name="PGBRK28"/>
      <w:bookmarkStart w:id="282" w:name="PGBRK28"/>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3" w:name="FTR28"/>
      <w:bookmarkStart w:id="284" w:name="FTR28"/>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5" w:name="GLFTR28"/>
      <w:bookmarkEnd w:id="2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6" w:name="PN28"/>
      <w:bookmarkEnd w:id="286"/>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7" w:name="HDR28"/>
      <w:bookmarkStart w:id="288" w:name="HDR28"/>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89" w:name="GLHDR28"/>
        <w:bookmarkEnd w:id="28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bookmarkStart w:id="290" w:name="exj"/>
      <w:bookmarkEnd w:id="290"/>
      <w:r>
        <w:rPr>
          <w:rFonts w:ascii="Times New Roman" w:hAnsi="Times New Roman"/>
          <w:b/>
          <w:sz w:val="20"/>
        </w:rPr>
        <w:t>Item 6.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16"/>
        <w:gridCol w:w="114"/>
        <w:gridCol w:w="9175"/>
      </w:tblGrid>
      <w:tr>
        <w:trPr/>
        <w:tc>
          <w:tcPr>
            <w:tcW w:w="916"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Exhibit</w:t>
            </w:r>
          </w:p>
        </w:tc>
        <w:tc>
          <w:tcPr>
            <w:tcW w:w="114" w:type="dxa"/>
            <w:tcBorders/>
            <w:shd w:fill="auto" w:val="clear"/>
            <w:vAlign w:val="bottom"/>
          </w:tcPr>
          <w:p>
            <w:pPr>
              <w:pStyle w:val="TableContents"/>
              <w:spacing w:before="0" w:after="283"/>
              <w:jc w:val="left"/>
              <w:rPr/>
            </w:pPr>
            <w:r>
              <w:rPr/>
              <w:t xml:space="preserve">  </w:t>
            </w:r>
          </w:p>
        </w:tc>
        <w:tc>
          <w:tcPr>
            <w:tcW w:w="9175" w:type="dxa"/>
            <w:tcBorders/>
            <w:shd w:fill="auto" w:val="clear"/>
            <w:vAlign w:val="bottom"/>
          </w:tcPr>
          <w:p>
            <w:pPr>
              <w:pStyle w:val="TableContents"/>
              <w:spacing w:before="0" w:after="283"/>
              <w:jc w:val="left"/>
              <w:rPr/>
            </w:pPr>
            <w:r>
              <w:rPr/>
              <w:t xml:space="preserve">  </w:t>
            </w:r>
          </w:p>
        </w:tc>
      </w:tr>
      <w:tr>
        <w:trPr/>
        <w:tc>
          <w:tcPr>
            <w:tcW w:w="916" w:type="dxa"/>
            <w:tcBorders>
              <w:bottom w:val="single" w:sz="12" w:space="0" w:color="000000"/>
            </w:tcBorders>
            <w:shd w:fill="auto" w:val="clear"/>
            <w:tcMar>
              <w:bottom w:w="28" w:type="dxa"/>
            </w:tcM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Number</w:t>
            </w:r>
          </w:p>
        </w:tc>
        <w:tc>
          <w:tcPr>
            <w:tcW w:w="114" w:type="dxa"/>
            <w:tcBorders/>
            <w:shd w:fill="auto" w:val="clear"/>
            <w:vAlign w:val="bottom"/>
          </w:tcPr>
          <w:p>
            <w:pPr>
              <w:pStyle w:val="TableContents"/>
              <w:spacing w:before="0" w:after="283"/>
              <w:jc w:val="left"/>
              <w:rPr/>
            </w:pPr>
            <w:r>
              <w:rPr/>
              <w:t xml:space="preserve">  </w:t>
            </w:r>
          </w:p>
        </w:tc>
        <w:tc>
          <w:tcPr>
            <w:tcW w:w="9175"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Description</w:t>
            </w:r>
          </w:p>
        </w:tc>
      </w:tr>
      <w:tr>
        <w:trPr/>
        <w:tc>
          <w:tcPr>
            <w:tcW w:w="91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31.1</w:t>
            </w:r>
          </w:p>
        </w:tc>
        <w:tc>
          <w:tcPr>
            <w:tcW w:w="114" w:type="dxa"/>
            <w:tcBorders/>
            <w:shd w:fill="CCEEFF" w:val="clear"/>
            <w:vAlign w:val="bottom"/>
          </w:tcPr>
          <w:p>
            <w:pPr>
              <w:pStyle w:val="TableContents"/>
              <w:spacing w:before="0" w:after="283"/>
              <w:rPr/>
            </w:pPr>
            <w:r>
              <w:rPr/>
              <w:t xml:space="preserve">  </w:t>
            </w:r>
          </w:p>
        </w:tc>
        <w:tc>
          <w:tcPr>
            <w:tcW w:w="9175"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Executive Officer required by Rule 13a-14(a) under the Securities Exchange Act of 1934, as amended, as adopted pursuant to Section 302 of the Sarbanes-Oxley Act of 2002</w:t>
            </w:r>
          </w:p>
        </w:tc>
      </w:tr>
      <w:tr>
        <w:trPr/>
        <w:tc>
          <w:tcPr>
            <w:tcW w:w="916" w:type="dxa"/>
            <w:tcBorders/>
            <w:shd w:fill="FFFFFF" w:val="clear"/>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9175" w:type="dxa"/>
            <w:tcBorders/>
            <w:shd w:fill="FFFFFF" w:val="clear"/>
          </w:tcPr>
          <w:p>
            <w:pPr>
              <w:pStyle w:val="TableContents"/>
              <w:spacing w:before="0" w:after="283"/>
              <w:rPr/>
            </w:pPr>
            <w:r>
              <w:rPr/>
              <w:t xml:space="preserve">  </w:t>
            </w:r>
          </w:p>
        </w:tc>
      </w:tr>
      <w:tr>
        <w:trPr/>
        <w:tc>
          <w:tcPr>
            <w:tcW w:w="916" w:type="dxa"/>
            <w:tcBorders/>
            <w:shd w:fill="CCEEFF" w:val="clear"/>
          </w:tcPr>
          <w:p>
            <w:pPr>
              <w:pStyle w:val="TableContents"/>
              <w:spacing w:before="0" w:after="0"/>
              <w:ind w:left="0" w:right="0" w:hanging="0"/>
              <w:jc w:val="left"/>
              <w:rPr/>
            </w:pPr>
            <w:r>
              <w:rPr/>
              <w:t> </w:t>
            </w:r>
            <w:r>
              <w:rPr>
                <w:rFonts w:ascii="times new roman" w:hAnsi="times new roman"/>
                <w:sz w:val="20"/>
              </w:rPr>
              <w:t>31.2</w:t>
            </w:r>
          </w:p>
        </w:tc>
        <w:tc>
          <w:tcPr>
            <w:tcW w:w="114" w:type="dxa"/>
            <w:tcBorders/>
            <w:shd w:fill="CCEEFF" w:val="clear"/>
            <w:vAlign w:val="bottom"/>
          </w:tcPr>
          <w:p>
            <w:pPr>
              <w:pStyle w:val="TableContents"/>
              <w:spacing w:before="0" w:after="283"/>
              <w:rPr/>
            </w:pPr>
            <w:r>
              <w:rPr/>
              <w:t xml:space="preserve">  </w:t>
            </w:r>
          </w:p>
        </w:tc>
        <w:tc>
          <w:tcPr>
            <w:tcW w:w="9175"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Financial Officer required by Rule 13a-14(a) under the Securities Exchange Act of 1934, as amended, as adopted pursuant to Section 302 of the Sarbanes-Oxley Act of 2002</w:t>
            </w:r>
          </w:p>
        </w:tc>
      </w:tr>
      <w:tr>
        <w:trPr/>
        <w:tc>
          <w:tcPr>
            <w:tcW w:w="916" w:type="dxa"/>
            <w:tcBorders/>
            <w:shd w:fill="FFFFFF" w:val="clear"/>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9175" w:type="dxa"/>
            <w:tcBorders/>
            <w:shd w:fill="FFFFFF" w:val="clear"/>
          </w:tcPr>
          <w:p>
            <w:pPr>
              <w:pStyle w:val="TableContents"/>
              <w:spacing w:before="0" w:after="283"/>
              <w:rPr/>
            </w:pPr>
            <w:r>
              <w:rPr/>
              <w:t xml:space="preserve">  </w:t>
            </w:r>
          </w:p>
        </w:tc>
      </w:tr>
      <w:tr>
        <w:trPr/>
        <w:tc>
          <w:tcPr>
            <w:tcW w:w="91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32</w:t>
            </w:r>
          </w:p>
        </w:tc>
        <w:tc>
          <w:tcPr>
            <w:tcW w:w="114" w:type="dxa"/>
            <w:tcBorders/>
            <w:shd w:fill="CCEEFF" w:val="clear"/>
            <w:vAlign w:val="bottom"/>
          </w:tcPr>
          <w:p>
            <w:pPr>
              <w:pStyle w:val="TableContents"/>
              <w:spacing w:before="0" w:after="283"/>
              <w:rPr/>
            </w:pPr>
            <w:r>
              <w:rPr/>
              <w:t xml:space="preserve">  </w:t>
            </w:r>
          </w:p>
        </w:tc>
        <w:tc>
          <w:tcPr>
            <w:tcW w:w="9175"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916" w:type="dxa"/>
            <w:tcBorders/>
            <w:shd w:fill="FFFFFF" w:val="clear"/>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9175" w:type="dxa"/>
            <w:tcBorders/>
            <w:shd w:fill="FFFFFF" w:val="clear"/>
          </w:tcPr>
          <w:p>
            <w:pPr>
              <w:pStyle w:val="TableContents"/>
              <w:spacing w:before="0" w:after="283"/>
              <w:rPr/>
            </w:pPr>
            <w:r>
              <w:rPr/>
              <w:t xml:space="preserve">  </w:t>
            </w:r>
          </w:p>
        </w:tc>
      </w:tr>
      <w:tr>
        <w:trPr/>
        <w:tc>
          <w:tcPr>
            <w:tcW w:w="91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101.INS *</w:t>
            </w:r>
          </w:p>
        </w:tc>
        <w:tc>
          <w:tcPr>
            <w:tcW w:w="114" w:type="dxa"/>
            <w:tcBorders/>
            <w:shd w:fill="CCEEFF" w:val="clear"/>
            <w:vAlign w:val="bottom"/>
          </w:tcPr>
          <w:p>
            <w:pPr>
              <w:pStyle w:val="TableContents"/>
              <w:spacing w:before="0" w:after="283"/>
              <w:rPr/>
            </w:pPr>
            <w:r>
              <w:rPr/>
              <w:t xml:space="preserve">  </w:t>
            </w:r>
          </w:p>
        </w:tc>
        <w:tc>
          <w:tcPr>
            <w:tcW w:w="9175"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Instance Document</w:t>
            </w:r>
          </w:p>
        </w:tc>
      </w:tr>
      <w:tr>
        <w:trPr/>
        <w:tc>
          <w:tcPr>
            <w:tcW w:w="91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101.SCH</w:t>
            </w:r>
          </w:p>
        </w:tc>
        <w:tc>
          <w:tcPr>
            <w:tcW w:w="114" w:type="dxa"/>
            <w:tcBorders/>
            <w:shd w:fill="FFFFFF" w:val="clear"/>
            <w:vAlign w:val="bottom"/>
          </w:tcPr>
          <w:p>
            <w:pPr>
              <w:pStyle w:val="TableContents"/>
              <w:spacing w:before="0" w:after="283"/>
              <w:rPr/>
            </w:pPr>
            <w:r>
              <w:rPr/>
              <w:t xml:space="preserve">  </w:t>
            </w:r>
          </w:p>
        </w:tc>
        <w:tc>
          <w:tcPr>
            <w:tcW w:w="9175"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Schema</w:t>
            </w:r>
          </w:p>
        </w:tc>
      </w:tr>
      <w:tr>
        <w:trPr/>
        <w:tc>
          <w:tcPr>
            <w:tcW w:w="91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101.CAL</w:t>
            </w:r>
          </w:p>
        </w:tc>
        <w:tc>
          <w:tcPr>
            <w:tcW w:w="114" w:type="dxa"/>
            <w:tcBorders/>
            <w:shd w:fill="CCEEFF" w:val="clear"/>
            <w:vAlign w:val="bottom"/>
          </w:tcPr>
          <w:p>
            <w:pPr>
              <w:pStyle w:val="TableContents"/>
              <w:spacing w:before="0" w:after="283"/>
              <w:rPr/>
            </w:pPr>
            <w:r>
              <w:rPr/>
              <w:t xml:space="preserve">  </w:t>
            </w:r>
          </w:p>
        </w:tc>
        <w:tc>
          <w:tcPr>
            <w:tcW w:w="9175"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Calculation Linkbase</w:t>
            </w:r>
          </w:p>
        </w:tc>
      </w:tr>
      <w:tr>
        <w:trPr/>
        <w:tc>
          <w:tcPr>
            <w:tcW w:w="91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101.DEF</w:t>
            </w:r>
          </w:p>
        </w:tc>
        <w:tc>
          <w:tcPr>
            <w:tcW w:w="114" w:type="dxa"/>
            <w:tcBorders/>
            <w:shd w:fill="FFFFFF" w:val="clear"/>
            <w:vAlign w:val="bottom"/>
          </w:tcPr>
          <w:p>
            <w:pPr>
              <w:pStyle w:val="TableContents"/>
              <w:spacing w:before="0" w:after="283"/>
              <w:rPr/>
            </w:pPr>
            <w:r>
              <w:rPr/>
              <w:t xml:space="preserve">  </w:t>
            </w:r>
          </w:p>
        </w:tc>
        <w:tc>
          <w:tcPr>
            <w:tcW w:w="9175"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Definition Linkbase</w:t>
            </w:r>
          </w:p>
        </w:tc>
      </w:tr>
      <w:tr>
        <w:trPr/>
        <w:tc>
          <w:tcPr>
            <w:tcW w:w="91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101.LAB</w:t>
            </w:r>
          </w:p>
        </w:tc>
        <w:tc>
          <w:tcPr>
            <w:tcW w:w="114" w:type="dxa"/>
            <w:tcBorders/>
            <w:shd w:fill="CCEEFF" w:val="clear"/>
            <w:vAlign w:val="bottom"/>
          </w:tcPr>
          <w:p>
            <w:pPr>
              <w:pStyle w:val="TableContents"/>
              <w:spacing w:before="0" w:after="283"/>
              <w:rPr/>
            </w:pPr>
            <w:r>
              <w:rPr/>
              <w:t xml:space="preserve">  </w:t>
            </w:r>
          </w:p>
        </w:tc>
        <w:tc>
          <w:tcPr>
            <w:tcW w:w="9175"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Label Linkbase</w:t>
            </w:r>
          </w:p>
        </w:tc>
      </w:tr>
      <w:tr>
        <w:trPr/>
        <w:tc>
          <w:tcPr>
            <w:tcW w:w="91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101.PRE</w:t>
            </w:r>
          </w:p>
        </w:tc>
        <w:tc>
          <w:tcPr>
            <w:tcW w:w="114" w:type="dxa"/>
            <w:tcBorders/>
            <w:shd w:fill="FFFFFF" w:val="clear"/>
            <w:vAlign w:val="bottom"/>
          </w:tcPr>
          <w:p>
            <w:pPr>
              <w:pStyle w:val="TableContents"/>
              <w:spacing w:before="0" w:after="283"/>
              <w:rPr/>
            </w:pPr>
            <w:r>
              <w:rPr/>
              <w:t xml:space="preserve">  </w:t>
            </w:r>
          </w:p>
        </w:tc>
        <w:tc>
          <w:tcPr>
            <w:tcW w:w="9175"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softHyphen/>
        <w:softHyphen/>
        <w:softHyphen/>
        <w:softHyphen/>
        <w:softHyphen/>
        <w:softHyphen/>
        <w:softHyphen/>
        <w:softHyphen/>
      </w:r>
    </w:p>
    <w:p>
      <w:pPr>
        <w:pStyle w:val="Normal"/>
        <w:spacing w:before="0" w:after="0"/>
        <w:rPr>
          <w:sz w:val="4"/>
          <w:szCs w:val="4"/>
        </w:rPr>
      </w:pPr>
      <w:r>
        <w:rPr>
          <w:sz w:val="4"/>
          <w:szCs w:val="4"/>
        </w:rPr>
      </w:r>
      <w:bookmarkStart w:id="291" w:name="hangingindent6"/>
      <w:bookmarkStart w:id="292" w:name="hangingindent6"/>
      <w:bookmarkEnd w:id="292"/>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t>
            </w:r>
            <w:r>
              <w:rPr>
                <w:rFonts w:ascii="times new roman" w:hAnsi="times new roman"/>
                <w:i/>
                <w:sz w:val="20"/>
              </w:rPr>
              <w:t>Pursuant to Rule 406T of Regulation S-T, these interactive data files are deemed not filed or a part of a registration statement or prospectus for purposes of Sections 11 or 12 of the Securities Act of 1933 or Section 18 of the Securities Exchange Act of 1934 and otherwise are not subject to liability.</w:t>
            </w:r>
          </w:p>
        </w:tc>
      </w:tr>
    </w:tbl>
    <w:p>
      <w:pPr>
        <w:pStyle w:val="TextBody"/>
        <w:spacing w:before="0" w:after="0"/>
        <w:jc w:val="center"/>
        <w:rPr/>
      </w:pPr>
      <w:r>
        <w:rPr/>
        <w:t> </w:t>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3" w:name="PGBRK29"/>
      <w:bookmarkStart w:id="294" w:name="PGBRK29"/>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FTR29"/>
      <w:bookmarkStart w:id="296" w:name="FTR29"/>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7" w:name="GLFTR29"/>
      <w:bookmarkEnd w:id="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8" w:name="PN29"/>
      <w:bookmarkEnd w:id="298"/>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9" w:name="HDR29"/>
      <w:bookmarkStart w:id="300" w:name="HDR29"/>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01" w:name="GLHDR29"/>
        <w:bookmarkEnd w:id="3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302" w:name="sigj"/>
      <w:bookmarkEnd w:id="302"/>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96"/>
        <w:gridCol w:w="5308"/>
        <w:gridCol w:w="101"/>
      </w:tblGrid>
      <w:tr>
        <w:trPr/>
        <w:tc>
          <w:tcPr>
            <w:tcW w:w="4796" w:type="dxa"/>
            <w:tcBorders/>
            <w:shd w:fill="auto" w:val="clear"/>
          </w:tcPr>
          <w:p>
            <w:pPr>
              <w:pStyle w:val="TableContents"/>
              <w:spacing w:before="0" w:after="283"/>
              <w:jc w:val="left"/>
              <w:rPr/>
            </w:pPr>
            <w:r>
              <w:rPr/>
              <w:t xml:space="preserve">  </w:t>
            </w:r>
          </w:p>
        </w:tc>
        <w:tc>
          <w:tcPr>
            <w:tcW w:w="5409" w:type="dxa"/>
            <w:gridSpan w:val="2"/>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VISTAGEN THERAPEUTICS, INC. </w:t>
            </w:r>
          </w:p>
          <w:p>
            <w:pPr>
              <w:pStyle w:val="TableContents"/>
              <w:spacing w:before="0" w:after="0"/>
              <w:ind w:left="0" w:right="0" w:hanging="0"/>
              <w:jc w:val="left"/>
              <w:rPr/>
            </w:pPr>
            <w:r>
              <w:rPr/>
              <w:t> </w:t>
            </w:r>
          </w:p>
          <w:p>
            <w:pPr>
              <w:pStyle w:val="TableContents"/>
              <w:spacing w:before="0" w:after="0"/>
              <w:ind w:left="0" w:right="56" w:hanging="0"/>
              <w:jc w:val="left"/>
              <w:rPr>
                <w:rFonts w:ascii="times new roman" w:hAnsi="times new roman"/>
                <w:sz w:val="20"/>
                <w:u w:val="single"/>
              </w:rPr>
            </w:pPr>
            <w:r>
              <w:rPr>
                <w:rFonts w:ascii="times new roman" w:hAnsi="times new roman"/>
                <w:sz w:val="20"/>
                <w:u w:val="single"/>
              </w:rPr>
              <w:t>/s/ Shawn K. Singh</w:t>
            </w:r>
          </w:p>
          <w:p>
            <w:pPr>
              <w:pStyle w:val="TableContents"/>
              <w:spacing w:before="0" w:after="0"/>
              <w:ind w:left="0" w:right="56" w:hanging="0"/>
              <w:jc w:val="left"/>
              <w:rPr>
                <w:rFonts w:ascii="times new roman" w:hAnsi="times new roman"/>
                <w:sz w:val="20"/>
              </w:rPr>
            </w:pPr>
            <w:r>
              <w:rPr>
                <w:rFonts w:ascii="times new roman" w:hAnsi="times new roman"/>
                <w:sz w:val="20"/>
              </w:rPr>
              <w:t>Shawn K. Singh, J.D.</w:t>
            </w:r>
          </w:p>
          <w:p>
            <w:pPr>
              <w:pStyle w:val="TableContents"/>
              <w:spacing w:before="0" w:after="0"/>
              <w:ind w:left="0" w:right="56" w:hanging="0"/>
              <w:jc w:val="left"/>
              <w:rPr>
                <w:rFonts w:ascii="times new roman" w:hAnsi="times new roman"/>
                <w:i/>
                <w:sz w:val="20"/>
              </w:rPr>
            </w:pPr>
            <w:r>
              <w:rPr>
                <w:rFonts w:ascii="times new roman" w:hAnsi="times new roman"/>
                <w:i/>
                <w:sz w:val="20"/>
              </w:rPr>
              <w:t>Chief Executive Officer (Principal Executive Officer)</w:t>
            </w:r>
          </w:p>
          <w:p>
            <w:pPr>
              <w:pStyle w:val="TableContents"/>
              <w:spacing w:before="0" w:after="0"/>
              <w:ind w:left="0" w:right="56" w:hanging="0"/>
              <w:jc w:val="left"/>
              <w:rPr/>
            </w:pPr>
            <w:r>
              <w:rPr/>
              <w:t> </w:t>
            </w:r>
          </w:p>
        </w:tc>
      </w:tr>
      <w:tr>
        <w:trPr/>
        <w:tc>
          <w:tcPr>
            <w:tcW w:w="4796" w:type="dxa"/>
            <w:tcBorders/>
            <w:shd w:fill="auto" w:val="clear"/>
            <w:vAlign w:val="center"/>
          </w:tcPr>
          <w:p>
            <w:pPr>
              <w:pStyle w:val="TableContents"/>
              <w:spacing w:before="0" w:after="283"/>
              <w:jc w:val="left"/>
              <w:rPr/>
            </w:pPr>
            <w:r>
              <w:rPr/>
              <w:t xml:space="preserve">  </w:t>
            </w:r>
          </w:p>
        </w:tc>
        <w:tc>
          <w:tcPr>
            <w:tcW w:w="5308" w:type="dxa"/>
            <w:tcBorders/>
            <w:shd w:fill="auto" w:val="clear"/>
            <w:vAlign w:val="center"/>
          </w:tcPr>
          <w:p>
            <w:pPr>
              <w:pStyle w:val="TableContents"/>
              <w:spacing w:before="0" w:after="0"/>
              <w:ind w:left="0" w:right="56" w:hanging="0"/>
              <w:jc w:val="left"/>
              <w:rPr>
                <w:rFonts w:ascii="times new roman" w:hAnsi="times new roman"/>
                <w:sz w:val="20"/>
                <w:u w:val="single"/>
              </w:rPr>
            </w:pPr>
            <w:r>
              <w:rPr>
                <w:rFonts w:ascii="times new roman" w:hAnsi="times new roman"/>
                <w:sz w:val="20"/>
                <w:u w:val="single"/>
              </w:rPr>
              <w:t>/s/ Jerrold D. Dotson</w:t>
            </w:r>
          </w:p>
        </w:tc>
        <w:tc>
          <w:tcPr>
            <w:tcW w:w="101" w:type="dxa"/>
            <w:tcBorders/>
            <w:shd w:fill="auto" w:val="clear"/>
            <w:vAlign w:val="center"/>
          </w:tcPr>
          <w:p>
            <w:pPr>
              <w:pStyle w:val="TableContents"/>
              <w:spacing w:before="0" w:after="283"/>
              <w:jc w:val="left"/>
              <w:rPr/>
            </w:pPr>
            <w:r>
              <w:rPr/>
              <w:t xml:space="preserve">  </w:t>
            </w:r>
          </w:p>
        </w:tc>
      </w:tr>
      <w:tr>
        <w:trPr/>
        <w:tc>
          <w:tcPr>
            <w:tcW w:w="4796" w:type="dxa"/>
            <w:tcBorders/>
            <w:shd w:fill="auto" w:val="clear"/>
            <w:vAlign w:val="center"/>
          </w:tcPr>
          <w:p>
            <w:pPr>
              <w:pStyle w:val="TableContents"/>
              <w:spacing w:before="0" w:after="283"/>
              <w:jc w:val="left"/>
              <w:rPr/>
            </w:pPr>
            <w:r>
              <w:rPr/>
              <w:t xml:space="preserve">  </w:t>
            </w:r>
          </w:p>
        </w:tc>
        <w:tc>
          <w:tcPr>
            <w:tcW w:w="5308" w:type="dxa"/>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Jerrold D. Dotson</w:t>
            </w:r>
          </w:p>
        </w:tc>
        <w:tc>
          <w:tcPr>
            <w:tcW w:w="101" w:type="dxa"/>
            <w:tcBorders/>
            <w:shd w:fill="auto" w:val="clear"/>
            <w:vAlign w:val="center"/>
          </w:tcPr>
          <w:p>
            <w:pPr>
              <w:pStyle w:val="TableContents"/>
              <w:spacing w:before="0" w:after="283"/>
              <w:jc w:val="left"/>
              <w:rPr/>
            </w:pPr>
            <w:r>
              <w:rPr/>
              <w:t xml:space="preserve">  </w:t>
            </w:r>
          </w:p>
        </w:tc>
      </w:tr>
      <w:tr>
        <w:trPr/>
        <w:tc>
          <w:tcPr>
            <w:tcW w:w="4796" w:type="dxa"/>
            <w:tcBorders/>
            <w:shd w:fill="auto" w:val="clear"/>
            <w:vAlign w:val="center"/>
          </w:tcPr>
          <w:p>
            <w:pPr>
              <w:pStyle w:val="TableContents"/>
              <w:spacing w:before="0" w:after="283"/>
              <w:jc w:val="left"/>
              <w:rPr/>
            </w:pPr>
            <w:r>
              <w:rPr/>
              <w:t xml:space="preserve">  </w:t>
            </w:r>
          </w:p>
        </w:tc>
        <w:tc>
          <w:tcPr>
            <w:tcW w:w="5409" w:type="dxa"/>
            <w:gridSpan w:val="2"/>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Financial Officer (Principal Financial and Accounting Officer)</w:t>
            </w:r>
          </w:p>
        </w:tc>
      </w:tr>
      <w:tr>
        <w:trPr/>
        <w:tc>
          <w:tcPr>
            <w:tcW w:w="10205" w:type="dxa"/>
            <w:gridSpan w:val="3"/>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ind w:left="0" w:right="0" w:hanging="0"/>
        <w:jc w:val="left"/>
        <w:rPr>
          <w:rFonts w:ascii="Times New Roman" w:hAnsi="Times New Roman"/>
          <w:sz w:val="20"/>
        </w:rPr>
      </w:pPr>
      <w:r>
        <w:rPr>
          <w:rFonts w:ascii="Times New Roman" w:hAnsi="Times New Roman"/>
          <w:sz w:val="20"/>
        </w:rPr>
        <w:t>Dated: August 14, 2013</w:t>
      </w:r>
      <w:r>
        <w:br w:type="page"/>
      </w:r>
    </w:p>
    <w:p>
      <w:pPr>
        <w:pStyle w:val="TextBody"/>
        <w:spacing w:before="0" w:after="0"/>
        <w:ind w:left="0" w:right="0" w:hanging="0"/>
        <w:jc w:val="right"/>
        <w:rPr>
          <w:rFonts w:ascii="Times New Roman" w:hAnsi="Times New Roman"/>
          <w:b/>
          <w:sz w:val="20"/>
        </w:rPr>
      </w:pPr>
      <w:bookmarkStart w:id="303" w:name="ex31-1.htm"/>
      <w:bookmarkStart w:id="304" w:name="ksex311"/>
      <w:bookmarkEnd w:id="303"/>
      <w:bookmarkEnd w:id="304"/>
      <w:r>
        <w:rPr>
          <w:rFonts w:ascii="Times New Roman" w:hAnsi="Times New Roman"/>
          <w:b/>
          <w:sz w:val="20"/>
        </w:rPr>
        <w:t>EXHIBIT 31.1</w:t>
      </w:r>
      <w:bookmarkStart w:id="305" w:name="FIS_CERTIFICATION"/>
      <w:bookmarkEnd w:id="305"/>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Shawn K. Singh,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August 14, 2013</w:t>
            </w:r>
          </w:p>
          <w:p>
            <w:pPr>
              <w:pStyle w:val="TableContents"/>
              <w:spacing w:before="0" w:after="0"/>
              <w:rPr/>
            </w:pPr>
            <w:r>
              <w:rPr/>
              <w:t> </w:t>
            </w:r>
          </w:p>
          <w:p>
            <w:pPr>
              <w:pStyle w:val="TableContents"/>
              <w:spacing w:before="0" w:after="0"/>
              <w:rPr/>
            </w:pPr>
            <w:r>
              <w:rPr/>
              <w:t> </w:t>
            </w:r>
          </w:p>
        </w:tc>
        <w:tc>
          <w:tcPr>
            <w:tcW w:w="5103" w:type="dxa"/>
            <w:tcBorders/>
            <w:shd w:fill="FFFFFF" w:val="clear"/>
            <w:vAlign w:val="center"/>
          </w:tcPr>
          <w:p>
            <w:pPr>
              <w:pStyle w:val="TableContents"/>
              <w:spacing w:before="0" w:after="0"/>
              <w:rPr>
                <w:rFonts w:ascii="Times New Roman" w:hAnsi="Times New Roman"/>
                <w:sz w:val="20"/>
                <w:u w:val="single"/>
              </w:rPr>
            </w:pPr>
            <w:r>
              <w:rPr>
                <w:rFonts w:ascii="Times New Roman" w:hAnsi="Times New Roman"/>
                <w:sz w:val="20"/>
                <w:u w:val="single"/>
              </w:rPr>
              <w:t>/s/ Shawn K. Singh</w:t>
            </w:r>
          </w:p>
          <w:p>
            <w:pPr>
              <w:pStyle w:val="TableContents"/>
              <w:spacing w:before="0" w:after="0"/>
              <w:rPr>
                <w:rFonts w:ascii="Times New Roman" w:hAnsi="Times New Roman"/>
                <w:sz w:val="20"/>
              </w:rPr>
            </w:pPr>
            <w:r>
              <w:rPr>
                <w:rFonts w:ascii="Times New Roman" w:hAnsi="Times New Roman"/>
                <w:sz w:val="20"/>
              </w:rPr>
              <w:t>Shawn K. Singh, JD</w:t>
            </w:r>
          </w:p>
          <w:p>
            <w:pPr>
              <w:pStyle w:val="TableContents"/>
              <w:spacing w:before="0" w:after="0"/>
              <w:rPr>
                <w:rFonts w:ascii="Times New Roman" w:hAnsi="Times New Roman"/>
                <w:sz w:val="20"/>
              </w:rPr>
            </w:pPr>
            <w:r>
              <w:rPr>
                <w:rFonts w:ascii="Times New Roman" w:hAnsi="Times New Roman"/>
                <w:sz w:val="20"/>
              </w:rPr>
              <w:t>Principal Executive Officer</w:t>
            </w:r>
          </w:p>
        </w:tc>
      </w:tr>
    </w:tbl>
    <w:p>
      <w:pPr>
        <w:pStyle w:val="TextBody"/>
        <w:rPr/>
      </w:pPr>
      <w:r>
        <w:rPr/>
        <w:t> </w:t>
      </w:r>
      <w:r>
        <w:br w:type="page"/>
      </w:r>
    </w:p>
    <w:p>
      <w:pPr>
        <w:pStyle w:val="TextBody"/>
        <w:spacing w:before="0" w:after="0"/>
        <w:ind w:left="0" w:right="0" w:hanging="0"/>
        <w:jc w:val="right"/>
        <w:rPr>
          <w:rFonts w:ascii="Times New Roman" w:hAnsi="Times New Roman"/>
          <w:b/>
          <w:sz w:val="20"/>
        </w:rPr>
      </w:pPr>
      <w:bookmarkStart w:id="306" w:name="ex31-2.htm"/>
      <w:bookmarkStart w:id="307" w:name="ksex312"/>
      <w:bookmarkEnd w:id="306"/>
      <w:bookmarkEnd w:id="307"/>
      <w:r>
        <w:rPr>
          <w:rFonts w:ascii="Times New Roman" w:hAnsi="Times New Roman"/>
          <w:b/>
          <w:sz w:val="20"/>
        </w:rPr>
        <w:t>EXHIBIT 31.2</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Jerrold D. Dotson,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August 14, 2013</w:t>
            </w:r>
          </w:p>
          <w:p>
            <w:pPr>
              <w:pStyle w:val="TableContents"/>
              <w:spacing w:before="0" w:after="0"/>
              <w:rPr/>
            </w:pPr>
            <w:r>
              <w:rPr/>
              <w:t> </w:t>
            </w:r>
          </w:p>
          <w:p>
            <w:pPr>
              <w:pStyle w:val="TableContents"/>
              <w:spacing w:before="0" w:after="0"/>
              <w:rPr/>
            </w:pPr>
            <w:r>
              <w:rPr/>
              <w:t> </w:t>
            </w:r>
          </w:p>
        </w:tc>
        <w:tc>
          <w:tcPr>
            <w:tcW w:w="5103" w:type="dxa"/>
            <w:tcBorders/>
            <w:shd w:fill="FFFFFF" w:val="clear"/>
            <w:vAlign w:val="center"/>
          </w:tcPr>
          <w:p>
            <w:pPr>
              <w:pStyle w:val="TableContents"/>
              <w:spacing w:before="0" w:after="0"/>
              <w:rPr>
                <w:rFonts w:ascii="Times New Roman" w:hAnsi="Times New Roman"/>
                <w:sz w:val="20"/>
                <w:u w:val="single"/>
              </w:rPr>
            </w:pPr>
            <w:r>
              <w:rPr>
                <w:rFonts w:ascii="Times New Roman" w:hAnsi="Times New Roman"/>
                <w:sz w:val="20"/>
                <w:u w:val="single"/>
              </w:rPr>
              <w:t>/s/ Jerrold D. Dotson</w:t>
            </w:r>
          </w:p>
          <w:p>
            <w:pPr>
              <w:pStyle w:val="TableContents"/>
              <w:spacing w:before="0" w:after="0"/>
              <w:rPr>
                <w:rFonts w:ascii="Times New Roman" w:hAnsi="Times New Roman"/>
                <w:sz w:val="20"/>
              </w:rPr>
            </w:pPr>
            <w:r>
              <w:rPr>
                <w:rFonts w:ascii="Times New Roman" w:hAnsi="Times New Roman"/>
                <w:sz w:val="20"/>
              </w:rPr>
              <w:t>Jerrold D. Dotson</w:t>
            </w:r>
          </w:p>
          <w:p>
            <w:pPr>
              <w:pStyle w:val="TableContents"/>
              <w:spacing w:before="0" w:after="0"/>
              <w:ind w:left="240" w:right="0" w:hanging="0"/>
              <w:rPr>
                <w:rFonts w:ascii="Times New Roman" w:hAnsi="Times New Roman"/>
                <w:sz w:val="20"/>
              </w:rPr>
            </w:pPr>
            <w:r>
              <w:rPr>
                <w:rFonts w:ascii="Times New Roman" w:hAnsi="Times New Roman"/>
                <w:sz w:val="20"/>
              </w:rPr>
              <w:t xml:space="preserve">Principal Financial Officer </w:t>
            </w:r>
            <w:bookmarkStart w:id="308" w:name="TAB12"/>
            <w:bookmarkEnd w:id="308"/>
          </w:p>
        </w:tc>
      </w:tr>
    </w:tbl>
    <w:p>
      <w:pPr>
        <w:pStyle w:val="TextBody"/>
        <w:rPr/>
      </w:pPr>
      <w:r>
        <w:rPr/>
        <w:t> </w:t>
      </w:r>
      <w:r>
        <w:br w:type="page"/>
      </w:r>
    </w:p>
    <w:p>
      <w:pPr>
        <w:pStyle w:val="TextBody"/>
        <w:spacing w:before="0" w:after="0"/>
        <w:ind w:left="0" w:right="0" w:hanging="0"/>
        <w:jc w:val="right"/>
        <w:rPr>
          <w:rFonts w:ascii="Times New Roman" w:hAnsi="Times New Roman"/>
          <w:b/>
          <w:sz w:val="20"/>
        </w:rPr>
      </w:pPr>
      <w:bookmarkStart w:id="309" w:name="ex32.htm"/>
      <w:bookmarkStart w:id="310" w:name="ksex32"/>
      <w:bookmarkEnd w:id="309"/>
      <w:bookmarkEnd w:id="310"/>
      <w:r>
        <w:rPr>
          <w:rFonts w:ascii="Times New Roman" w:hAnsi="Times New Roman"/>
          <w:b/>
          <w:sz w:val="20"/>
        </w:rPr>
        <w:t>EXHIBIT 32</w:t>
      </w:r>
    </w:p>
    <w:p>
      <w:pPr>
        <w:pStyle w:val="TextBody"/>
        <w:spacing w:before="0" w:after="0"/>
        <w:ind w:left="0" w:right="0" w:hanging="0"/>
        <w:jc w:val="right"/>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Quarterly Report on Form 10-Q of VistaGen Therapeutics, Inc. (the “</w:t>
      </w:r>
      <w:r>
        <w:rPr>
          <w:rFonts w:ascii="Times New Roman" w:hAnsi="Times New Roman"/>
          <w:i/>
          <w:sz w:val="20"/>
        </w:rPr>
        <w:t>Company</w:t>
      </w:r>
      <w:r>
        <w:rPr>
          <w:rFonts w:ascii="Times New Roman" w:hAnsi="Times New Roman"/>
          <w:sz w:val="20"/>
        </w:rPr>
        <w:t>”) for the quarter ended June 30, 2013 as filed with the Securities and Exchange Commission on the date hereof (the “</w:t>
      </w:r>
      <w:r>
        <w:rPr>
          <w:rFonts w:ascii="Times New Roman" w:hAnsi="Times New Roman"/>
          <w:i/>
          <w:sz w:val="20"/>
        </w:rPr>
        <w:t>Report</w:t>
      </w:r>
      <w:r>
        <w:rPr>
          <w:rFonts w:ascii="Times New Roman" w:hAnsi="Times New Roman"/>
          <w:sz w:val="20"/>
        </w:rPr>
        <w:t>”), Shawn K. Singh, JD, the Company’s Principal Executive Officer, and Jerrold D. Dotson, the Company’s Principal Financial Officer, certify, pursuant to 18 U.S.C. §1350, as adopted pursuant to §906 of the Sarbanes-Oxley Act of 2002, that to the best of their knowledge:</w:t>
      </w:r>
    </w:p>
    <w:p>
      <w:pPr>
        <w:pStyle w:val="TextBody"/>
        <w:spacing w:before="0" w:after="0"/>
        <w:ind w:left="0" w:right="0" w:hanging="0"/>
        <w:rPr/>
      </w:pPr>
      <w:r>
        <w:rPr/>
      </w:r>
    </w:p>
    <w:p>
      <w:pPr>
        <w:pStyle w:val="Normal"/>
        <w:spacing w:before="0" w:after="0"/>
        <w:rPr>
          <w:sz w:val="4"/>
          <w:szCs w:val="4"/>
        </w:rPr>
      </w:pPr>
      <w:r>
        <w:rPr>
          <w:sz w:val="4"/>
          <w:szCs w:val="4"/>
        </w:rPr>
      </w:r>
      <w:bookmarkStart w:id="311" w:name="list"/>
      <w:bookmarkStart w:id="312" w:name="list"/>
      <w:bookmarkEnd w:id="312"/>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 of Section 13(a) or Section 15 (d)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13" w:name="list1"/>
      <w:bookmarkStart w:id="314" w:name="list1"/>
      <w:bookmarkEnd w:id="314"/>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August 14, 2013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Shawn K. Singh</w:t>
      </w:r>
    </w:p>
    <w:p>
      <w:pPr>
        <w:pStyle w:val="TextBody"/>
        <w:spacing w:before="0" w:after="0"/>
        <w:ind w:left="0" w:right="0" w:hanging="0"/>
        <w:jc w:val="left"/>
        <w:rPr>
          <w:rFonts w:ascii="Times New Roman" w:hAnsi="Times New Roman"/>
          <w:sz w:val="20"/>
        </w:rPr>
      </w:pPr>
      <w:r>
        <w:rPr>
          <w:rFonts w:ascii="Times New Roman" w:hAnsi="Times New Roman"/>
          <w:sz w:val="20"/>
        </w:rPr>
        <w:t>Shawn K. Singh, JD</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Jerrold D. Dotson</w:t>
      </w:r>
    </w:p>
    <w:p>
      <w:pPr>
        <w:pStyle w:val="TextBody"/>
        <w:spacing w:before="0" w:after="283"/>
        <w:ind w:left="0" w:right="0" w:hanging="0"/>
        <w:jc w:val="left"/>
        <w:rPr>
          <w:rFonts w:ascii="Times New Roman" w:hAnsi="Times New Roman"/>
          <w:sz w:val="20"/>
        </w:rPr>
      </w:pPr>
      <w:r>
        <w:rPr>
          <w:rFonts w:ascii="Times New Roman" w:hAnsi="Times New Roman"/>
          <w:sz w:val="20"/>
        </w:rPr>
        <w:t>Principal Financial Officer</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19519</Words>
  <CharactersWithSpaces>126872</CharactersWithSpaces>
  <Paragraphs>4835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