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excb_10k.htm"/>
      <w:bookmarkStart w:id="1" w:name="ksexcb_10k"/>
      <w:bookmarkStart w:id="2" w:name="excb_10k.htm"/>
      <w:bookmarkStart w:id="3" w:name="ksexcb_10k"/>
      <w:bookmarkEnd w:id="2"/>
      <w:bookmarkEnd w:id="3"/>
    </w:p>
    <w:p>
      <w:pPr>
        <w:pStyle w:val="TextBody"/>
        <w:spacing w:before="0" w:after="0"/>
        <w:ind w:left="0" w:right="0" w:hanging="0"/>
        <w:jc w:val="center"/>
        <w:rPr>
          <w:rFonts w:ascii="Times New Roman" w:hAnsi="Times New Roman"/>
          <w:sz w:val="20"/>
        </w:rPr>
      </w:pPr>
      <w:r>
        <w:rPr>
          <w:rFonts w:ascii="Times New Roman" w:hAnsi="Times New Roman"/>
          <w:sz w:val="20"/>
        </w:rPr>
        <w:t>UNITED STATES</w:t>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10-K</w:t>
      </w:r>
    </w:p>
    <w:p>
      <w:pPr>
        <w:pStyle w:val="TextBody"/>
        <w:spacing w:before="0" w:after="0"/>
        <w:ind w:left="0" w:right="0" w:hanging="0"/>
        <w:jc w:val="left"/>
        <w:rPr/>
      </w:pPr>
      <w:r>
        <w:rPr/>
        <w:t> </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993"/>
        <w:gridCol w:w="2942"/>
        <w:gridCol w:w="4229"/>
      </w:tblGrid>
      <w:tr>
        <w:trPr/>
        <w:tc>
          <w:tcPr>
            <w:tcW w:w="8164" w:type="dxa"/>
            <w:gridSpan w:val="3"/>
            <w:tcBorders/>
            <w:shd w:fill="auto" w:val="clear"/>
          </w:tcPr>
          <w:p>
            <w:pPr>
              <w:pStyle w:val="TableContents"/>
              <w:spacing w:before="0" w:after="283"/>
              <w:jc w:val="left"/>
              <w:rPr/>
            </w:pPr>
            <w:r>
              <w:rPr/>
              <w:t> </w:t>
            </w:r>
            <w:r>
              <w:rPr>
                <w:rFonts w:ascii="times new roman" w:hAnsi="times new roman"/>
                <w:b/>
                <w:sz w:val="20"/>
              </w:rPr>
              <w:t>(Mark One)</w:t>
            </w:r>
          </w:p>
        </w:tc>
      </w:tr>
      <w:tr>
        <w:trPr/>
        <w:tc>
          <w:tcPr>
            <w:tcW w:w="993" w:type="dxa"/>
            <w:tcBorders/>
            <w:shd w:fill="auto" w:val="clear"/>
          </w:tcPr>
          <w:p>
            <w:pPr>
              <w:pStyle w:val="TableContents"/>
              <w:spacing w:before="0" w:after="283"/>
              <w:jc w:val="left"/>
              <w:rPr/>
            </w:pPr>
            <w:r>
              <w:rPr/>
              <w:t> </w:t>
            </w:r>
          </w:p>
        </w:tc>
        <w:tc>
          <w:tcPr>
            <w:tcW w:w="7171" w:type="dxa"/>
            <w:gridSpan w:val="2"/>
            <w:tcBorders/>
            <w:shd w:fill="auto" w:val="clear"/>
          </w:tcPr>
          <w:p>
            <w:pPr>
              <w:pStyle w:val="TableContents"/>
              <w:spacing w:before="0" w:after="283"/>
              <w:jc w:val="left"/>
              <w:rPr/>
            </w:pPr>
            <w:r>
              <w:rPr/>
              <w:t> </w:t>
            </w:r>
          </w:p>
        </w:tc>
      </w:tr>
      <w:tr>
        <w:trPr/>
        <w:tc>
          <w:tcPr>
            <w:tcW w:w="99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[X]</w:t>
            </w:r>
          </w:p>
        </w:tc>
        <w:tc>
          <w:tcPr>
            <w:tcW w:w="717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Annual Report Pursuant to Section 13 or 15(d) of the Securities Exchange Act of 1934</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 the Fiscal Year Ended </w:t>
            </w:r>
            <w:r>
              <w:rPr>
                <w:rFonts w:ascii="times new roman" w:hAnsi="times new roman"/>
                <w:sz w:val="20"/>
                <w:u w:val="single"/>
              </w:rPr>
              <w:t>December 31, 2009</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   ]</w:t>
            </w:r>
          </w:p>
        </w:tc>
        <w:tc>
          <w:tcPr>
            <w:tcW w:w="717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 the Transition Period from __________ to _________</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333-145977</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center"/>
              <w:rPr>
                <w:rFonts w:ascii="times new roman" w:hAnsi="times new roman"/>
                <w:b/>
                <w:sz w:val="24"/>
                <w:u w:val="single"/>
              </w:rPr>
            </w:pPr>
            <w:r>
              <w:rPr>
                <w:rFonts w:ascii="times new roman" w:hAnsi="times new roman"/>
                <w:b/>
                <w:sz w:val="24"/>
                <w:u w:val="single"/>
              </w:rPr>
              <w:t>EXCALIBER ENTERPRISES, LTD.</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small business issuer in its charter)</w:t>
            </w:r>
          </w:p>
        </w:tc>
      </w:tr>
      <w:tr>
        <w:trPr/>
        <w:tc>
          <w:tcPr>
            <w:tcW w:w="8164" w:type="dxa"/>
            <w:gridSpan w:val="3"/>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4229"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20-5093315</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13834 W. Hoyt Road</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Rathdrum, Idaho</w:t>
            </w:r>
          </w:p>
        </w:tc>
        <w:tc>
          <w:tcPr>
            <w:tcW w:w="422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83858</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Issuer’s telephone number: (208) 640-9633</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tc>
      </w:tr>
      <w:tr>
        <w:trPr/>
        <w:tc>
          <w:tcPr>
            <w:tcW w:w="8164" w:type="dxa"/>
            <w:gridSpan w:val="3"/>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c>
          <w:tcPr>
            <w:tcW w:w="4229"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Securities Registered Pursuant to Section 12(g) of the Act:</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283"/>
              <w:jc w:val="center"/>
              <w:rPr/>
            </w:pPr>
            <w:r>
              <w:rPr/>
              <w:t xml:space="preserve">  </w:t>
            </w:r>
            <w:r>
              <w:rPr>
                <w:rFonts w:ascii="times new roman" w:hAnsi="times new roman"/>
                <w:sz w:val="20"/>
              </w:rPr>
              <w:t>______</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the registrant is a well-known seasoned issuer, as defined in Rule 405 of the Securities Act. Yes [   ]   No [X]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[X]   No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919"/>
        <w:gridCol w:w="4245"/>
      </w:tblGrid>
      <w:tr>
        <w:trPr/>
        <w:tc>
          <w:tcPr>
            <w:tcW w:w="3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Large accelerated filer  [   ]</w:t>
            </w:r>
          </w:p>
        </w:tc>
        <w:tc>
          <w:tcPr>
            <w:tcW w:w="42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                   [   ]</w:t>
            </w:r>
          </w:p>
        </w:tc>
      </w:tr>
      <w:tr>
        <w:trPr/>
        <w:tc>
          <w:tcPr>
            <w:tcW w:w="3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Non-accelerated filer    [   ] </w:t>
            </w:r>
          </w:p>
          <w:p>
            <w:pPr>
              <w:pStyle w:val="TableContents"/>
              <w:spacing w:before="0" w:after="0"/>
              <w:ind w:left="0" w:right="0" w:hanging="0"/>
              <w:jc w:val="both"/>
              <w:rPr>
                <w:rFonts w:ascii="times new roman" w:hAnsi="times new roman"/>
                <w:sz w:val="20"/>
              </w:rPr>
            </w:pPr>
            <w:r>
              <w:rPr>
                <w:rFonts w:ascii="times new roman" w:hAnsi="times new roman"/>
                <w:sz w:val="20"/>
              </w:rPr>
              <w:t>(Do not check if a smaller reporting company)</w:t>
            </w:r>
          </w:p>
        </w:tc>
        <w:tc>
          <w:tcPr>
            <w:tcW w:w="42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Smaller reporting company  [X]</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[X]   No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aggregate market value of the voting and non-voting common equity held by non-affiliates computed by reference to the most recent price at which the common equity was sold: </w:t>
      </w:r>
      <w:r>
        <w:rPr>
          <w:rFonts w:ascii="Times New Roman" w:hAnsi="Times New Roman"/>
          <w:sz w:val="20"/>
          <w:u w:val="single"/>
        </w:rPr>
        <w:t>$37,435 as of March 17,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number of shares outstanding of each of the issuer's classes of common equity, as of </w:t>
      </w:r>
      <w:r>
        <w:rPr>
          <w:rFonts w:ascii="Times New Roman" w:hAnsi="Times New Roman"/>
          <w:sz w:val="20"/>
          <w:u w:val="single"/>
        </w:rPr>
        <w:t>March 17, 2010</w:t>
      </w:r>
      <w:r>
        <w:rPr>
          <w:rFonts w:ascii="Times New Roman" w:hAnsi="Times New Roman"/>
          <w:sz w:val="20"/>
        </w:rPr>
        <w:t xml:space="preserve"> was </w:t>
      </w:r>
      <w:r>
        <w:rPr>
          <w:rFonts w:ascii="Times New Roman" w:hAnsi="Times New Roman"/>
          <w:sz w:val="20"/>
          <w:u w:val="single"/>
        </w:rPr>
        <w:t>5,848,707.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DOCUMENTS INCORPORATED BY REFERENCE</w:t>
      </w:r>
    </w:p>
    <w:p>
      <w:pPr>
        <w:pStyle w:val="TextBody"/>
        <w:spacing w:before="0" w:after="0"/>
        <w:ind w:left="0" w:right="0" w:hanging="0"/>
        <w:jc w:val="left"/>
        <w:rPr/>
      </w:pPr>
      <w:r>
        <w:rPr/>
        <w:t> </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If the following documents are incorporated by reference, briefly describe them and identify the part of the Form 10-KSB (e.g., Part I, Part II, etc.) into which the document is incorporated: (1) any annual report to security holders; (2) any proxy or information statement; and (3) any prospectus filed pursuant to Rule 424(b) or (c) of the Securities Act of 1933 ("Securities Act").  The listed documents should be clearly described for identification purposes (e.g., annual report to security holders for fiscal year ended December 24, 1990).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Transitional Small Business Disclosure Format (Check one): Yes [   ] No [X]</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p>
    <w:p>
      <w:pPr>
        <w:pStyle w:val="TextBody"/>
        <w:spacing w:before="0" w:after="0"/>
        <w:ind w:left="0" w:right="0" w:hanging="0"/>
        <w:jc w:val="center"/>
        <w:rPr>
          <w:rFonts w:ascii="Times New Roman" w:hAnsi="Times New Roman"/>
          <w:sz w:val="20"/>
        </w:rPr>
      </w:pPr>
      <w:r>
        <w:rPr>
          <w:rFonts w:ascii="Times New Roman" w:hAnsi="Times New Roman"/>
          <w:sz w:val="20"/>
        </w:rPr>
        <w:t>For the year ended December 31, 2009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766"/>
        <w:gridCol w:w="398"/>
      </w:tblGrid>
      <w:tr>
        <w:trPr/>
        <w:tc>
          <w:tcPr>
            <w:tcW w:w="7766" w:type="dxa"/>
            <w:tcBorders/>
            <w:shd w:fill="CBDBD1" w:val="clear"/>
          </w:tcPr>
          <w:p>
            <w:pPr>
              <w:pStyle w:val="TableContents"/>
              <w:spacing w:before="0" w:after="0"/>
              <w:ind w:left="0" w:right="0" w:hanging="0"/>
              <w:jc w:val="left"/>
              <w:rPr/>
            </w:pPr>
            <w:hyperlink w:anchor="p1">
              <w:r>
                <w:rPr>
                  <w:rStyle w:val="InternetLink"/>
                  <w:rFonts w:ascii="times new roman" w:hAnsi="times new roman"/>
                  <w:sz w:val="20"/>
                </w:rPr>
                <w:t>PART I</w:t>
              </w:r>
            </w:hyperlink>
          </w:p>
        </w:tc>
        <w:tc>
          <w:tcPr>
            <w:tcW w:w="398" w:type="dxa"/>
            <w:tcBorders/>
            <w:shd w:fill="CBDBD1" w:val="clear"/>
          </w:tcPr>
          <w:p>
            <w:pPr>
              <w:pStyle w:val="TableContents"/>
              <w:spacing w:before="0" w:after="0"/>
              <w:ind w:left="0" w:right="0" w:hanging="0"/>
              <w:jc w:val="right"/>
              <w:rPr/>
            </w:pPr>
            <w:hyperlink w:anchor="p1">
              <w:r>
                <w:rPr>
                  <w:rStyle w:val="InternetLink"/>
                  <w:rFonts w:ascii="times new roman" w:hAnsi="times new roman"/>
                  <w:sz w:val="20"/>
                </w:rPr>
                <w:t>4</w:t>
              </w:r>
            </w:hyperlink>
          </w:p>
        </w:tc>
      </w:tr>
      <w:tr>
        <w:trPr/>
        <w:tc>
          <w:tcPr>
            <w:tcW w:w="7766" w:type="dxa"/>
            <w:tcBorders/>
            <w:shd w:fill="FFFFFF" w:val="clear"/>
          </w:tcPr>
          <w:p>
            <w:pPr>
              <w:pStyle w:val="TableContents"/>
              <w:spacing w:before="0" w:after="0"/>
              <w:ind w:left="0" w:right="0" w:hanging="0"/>
              <w:jc w:val="left"/>
              <w:rPr/>
            </w:pPr>
            <w:r>
              <w:rPr/>
              <w:t>     </w:t>
            </w:r>
            <w:hyperlink w:anchor="descbusn">
              <w:r>
                <w:rPr>
                  <w:rStyle w:val="InternetLink"/>
                  <w:rFonts w:ascii="times new roman" w:hAnsi="times new roman"/>
                  <w:sz w:val="20"/>
                </w:rPr>
                <w:t>DESCRIPTION OF BUSINESS</w:t>
              </w:r>
            </w:hyperlink>
          </w:p>
        </w:tc>
        <w:tc>
          <w:tcPr>
            <w:tcW w:w="398" w:type="dxa"/>
            <w:tcBorders/>
            <w:shd w:fill="FFFFFF" w:val="clear"/>
          </w:tcPr>
          <w:p>
            <w:pPr>
              <w:pStyle w:val="TableContents"/>
              <w:spacing w:before="0" w:after="0"/>
              <w:ind w:left="0" w:right="0" w:hanging="0"/>
              <w:jc w:val="right"/>
              <w:rPr/>
            </w:pPr>
            <w:hyperlink w:anchor="descbusn">
              <w:r>
                <w:rPr>
                  <w:rStyle w:val="InternetLink"/>
                  <w:rFonts w:ascii="times new roman" w:hAnsi="times new roman"/>
                  <w:sz w:val="20"/>
                </w:rPr>
                <w:t>4</w:t>
              </w:r>
            </w:hyperlink>
          </w:p>
        </w:tc>
      </w:tr>
      <w:tr>
        <w:trPr/>
        <w:tc>
          <w:tcPr>
            <w:tcW w:w="7766" w:type="dxa"/>
            <w:tcBorders/>
            <w:shd w:fill="CBDBD1" w:val="clear"/>
          </w:tcPr>
          <w:p>
            <w:pPr>
              <w:pStyle w:val="TableContents"/>
              <w:spacing w:before="0" w:after="0"/>
              <w:ind w:left="0" w:right="0" w:hanging="0"/>
              <w:jc w:val="left"/>
              <w:rPr/>
            </w:pPr>
            <w:r>
              <w:rPr/>
              <w:t>     </w:t>
            </w:r>
            <w:hyperlink w:anchor="risks">
              <w:r>
                <w:rPr>
                  <w:rStyle w:val="InternetLink"/>
                  <w:rFonts w:ascii="times new roman" w:hAnsi="times new roman"/>
                  <w:sz w:val="20"/>
                </w:rPr>
                <w:t>RISK FACTORS</w:t>
              </w:r>
            </w:hyperlink>
          </w:p>
        </w:tc>
        <w:tc>
          <w:tcPr>
            <w:tcW w:w="398" w:type="dxa"/>
            <w:tcBorders/>
            <w:shd w:fill="CBDBD1" w:val="clear"/>
          </w:tcPr>
          <w:p>
            <w:pPr>
              <w:pStyle w:val="TableContents"/>
              <w:spacing w:before="0" w:after="0"/>
              <w:ind w:left="0" w:right="0" w:hanging="0"/>
              <w:jc w:val="right"/>
              <w:rPr/>
            </w:pPr>
            <w:hyperlink w:anchor="risks">
              <w:r>
                <w:rPr>
                  <w:rStyle w:val="InternetLink"/>
                  <w:rFonts w:ascii="times new roman" w:hAnsi="times new roman"/>
                  <w:sz w:val="20"/>
                </w:rPr>
                <w:t>6</w:t>
              </w:r>
            </w:hyperlink>
          </w:p>
        </w:tc>
      </w:tr>
      <w:tr>
        <w:trPr/>
        <w:tc>
          <w:tcPr>
            <w:tcW w:w="7766" w:type="dxa"/>
            <w:tcBorders/>
            <w:shd w:fill="FFFFFF" w:val="clear"/>
          </w:tcPr>
          <w:p>
            <w:pPr>
              <w:pStyle w:val="TableContents"/>
              <w:spacing w:before="0" w:after="0"/>
              <w:ind w:left="0" w:right="0" w:hanging="0"/>
              <w:jc w:val="left"/>
              <w:rPr/>
            </w:pPr>
            <w:r>
              <w:rPr/>
              <w:t>     </w:t>
            </w:r>
            <w:hyperlink w:anchor="unresstaff">
              <w:r>
                <w:rPr>
                  <w:rStyle w:val="InternetLink"/>
                  <w:rFonts w:ascii="times new roman" w:hAnsi="times new roman"/>
                  <w:sz w:val="20"/>
                </w:rPr>
                <w:t>UNRESOLVED STAFF COMMENTS</w:t>
              </w:r>
            </w:hyperlink>
          </w:p>
        </w:tc>
        <w:tc>
          <w:tcPr>
            <w:tcW w:w="398" w:type="dxa"/>
            <w:tcBorders/>
            <w:shd w:fill="FFFFFF" w:val="clear"/>
          </w:tcPr>
          <w:p>
            <w:pPr>
              <w:pStyle w:val="TableContents"/>
              <w:spacing w:before="0" w:after="0"/>
              <w:ind w:left="0" w:right="0" w:hanging="0"/>
              <w:jc w:val="right"/>
              <w:rPr/>
            </w:pPr>
            <w:hyperlink w:anchor="unresstaff">
              <w:r>
                <w:rPr>
                  <w:rStyle w:val="InternetLink"/>
                  <w:rFonts w:ascii="times new roman" w:hAnsi="times new roman"/>
                  <w:sz w:val="20"/>
                </w:rPr>
                <w:t>9</w:t>
              </w:r>
            </w:hyperlink>
          </w:p>
        </w:tc>
      </w:tr>
      <w:tr>
        <w:trPr/>
        <w:tc>
          <w:tcPr>
            <w:tcW w:w="7766" w:type="dxa"/>
            <w:tcBorders/>
            <w:shd w:fill="CBDBD1" w:val="clear"/>
          </w:tcPr>
          <w:p>
            <w:pPr>
              <w:pStyle w:val="TableContents"/>
              <w:spacing w:before="0" w:after="0"/>
              <w:ind w:left="0" w:right="0" w:hanging="0"/>
              <w:jc w:val="left"/>
              <w:rPr/>
            </w:pPr>
            <w:r>
              <w:rPr/>
              <w:t>     </w:t>
            </w:r>
            <w:hyperlink w:anchor="prop">
              <w:r>
                <w:rPr>
                  <w:rStyle w:val="InternetLink"/>
                  <w:rFonts w:ascii="times new roman" w:hAnsi="times new roman"/>
                  <w:sz w:val="20"/>
                </w:rPr>
                <w:t>PROPERTIES</w:t>
              </w:r>
            </w:hyperlink>
          </w:p>
        </w:tc>
        <w:tc>
          <w:tcPr>
            <w:tcW w:w="398" w:type="dxa"/>
            <w:tcBorders/>
            <w:shd w:fill="CBDBD1" w:val="clear"/>
          </w:tcPr>
          <w:p>
            <w:pPr>
              <w:pStyle w:val="TableContents"/>
              <w:spacing w:before="0" w:after="0"/>
              <w:ind w:left="0" w:right="0" w:hanging="0"/>
              <w:jc w:val="right"/>
              <w:rPr/>
            </w:pPr>
            <w:hyperlink w:anchor="prop">
              <w:r>
                <w:rPr>
                  <w:rStyle w:val="InternetLink"/>
                  <w:rFonts w:ascii="times new roman" w:hAnsi="times new roman"/>
                  <w:sz w:val="20"/>
                </w:rPr>
                <w:t>9</w:t>
              </w:r>
            </w:hyperlink>
          </w:p>
        </w:tc>
      </w:tr>
      <w:tr>
        <w:trPr/>
        <w:tc>
          <w:tcPr>
            <w:tcW w:w="7766" w:type="dxa"/>
            <w:tcBorders/>
            <w:shd w:fill="FFFFFF" w:val="clear"/>
          </w:tcPr>
          <w:p>
            <w:pPr>
              <w:pStyle w:val="TableContents"/>
              <w:spacing w:before="0" w:after="0"/>
              <w:ind w:left="0" w:right="0" w:hanging="0"/>
              <w:jc w:val="left"/>
              <w:rPr/>
            </w:pPr>
            <w:r>
              <w:rPr/>
              <w:t>     </w:t>
            </w:r>
            <w:hyperlink w:anchor="legalproc">
              <w:r>
                <w:rPr>
                  <w:rStyle w:val="InternetLink"/>
                  <w:rFonts w:ascii="times new roman" w:hAnsi="times new roman"/>
                  <w:sz w:val="20"/>
                </w:rPr>
                <w:t>LEGAL PROCEEDINGS</w:t>
              </w:r>
            </w:hyperlink>
          </w:p>
        </w:tc>
        <w:tc>
          <w:tcPr>
            <w:tcW w:w="398" w:type="dxa"/>
            <w:tcBorders/>
            <w:shd w:fill="FFFFFF" w:val="clear"/>
          </w:tcPr>
          <w:p>
            <w:pPr>
              <w:pStyle w:val="TableContents"/>
              <w:spacing w:before="0" w:after="0"/>
              <w:ind w:left="0" w:right="0" w:hanging="0"/>
              <w:jc w:val="right"/>
              <w:rPr/>
            </w:pPr>
            <w:hyperlink w:anchor="legalproc">
              <w:r>
                <w:rPr>
                  <w:rStyle w:val="InternetLink"/>
                  <w:rFonts w:ascii="times new roman" w:hAnsi="times new roman"/>
                  <w:sz w:val="20"/>
                </w:rPr>
                <w:t>9</w:t>
              </w:r>
            </w:hyperlink>
          </w:p>
        </w:tc>
      </w:tr>
      <w:tr>
        <w:trPr/>
        <w:tc>
          <w:tcPr>
            <w:tcW w:w="7766" w:type="dxa"/>
            <w:tcBorders/>
            <w:shd w:fill="CBDBD1" w:val="clear"/>
          </w:tcPr>
          <w:p>
            <w:pPr>
              <w:pStyle w:val="TableContents"/>
              <w:spacing w:before="0" w:after="0"/>
              <w:ind w:left="0" w:right="0" w:hanging="0"/>
              <w:jc w:val="left"/>
              <w:rPr/>
            </w:pPr>
            <w:r>
              <w:rPr/>
              <w:t>     </w:t>
            </w:r>
            <w:hyperlink w:anchor="subm">
              <w:r>
                <w:rPr>
                  <w:rStyle w:val="InternetLink"/>
                  <w:rFonts w:ascii="times new roman" w:hAnsi="times new roman"/>
                  <w:sz w:val="20"/>
                </w:rPr>
                <w:t>SUBMISSION OF MATTERS TO A VOTE OF SECURITY HOLDERS</w:t>
              </w:r>
            </w:hyperlink>
          </w:p>
        </w:tc>
        <w:tc>
          <w:tcPr>
            <w:tcW w:w="398" w:type="dxa"/>
            <w:tcBorders/>
            <w:shd w:fill="CBDBD1" w:val="clear"/>
          </w:tcPr>
          <w:p>
            <w:pPr>
              <w:pStyle w:val="TableContents"/>
              <w:spacing w:before="0" w:after="0"/>
              <w:ind w:left="0" w:right="0" w:hanging="0"/>
              <w:jc w:val="right"/>
              <w:rPr/>
            </w:pPr>
            <w:hyperlink w:anchor="subm">
              <w:r>
                <w:rPr>
                  <w:rStyle w:val="InternetLink"/>
                  <w:rFonts w:ascii="times new roman" w:hAnsi="times new roman"/>
                  <w:sz w:val="20"/>
                </w:rPr>
                <w:t>10</w:t>
              </w:r>
            </w:hyperlink>
          </w:p>
        </w:tc>
      </w:tr>
      <w:tr>
        <w:trPr/>
        <w:tc>
          <w:tcPr>
            <w:tcW w:w="7766" w:type="dxa"/>
            <w:tcBorders/>
            <w:shd w:fill="FFFFFF" w:val="clear"/>
          </w:tcPr>
          <w:p>
            <w:pPr>
              <w:pStyle w:val="TableContents"/>
              <w:spacing w:before="0" w:after="0"/>
              <w:ind w:left="0" w:right="0" w:hanging="0"/>
              <w:jc w:val="left"/>
              <w:rPr/>
            </w:pPr>
            <w:hyperlink w:anchor="p2">
              <w:r>
                <w:rPr>
                  <w:rStyle w:val="InternetLink"/>
                  <w:rFonts w:ascii="times new roman" w:hAnsi="times new roman"/>
                  <w:sz w:val="20"/>
                </w:rPr>
                <w:t>PART II</w:t>
              </w:r>
            </w:hyperlink>
          </w:p>
        </w:tc>
        <w:tc>
          <w:tcPr>
            <w:tcW w:w="398" w:type="dxa"/>
            <w:tcBorders/>
            <w:shd w:fill="FFFFFF" w:val="clear"/>
          </w:tcPr>
          <w:p>
            <w:pPr>
              <w:pStyle w:val="TableContents"/>
              <w:spacing w:before="0" w:after="0"/>
              <w:ind w:left="0" w:right="0" w:hanging="0"/>
              <w:jc w:val="right"/>
              <w:rPr/>
            </w:pPr>
            <w:hyperlink w:anchor="p2">
              <w:r>
                <w:rPr>
                  <w:rStyle w:val="InternetLink"/>
                  <w:rFonts w:ascii="times new roman" w:hAnsi="times new roman"/>
                  <w:sz w:val="20"/>
                </w:rPr>
                <w:t>11</w:t>
              </w:r>
            </w:hyperlink>
          </w:p>
        </w:tc>
      </w:tr>
      <w:tr>
        <w:trPr/>
        <w:tc>
          <w:tcPr>
            <w:tcW w:w="7766" w:type="dxa"/>
            <w:tcBorders/>
            <w:shd w:fill="CBDBD1" w:val="clear"/>
          </w:tcPr>
          <w:p>
            <w:pPr>
              <w:pStyle w:val="TableContents"/>
              <w:spacing w:before="0" w:after="0"/>
              <w:ind w:left="0" w:right="0" w:hanging="0"/>
              <w:jc w:val="left"/>
              <w:rPr/>
            </w:pPr>
            <w:r>
              <w:rPr/>
              <w:t>     </w:t>
            </w:r>
            <w:hyperlink w:anchor="marketfor">
              <w:r>
                <w:rPr>
                  <w:rStyle w:val="InternetLink"/>
                  <w:rFonts w:ascii="times new roman" w:hAnsi="times new roman"/>
                  <w:sz w:val="20"/>
                </w:rPr>
                <w:t>MARKET FOR REGISTRANT’S COMMON EQUITY AND RELATED STOCKHOLDER MATTERS MARKET INFORMATION FOR COMMON STOCK</w:t>
              </w:r>
            </w:hyperlink>
          </w:p>
        </w:tc>
        <w:tc>
          <w:tcPr>
            <w:tcW w:w="398" w:type="dxa"/>
            <w:tcBorders/>
            <w:shd w:fill="CBDBD1" w:val="clear"/>
          </w:tcPr>
          <w:p>
            <w:pPr>
              <w:pStyle w:val="TableContents"/>
              <w:spacing w:before="0" w:after="0"/>
              <w:ind w:left="0" w:right="0" w:hanging="0"/>
              <w:jc w:val="right"/>
              <w:rPr/>
            </w:pPr>
            <w:hyperlink w:anchor="marketfor">
              <w:r>
                <w:rPr>
                  <w:rStyle w:val="InternetLink"/>
                  <w:rFonts w:ascii="times new roman" w:hAnsi="times new roman"/>
                  <w:sz w:val="20"/>
                </w:rPr>
                <w:t>11</w:t>
              </w:r>
            </w:hyperlink>
          </w:p>
        </w:tc>
      </w:tr>
      <w:tr>
        <w:trPr/>
        <w:tc>
          <w:tcPr>
            <w:tcW w:w="7766" w:type="dxa"/>
            <w:tcBorders/>
            <w:shd w:fill="FFFFFF" w:val="clear"/>
          </w:tcPr>
          <w:p>
            <w:pPr>
              <w:pStyle w:val="TableContents"/>
              <w:spacing w:before="0" w:after="0"/>
              <w:ind w:left="0" w:right="0" w:hanging="0"/>
              <w:jc w:val="left"/>
              <w:rPr/>
            </w:pPr>
            <w:r>
              <w:rPr/>
              <w:t>     </w:t>
            </w:r>
            <w:hyperlink w:anchor="mdna">
              <w:r>
                <w:rPr>
                  <w:rStyle w:val="InternetLink"/>
                  <w:rFonts w:ascii="times new roman" w:hAnsi="times new roman"/>
                  <w:sz w:val="20"/>
                </w:rPr>
                <w:t>MANAGEMENT’S DISCUSSION AND PLAN OF OPERATIONS</w:t>
              </w:r>
            </w:hyperlink>
          </w:p>
        </w:tc>
        <w:tc>
          <w:tcPr>
            <w:tcW w:w="398" w:type="dxa"/>
            <w:tcBorders/>
            <w:shd w:fill="FFFFFF" w:val="clear"/>
          </w:tcPr>
          <w:p>
            <w:pPr>
              <w:pStyle w:val="TableContents"/>
              <w:spacing w:before="0" w:after="0"/>
              <w:ind w:left="0" w:right="0" w:hanging="0"/>
              <w:jc w:val="right"/>
              <w:rPr/>
            </w:pPr>
            <w:hyperlink w:anchor="mdna">
              <w:r>
                <w:rPr>
                  <w:rStyle w:val="InternetLink"/>
                  <w:rFonts w:ascii="times new roman" w:hAnsi="times new roman"/>
                  <w:sz w:val="20"/>
                </w:rPr>
                <w:t>11</w:t>
              </w:r>
            </w:hyperlink>
          </w:p>
        </w:tc>
      </w:tr>
      <w:tr>
        <w:trPr/>
        <w:tc>
          <w:tcPr>
            <w:tcW w:w="7766" w:type="dxa"/>
            <w:tcBorders/>
            <w:shd w:fill="CBDBD1" w:val="clear"/>
          </w:tcPr>
          <w:p>
            <w:pPr>
              <w:pStyle w:val="TableContents"/>
              <w:spacing w:before="0" w:after="0"/>
              <w:ind w:left="0" w:right="0" w:hanging="0"/>
              <w:jc w:val="left"/>
              <w:rPr/>
            </w:pPr>
            <w:r>
              <w:rPr/>
              <w:t>     </w:t>
            </w:r>
            <w:hyperlink w:anchor="financials">
              <w:r>
                <w:rPr>
                  <w:rStyle w:val="InternetLink"/>
                  <w:rFonts w:ascii="times new roman" w:hAnsi="times new roman"/>
                  <w:sz w:val="20"/>
                </w:rPr>
                <w:t>FINANCIAL STATEMENTS AND SUPPLEMENTARY DATA</w:t>
              </w:r>
            </w:hyperlink>
          </w:p>
        </w:tc>
        <w:tc>
          <w:tcPr>
            <w:tcW w:w="398" w:type="dxa"/>
            <w:tcBorders/>
            <w:shd w:fill="CBDBD1" w:val="clear"/>
          </w:tcPr>
          <w:p>
            <w:pPr>
              <w:pStyle w:val="TableContents"/>
              <w:spacing w:before="0" w:after="0"/>
              <w:ind w:left="0" w:right="0" w:hanging="0"/>
              <w:jc w:val="right"/>
              <w:rPr/>
            </w:pPr>
            <w:hyperlink w:anchor="financials">
              <w:r>
                <w:rPr>
                  <w:rStyle w:val="InternetLink"/>
                  <w:rFonts w:ascii="times new roman" w:hAnsi="times new roman"/>
                  <w:sz w:val="20"/>
                </w:rPr>
                <w:t>13</w:t>
              </w:r>
            </w:hyperlink>
          </w:p>
        </w:tc>
      </w:tr>
      <w:tr>
        <w:trPr/>
        <w:tc>
          <w:tcPr>
            <w:tcW w:w="7766" w:type="dxa"/>
            <w:tcBorders/>
            <w:shd w:fill="FFFFFF" w:val="clear"/>
          </w:tcPr>
          <w:p>
            <w:pPr>
              <w:pStyle w:val="TableContents"/>
              <w:spacing w:before="0" w:after="0"/>
              <w:ind w:left="0" w:right="0" w:hanging="0"/>
              <w:jc w:val="left"/>
              <w:rPr/>
            </w:pPr>
            <w:r>
              <w:rPr/>
              <w:t>     </w:t>
            </w:r>
            <w:hyperlink w:anchor="changes">
              <w:r>
                <w:rPr>
                  <w:rStyle w:val="InternetLink"/>
                  <w:rFonts w:ascii="times new roman" w:hAnsi="times new roman"/>
                  <w:sz w:val="20"/>
                </w:rPr>
                <w:t>CHANGES IN AND DISAGREEMENTS WITH ACCOUNTANTS</w:t>
              </w:r>
            </w:hyperlink>
          </w:p>
        </w:tc>
        <w:tc>
          <w:tcPr>
            <w:tcW w:w="398" w:type="dxa"/>
            <w:tcBorders/>
            <w:shd w:fill="FFFFFF" w:val="clear"/>
          </w:tcPr>
          <w:p>
            <w:pPr>
              <w:pStyle w:val="TableContents"/>
              <w:spacing w:before="0" w:after="0"/>
              <w:ind w:left="0" w:right="0" w:hanging="0"/>
              <w:jc w:val="right"/>
              <w:rPr/>
            </w:pPr>
            <w:hyperlink w:anchor="changes">
              <w:r>
                <w:rPr>
                  <w:rStyle w:val="InternetLink"/>
                  <w:rFonts w:ascii="times new roman" w:hAnsi="times new roman"/>
                  <w:sz w:val="20"/>
                </w:rPr>
                <w:t>26</w:t>
              </w:r>
            </w:hyperlink>
          </w:p>
        </w:tc>
      </w:tr>
      <w:tr>
        <w:trPr/>
        <w:tc>
          <w:tcPr>
            <w:tcW w:w="7766" w:type="dxa"/>
            <w:tcBorders/>
            <w:shd w:fill="CBDBD1" w:val="clear"/>
          </w:tcPr>
          <w:p>
            <w:pPr>
              <w:pStyle w:val="TableContents"/>
              <w:spacing w:before="0" w:after="0"/>
              <w:ind w:left="0" w:right="0" w:hanging="0"/>
              <w:jc w:val="left"/>
              <w:rPr/>
            </w:pPr>
            <w:r>
              <w:rPr/>
              <w:t>     </w:t>
            </w:r>
            <w:hyperlink w:anchor="controls">
              <w:r>
                <w:rPr>
                  <w:rStyle w:val="InternetLink"/>
                  <w:rFonts w:ascii="times new roman" w:hAnsi="times new roman"/>
                  <w:sz w:val="20"/>
                </w:rPr>
                <w:t>CONTROLS AND PROCEDURES</w:t>
              </w:r>
            </w:hyperlink>
          </w:p>
        </w:tc>
        <w:tc>
          <w:tcPr>
            <w:tcW w:w="398" w:type="dxa"/>
            <w:tcBorders/>
            <w:shd w:fill="CBDBD1" w:val="clear"/>
          </w:tcPr>
          <w:p>
            <w:pPr>
              <w:pStyle w:val="TableContents"/>
              <w:spacing w:before="0" w:after="0"/>
              <w:ind w:left="0" w:right="0" w:hanging="0"/>
              <w:jc w:val="right"/>
              <w:rPr/>
            </w:pPr>
            <w:hyperlink w:anchor="controls">
              <w:r>
                <w:rPr>
                  <w:rStyle w:val="InternetLink"/>
                  <w:rFonts w:ascii="times new roman" w:hAnsi="times new roman"/>
                  <w:sz w:val="20"/>
                </w:rPr>
                <w:t>26</w:t>
              </w:r>
            </w:hyperlink>
          </w:p>
        </w:tc>
      </w:tr>
      <w:tr>
        <w:trPr/>
        <w:tc>
          <w:tcPr>
            <w:tcW w:w="7766" w:type="dxa"/>
            <w:tcBorders/>
            <w:shd w:fill="FFFFFF" w:val="clear"/>
          </w:tcPr>
          <w:p>
            <w:pPr>
              <w:pStyle w:val="TableContents"/>
              <w:spacing w:before="0" w:after="0"/>
              <w:ind w:left="0" w:right="0" w:hanging="0"/>
              <w:jc w:val="left"/>
              <w:rPr/>
            </w:pPr>
            <w:r>
              <w:rPr/>
              <w:t>     </w:t>
            </w:r>
            <w:hyperlink w:anchor="otherinfo">
              <w:r>
                <w:rPr>
                  <w:rStyle w:val="InternetLink"/>
                  <w:rFonts w:ascii="times new roman" w:hAnsi="times new roman"/>
                  <w:sz w:val="20"/>
                </w:rPr>
                <w:t>OTHER INFORMATION</w:t>
              </w:r>
            </w:hyperlink>
          </w:p>
        </w:tc>
        <w:tc>
          <w:tcPr>
            <w:tcW w:w="398" w:type="dxa"/>
            <w:tcBorders/>
            <w:shd w:fill="FFFFFF" w:val="clear"/>
          </w:tcPr>
          <w:p>
            <w:pPr>
              <w:pStyle w:val="TableContents"/>
              <w:spacing w:before="0" w:after="0"/>
              <w:ind w:left="0" w:right="0" w:hanging="0"/>
              <w:jc w:val="right"/>
              <w:rPr/>
            </w:pPr>
            <w:hyperlink w:anchor="otherinfo">
              <w:r>
                <w:rPr>
                  <w:rStyle w:val="InternetLink"/>
                  <w:rFonts w:ascii="times new roman" w:hAnsi="times new roman"/>
                  <w:sz w:val="20"/>
                </w:rPr>
                <w:t>28</w:t>
              </w:r>
            </w:hyperlink>
          </w:p>
        </w:tc>
      </w:tr>
      <w:tr>
        <w:trPr/>
        <w:tc>
          <w:tcPr>
            <w:tcW w:w="7766" w:type="dxa"/>
            <w:tcBorders/>
            <w:shd w:fill="CBDBD1" w:val="clear"/>
          </w:tcPr>
          <w:p>
            <w:pPr>
              <w:pStyle w:val="TableContents"/>
              <w:spacing w:before="0" w:after="0"/>
              <w:ind w:left="0" w:right="0" w:hanging="0"/>
              <w:jc w:val="left"/>
              <w:rPr/>
            </w:pPr>
            <w:hyperlink w:anchor="p3">
              <w:r>
                <w:rPr>
                  <w:rStyle w:val="InternetLink"/>
                  <w:rFonts w:ascii="times new roman" w:hAnsi="times new roman"/>
                  <w:sz w:val="20"/>
                </w:rPr>
                <w:t>PART III</w:t>
              </w:r>
            </w:hyperlink>
          </w:p>
        </w:tc>
        <w:tc>
          <w:tcPr>
            <w:tcW w:w="398" w:type="dxa"/>
            <w:tcBorders/>
            <w:shd w:fill="CBDBD1" w:val="clear"/>
          </w:tcPr>
          <w:p>
            <w:pPr>
              <w:pStyle w:val="TableContents"/>
              <w:spacing w:before="0" w:after="0"/>
              <w:ind w:left="0" w:right="0" w:hanging="0"/>
              <w:jc w:val="right"/>
              <w:rPr/>
            </w:pPr>
            <w:hyperlink w:anchor="p3">
              <w:r>
                <w:rPr>
                  <w:rStyle w:val="InternetLink"/>
                  <w:rFonts w:ascii="times new roman" w:hAnsi="times new roman"/>
                  <w:sz w:val="20"/>
                </w:rPr>
                <w:t>29</w:t>
              </w:r>
            </w:hyperlink>
          </w:p>
        </w:tc>
      </w:tr>
      <w:tr>
        <w:trPr/>
        <w:tc>
          <w:tcPr>
            <w:tcW w:w="7766" w:type="dxa"/>
            <w:tcBorders/>
            <w:shd w:fill="FFFFFF" w:val="clear"/>
          </w:tcPr>
          <w:p>
            <w:pPr>
              <w:pStyle w:val="TableContents"/>
              <w:spacing w:before="0" w:after="0"/>
              <w:ind w:left="0" w:right="0" w:hanging="0"/>
              <w:jc w:val="left"/>
              <w:rPr/>
            </w:pPr>
            <w:r>
              <w:rPr/>
              <w:t>     </w:t>
            </w:r>
            <w:hyperlink w:anchor="direct">
              <w:r>
                <w:rPr>
                  <w:rStyle w:val="InternetLink"/>
                  <w:rFonts w:ascii="times new roman" w:hAnsi="times new roman"/>
                  <w:sz w:val="20"/>
                </w:rPr>
                <w:t>DIRECTORS, EXECUTIVE OFFICERS AND CORPORATE GOVERNANCE</w:t>
              </w:r>
            </w:hyperlink>
          </w:p>
        </w:tc>
        <w:tc>
          <w:tcPr>
            <w:tcW w:w="398" w:type="dxa"/>
            <w:tcBorders/>
            <w:shd w:fill="FFFFFF" w:val="clear"/>
          </w:tcPr>
          <w:p>
            <w:pPr>
              <w:pStyle w:val="TableContents"/>
              <w:spacing w:before="0" w:after="0"/>
              <w:ind w:left="0" w:right="0" w:hanging="0"/>
              <w:jc w:val="right"/>
              <w:rPr/>
            </w:pPr>
            <w:hyperlink w:anchor="direct">
              <w:r>
                <w:rPr>
                  <w:rStyle w:val="InternetLink"/>
                  <w:rFonts w:ascii="times new roman" w:hAnsi="times new roman"/>
                  <w:sz w:val="20"/>
                </w:rPr>
                <w:t>29</w:t>
              </w:r>
            </w:hyperlink>
          </w:p>
        </w:tc>
      </w:tr>
      <w:tr>
        <w:trPr/>
        <w:tc>
          <w:tcPr>
            <w:tcW w:w="7766" w:type="dxa"/>
            <w:tcBorders/>
            <w:shd w:fill="CBDBD1" w:val="clear"/>
          </w:tcPr>
          <w:p>
            <w:pPr>
              <w:pStyle w:val="TableContents"/>
              <w:spacing w:before="0" w:after="0"/>
              <w:ind w:left="0" w:right="0" w:hanging="0"/>
              <w:jc w:val="left"/>
              <w:rPr/>
            </w:pPr>
            <w:r>
              <w:rPr/>
              <w:t>     </w:t>
            </w:r>
            <w:hyperlink w:anchor="exengl">
              <w:r>
                <w:rPr>
                  <w:rStyle w:val="InternetLink"/>
                  <w:rFonts w:ascii="times new roman" w:hAnsi="times new roman"/>
                  <w:sz w:val="20"/>
                </w:rPr>
                <w:t>EXECUTIVE COMPENSATION</w:t>
              </w:r>
            </w:hyperlink>
          </w:p>
        </w:tc>
        <w:tc>
          <w:tcPr>
            <w:tcW w:w="398" w:type="dxa"/>
            <w:tcBorders/>
            <w:shd w:fill="CBDBD1" w:val="clear"/>
          </w:tcPr>
          <w:p>
            <w:pPr>
              <w:pStyle w:val="TableContents"/>
              <w:spacing w:before="0" w:after="0"/>
              <w:ind w:left="0" w:right="0" w:hanging="0"/>
              <w:jc w:val="right"/>
              <w:rPr/>
            </w:pPr>
            <w:hyperlink w:anchor="exengl">
              <w:r>
                <w:rPr>
                  <w:rStyle w:val="InternetLink"/>
                  <w:rFonts w:ascii="times new roman" w:hAnsi="times new roman"/>
                  <w:sz w:val="20"/>
                </w:rPr>
                <w:t>31</w:t>
              </w:r>
            </w:hyperlink>
          </w:p>
        </w:tc>
      </w:tr>
      <w:tr>
        <w:trPr/>
        <w:tc>
          <w:tcPr>
            <w:tcW w:w="7766" w:type="dxa"/>
            <w:tcBorders/>
            <w:shd w:fill="FFFFFF" w:val="clear"/>
          </w:tcPr>
          <w:p>
            <w:pPr>
              <w:pStyle w:val="TableContents"/>
              <w:spacing w:before="0" w:after="0"/>
              <w:ind w:left="0" w:right="0" w:hanging="0"/>
              <w:jc w:val="left"/>
              <w:rPr/>
            </w:pPr>
            <w:r>
              <w:rPr/>
              <w:t>     </w:t>
            </w:r>
            <w:hyperlink w:anchor="securityownership">
              <w:r>
                <w:rPr>
                  <w:rStyle w:val="InternetLink"/>
                  <w:rFonts w:ascii="times new roman" w:hAnsi="times new roman"/>
                  <w:sz w:val="20"/>
                </w:rPr>
                <w:t>SECURITY OWNERSHIP OF CERTAIN BENEFICIAL OWNERS AND MANAGEMENT</w:t>
              </w:r>
            </w:hyperlink>
          </w:p>
        </w:tc>
        <w:tc>
          <w:tcPr>
            <w:tcW w:w="398" w:type="dxa"/>
            <w:tcBorders/>
            <w:shd w:fill="FFFFFF" w:val="clear"/>
          </w:tcPr>
          <w:p>
            <w:pPr>
              <w:pStyle w:val="TableContents"/>
              <w:spacing w:before="0" w:after="0"/>
              <w:ind w:left="0" w:right="0" w:hanging="0"/>
              <w:jc w:val="right"/>
              <w:rPr/>
            </w:pPr>
            <w:hyperlink w:anchor="securityownership">
              <w:r>
                <w:rPr>
                  <w:rStyle w:val="InternetLink"/>
                  <w:rFonts w:ascii="times new roman" w:hAnsi="times new roman"/>
                  <w:sz w:val="20"/>
                </w:rPr>
                <w:t>32</w:t>
              </w:r>
            </w:hyperlink>
          </w:p>
        </w:tc>
      </w:tr>
      <w:tr>
        <w:trPr/>
        <w:tc>
          <w:tcPr>
            <w:tcW w:w="7766" w:type="dxa"/>
            <w:tcBorders/>
            <w:shd w:fill="CBDBD1" w:val="clear"/>
          </w:tcPr>
          <w:p>
            <w:pPr>
              <w:pStyle w:val="TableContents"/>
              <w:spacing w:before="0" w:after="0"/>
              <w:ind w:left="0" w:right="0" w:hanging="0"/>
              <w:jc w:val="left"/>
              <w:rPr/>
            </w:pPr>
            <w:r>
              <w:rPr/>
              <w:t>     </w:t>
            </w:r>
            <w:hyperlink w:anchor="certainrelat">
              <w:r>
                <w:rPr>
                  <w:rStyle w:val="InternetLink"/>
                  <w:rFonts w:ascii="times new roman" w:hAnsi="times new roman"/>
                  <w:sz w:val="20"/>
                </w:rPr>
                <w:t>CERTAIN RELATIONSHIPS AND RELATED TRANSACTIONS, AND DIRECTOR INDEPENDENCE</w:t>
              </w:r>
            </w:hyperlink>
          </w:p>
        </w:tc>
        <w:tc>
          <w:tcPr>
            <w:tcW w:w="398" w:type="dxa"/>
            <w:tcBorders/>
            <w:shd w:fill="CBDBD1" w:val="clear"/>
          </w:tcPr>
          <w:p>
            <w:pPr>
              <w:pStyle w:val="TableContents"/>
              <w:spacing w:before="0" w:after="0"/>
              <w:ind w:left="0" w:right="0" w:hanging="0"/>
              <w:jc w:val="right"/>
              <w:rPr/>
            </w:pPr>
            <w:hyperlink w:anchor="certainrelat">
              <w:r>
                <w:rPr>
                  <w:rStyle w:val="InternetLink"/>
                  <w:rFonts w:ascii="times new roman" w:hAnsi="times new roman"/>
                  <w:sz w:val="20"/>
                </w:rPr>
                <w:t>32</w:t>
              </w:r>
            </w:hyperlink>
          </w:p>
        </w:tc>
      </w:tr>
      <w:tr>
        <w:trPr/>
        <w:tc>
          <w:tcPr>
            <w:tcW w:w="7766" w:type="dxa"/>
            <w:tcBorders/>
            <w:shd w:fill="FFFFFF" w:val="clear"/>
          </w:tcPr>
          <w:p>
            <w:pPr>
              <w:pStyle w:val="TableContents"/>
              <w:spacing w:before="0" w:after="0"/>
              <w:ind w:left="0" w:right="0" w:hanging="0"/>
              <w:jc w:val="left"/>
              <w:rPr/>
            </w:pPr>
            <w:r>
              <w:rPr/>
              <w:t>     </w:t>
            </w:r>
            <w:hyperlink w:anchor="principal">
              <w:r>
                <w:rPr>
                  <w:rStyle w:val="InternetLink"/>
                  <w:rFonts w:ascii="times new roman" w:hAnsi="times new roman"/>
                  <w:sz w:val="20"/>
                </w:rPr>
                <w:t>PRINCIPAL ACCOUNTING FEES AND SERVICES</w:t>
              </w:r>
            </w:hyperlink>
          </w:p>
        </w:tc>
        <w:tc>
          <w:tcPr>
            <w:tcW w:w="398" w:type="dxa"/>
            <w:tcBorders/>
            <w:shd w:fill="FFFFFF" w:val="clear"/>
          </w:tcPr>
          <w:p>
            <w:pPr>
              <w:pStyle w:val="TableContents"/>
              <w:spacing w:before="0" w:after="0"/>
              <w:ind w:left="0" w:right="0" w:hanging="0"/>
              <w:jc w:val="right"/>
              <w:rPr/>
            </w:pPr>
            <w:hyperlink w:anchor="principal">
              <w:r>
                <w:rPr>
                  <w:rStyle w:val="InternetLink"/>
                  <w:rFonts w:ascii="times new roman" w:hAnsi="times new roman"/>
                  <w:sz w:val="20"/>
                </w:rPr>
                <w:t>33</w:t>
              </w:r>
            </w:hyperlink>
          </w:p>
        </w:tc>
      </w:tr>
      <w:tr>
        <w:trPr/>
        <w:tc>
          <w:tcPr>
            <w:tcW w:w="7766" w:type="dxa"/>
            <w:tcBorders/>
            <w:shd w:fill="CBDBD1" w:val="clear"/>
          </w:tcPr>
          <w:p>
            <w:pPr>
              <w:pStyle w:val="TableContents"/>
              <w:spacing w:before="0" w:after="0"/>
              <w:ind w:left="0" w:right="0" w:hanging="0"/>
              <w:jc w:val="left"/>
              <w:rPr/>
            </w:pPr>
            <w:hyperlink w:anchor="exhi">
              <w:r>
                <w:rPr>
                  <w:rStyle w:val="InternetLink"/>
                  <w:rFonts w:ascii="times new roman" w:hAnsi="times new roman"/>
                  <w:sz w:val="20"/>
                </w:rPr>
                <w:t>EXHIBITS</w:t>
              </w:r>
            </w:hyperlink>
          </w:p>
        </w:tc>
        <w:tc>
          <w:tcPr>
            <w:tcW w:w="398" w:type="dxa"/>
            <w:tcBorders/>
            <w:shd w:fill="CBDBD1" w:val="clear"/>
          </w:tcPr>
          <w:p>
            <w:pPr>
              <w:pStyle w:val="TableContents"/>
              <w:spacing w:before="0" w:after="0"/>
              <w:ind w:left="0" w:right="0" w:hanging="0"/>
              <w:jc w:val="right"/>
              <w:rPr/>
            </w:pPr>
            <w:hyperlink w:anchor="exhi">
              <w:r>
                <w:rPr>
                  <w:rStyle w:val="InternetLink"/>
                  <w:rFonts w:ascii="times new roman" w:hAnsi="times new roman"/>
                  <w:sz w:val="20"/>
                </w:rPr>
                <w:t>33</w:t>
              </w:r>
            </w:hyperlink>
          </w:p>
        </w:tc>
      </w:tr>
      <w:tr>
        <w:trPr/>
        <w:tc>
          <w:tcPr>
            <w:tcW w:w="7766" w:type="dxa"/>
            <w:tcBorders/>
            <w:shd w:fill="FFFFFF" w:val="clear"/>
          </w:tcPr>
          <w:p>
            <w:pPr>
              <w:pStyle w:val="TableContents"/>
              <w:spacing w:before="0" w:after="0"/>
              <w:ind w:left="0" w:right="0" w:hanging="0"/>
              <w:jc w:val="left"/>
              <w:rPr/>
            </w:pPr>
            <w:hyperlink w:anchor="signs">
              <w:r>
                <w:rPr>
                  <w:rStyle w:val="InternetLink"/>
                  <w:rFonts w:ascii="times new roman" w:hAnsi="times new roman"/>
                  <w:sz w:val="20"/>
                </w:rPr>
                <w:t>SIGNATURES</w:t>
              </w:r>
            </w:hyperlink>
          </w:p>
        </w:tc>
        <w:tc>
          <w:tcPr>
            <w:tcW w:w="398" w:type="dxa"/>
            <w:tcBorders/>
            <w:shd w:fill="FFFFFF" w:val="clear"/>
          </w:tcPr>
          <w:p>
            <w:pPr>
              <w:pStyle w:val="TableContents"/>
              <w:spacing w:before="0" w:after="0"/>
              <w:ind w:left="0" w:right="0" w:hanging="0"/>
              <w:jc w:val="right"/>
              <w:rPr/>
            </w:pPr>
            <w:hyperlink w:anchor="signs">
              <w:r>
                <w:rPr>
                  <w:rStyle w:val="InternetLink"/>
                  <w:rFonts w:ascii="times new roman" w:hAnsi="times new roman"/>
                  <w:sz w:val="20"/>
                </w:rPr>
                <w:t>34</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FORWARD 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contains forward-looking statements about our business, financial condition and prospects that reflect our management’s assumptions and beliefs based on information currently available.  We can give no assurance that the expectations indicated by such forward-looking statements will be realized.  If any of our assumptions should prove incorrect, or if any of the risks and uncertainties underlying such expectations should materialize, our actual results may differ materially from those indicated by the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key factors that are not within our control and that may have a direct bearing on operating results include, but are not limited to, acceptance of our services, our ability to expand its customer base, managements’ ability to raise capital in the future, the retention of key employees and changes in the regulation of our industry.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may be other risks and circumstances that management may be unable to predict.  When used in this Report, words such as,  </w:t>
      </w:r>
      <w:r>
        <w:rPr>
          <w:rFonts w:ascii="Times New Roman" w:hAnsi="Times New Roman"/>
          <w:i/>
          <w:sz w:val="20"/>
        </w:rPr>
        <w:t>"believes,"</w:t>
      </w:r>
      <w:r>
        <w:rPr>
          <w:rFonts w:ascii="Times New Roman" w:hAnsi="Times New Roman"/>
          <w:sz w:val="20"/>
        </w:rPr>
        <w:t>  </w:t>
      </w:r>
      <w:r>
        <w:rPr>
          <w:rFonts w:ascii="Times New Roman" w:hAnsi="Times New Roman"/>
          <w:i/>
          <w:sz w:val="20"/>
        </w:rPr>
        <w:t>"expects," "intends,"</w:t>
      </w:r>
      <w:r>
        <w:rPr>
          <w:rFonts w:ascii="Times New Roman" w:hAnsi="Times New Roman"/>
          <w:sz w:val="20"/>
        </w:rPr>
        <w:t>  </w:t>
      </w:r>
      <w:r>
        <w:rPr>
          <w:rFonts w:ascii="Times New Roman" w:hAnsi="Times New Roman"/>
          <w:i/>
          <w:sz w:val="20"/>
        </w:rPr>
        <w:t>"plans,"</w:t>
      </w:r>
      <w:r>
        <w:rPr>
          <w:rFonts w:ascii="Times New Roman" w:hAnsi="Times New Roman"/>
          <w:sz w:val="20"/>
        </w:rPr>
        <w:t>  </w:t>
      </w:r>
      <w:r>
        <w:rPr>
          <w:rFonts w:ascii="Times New Roman" w:hAnsi="Times New Roman"/>
          <w:i/>
          <w:sz w:val="20"/>
        </w:rPr>
        <w:t>"anticipates,"</w:t>
      </w:r>
      <w:r>
        <w:rPr>
          <w:rFonts w:ascii="Times New Roman" w:hAnsi="Times New Roman"/>
          <w:sz w:val="20"/>
        </w:rPr>
        <w:t>  </w:t>
      </w:r>
      <w:r>
        <w:rPr>
          <w:rFonts w:ascii="Times New Roman" w:hAnsi="Times New Roman"/>
          <w:i/>
          <w:sz w:val="20"/>
        </w:rPr>
        <w:t xml:space="preserve">"estimates" </w:t>
      </w:r>
      <w:r>
        <w:rPr>
          <w:rFonts w:ascii="Times New Roman" w:hAnsi="Times New Roman"/>
          <w:sz w:val="20"/>
        </w:rPr>
        <w:t>and similar expressions are intended to identify and qualify forward-looking statements, although there may be certain forward-looking statements not accompanied by such expressions.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22" w:name="p1"/>
      <w:bookmarkEnd w:id="22"/>
      <w:r>
        <w:rPr>
          <w:rFonts w:ascii="Times New Roman" w:hAnsi="Times New Roman"/>
          <w:b/>
          <w:sz w:val="20"/>
        </w:rPr>
        <w:t>PART 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bookmarkStart w:id="23" w:name="descbusn"/>
      <w:bookmarkEnd w:id="23"/>
      <w:r>
        <w:rPr>
          <w:rFonts w:ascii="Times New Roman" w:hAnsi="Times New Roman"/>
          <w:sz w:val="20"/>
        </w:rPr>
        <w:t>DESCRIPTION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Business Development and Summary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was incorporated in the State of Nevada on October 6,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administrative office is located at 13834 W. Hoyt Road, Rathdrum, ID 83858.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fiscal year end is December 31.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Business of Issuer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Principal Products and Principal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business purpose is to market specialty gift baskets to real estate and health care professionals and organizations through the Internet.  We plan to offer potential customers the ability to choose from a variety of gift baskets that will be pre-designed by Stephanie Jones, our President.  Our proposed gift baskets can be given as thank yous, gifts or rewards to clients, patients, employees or associates.  For example, a realtor, whose client just purchased a new home, can order either a home essentials basket containing household cleaners and supplies or a housewarming basket with gourmet foods.  In targeting the medical community, a sample get-well basket could include activity books and aspirin.  We have not yet designed any gift basket ideas and thus do not currently have any ca talog of items to sell.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developing a website at www.ExcaliberStore.com, which serves as our base of operations and the sole method through which we will generate sales.  The site is our singular storefront, through which we will market, sell, and distribute gift baskets.  To date, we have not identified or contacted any manufacturers or suppliers.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baskets and products we plan to place in the baskets will purchased from outside sources.  We are in the process of identifying suppliers and manufacturers, and have not made any determination which, if any we will contact.  We will not manufacture or produce any item.  Instead, we will seek to purchase these items from outside sources and assemble them in the pre-designed format.  Assembly of baskets is intended to be done in-house by our management.  In the event we are unable to handle assembly and fulfillment in-house, we may seek to outsource these functions to independent third parties.  We will not manufacture or produce any item ourselves.  We are still in the development stage, and we do not have any saleable inventory and have not yet identified any spe cific products, suppliers or fulfillment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our management believes that we may be able to acquire good and services from existing third-party specialty gift companies.  We are in the process of identifying companies with merchandising programs that will allow us to either list and sell their existing inventory of baskets or earn commissions based upon sales affected by us.  We have not identified any such third-party companies from which to purchase pre-manufactured baskets and cannot guarantee that we will be able to obtain such baskets at a preferred or reasonable price.</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Distribution Methods of the Products and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expect to use general parcel and postal services as our distribution methods to fulfill customer orders.  Such services include, without limitation, United Parcel Service, DHL, Federal Express and the United States Postal Service.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Industry Background and Competition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market for gift baskets is very competitive and highly fragmented.  There are numerous existing and potential competitors selling gift baskets.  Our management believes that national chains that offer a large selection of merchandise compete directly, yet co-exist, with smaller companies that have either a regional presence, single locations or are strictly Internet-based.  We expect to compete with many online and physical gift basket retailers, which we believe can be divided into several groups:</w:t>
      </w:r>
    </w:p>
    <w:p>
      <w:pPr>
        <w:pStyle w:val="TextBody"/>
        <w:spacing w:before="0" w:after="0"/>
        <w:ind w:left="0" w:right="0" w:hanging="0"/>
        <w:rPr/>
      </w:pPr>
      <w:r>
        <w:rPr/>
      </w:r>
    </w:p>
    <w:p>
      <w:pPr>
        <w:pStyle w:val="Normal"/>
        <w:spacing w:before="0" w:after="0"/>
        <w:rPr>
          <w:sz w:val="4"/>
          <w:szCs w:val="4"/>
        </w:rPr>
      </w:pPr>
      <w:r>
        <w:rPr>
          <w:sz w:val="4"/>
          <w:szCs w:val="4"/>
        </w:rPr>
      </w:r>
      <w:bookmarkStart w:id="33" w:name="hangingindent"/>
      <w:bookmarkStart w:id="34" w:name="hangingindent"/>
      <w:bookmarkEnd w:id="34"/>
    </w:p>
    <w:tbl>
      <w:tblPr>
        <w:tblW w:w="5000" w:type="pct"/>
        <w:jc w:val="center"/>
        <w:tblInd w:w="0" w:type="dxa"/>
        <w:tblCellMar>
          <w:top w:w="0" w:type="dxa"/>
          <w:left w:w="0" w:type="dxa"/>
          <w:bottom w:w="0" w:type="dxa"/>
          <w:right w:w="0" w:type="dxa"/>
        </w:tblCellMar>
      </w:tblPr>
      <w:tblGrid>
        <w:gridCol w:w="193"/>
        <w:gridCol w:w="274"/>
        <w:gridCol w:w="9738"/>
      </w:tblGrid>
      <w:tr>
        <w:trPr/>
        <w:tc>
          <w:tcPr>
            <w:tcW w:w="193" w:type="dxa"/>
            <w:tcBorders/>
            <w:shd w:fill="auto" w:val="clear"/>
          </w:tcPr>
          <w:p>
            <w:pPr>
              <w:pStyle w:val="TableContents"/>
              <w:spacing w:before="0" w:after="0"/>
              <w:rPr/>
            </w:pPr>
            <w:r>
              <w:rPr/>
              <w:t xml:space="preserve">  </w:t>
            </w:r>
          </w:p>
        </w:tc>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National chains and franchises, such as Harry &amp; David and Hickory Farms;</w:t>
            </w:r>
          </w:p>
        </w:tc>
      </w:tr>
    </w:tbl>
    <w:p>
      <w:pPr>
        <w:pStyle w:val="TextBody"/>
        <w:spacing w:before="0" w:after="0"/>
        <w:ind w:left="0" w:right="0" w:hanging="0"/>
        <w:rPr/>
      </w:pPr>
      <w:r>
        <w:rPr/>
      </w:r>
    </w:p>
    <w:p>
      <w:pPr>
        <w:pStyle w:val="Normal"/>
        <w:spacing w:before="0" w:after="0"/>
        <w:rPr>
          <w:sz w:val="4"/>
          <w:szCs w:val="4"/>
        </w:rPr>
      </w:pPr>
      <w:r>
        <w:rPr>
          <w:sz w:val="4"/>
          <w:szCs w:val="4"/>
        </w:rPr>
      </w:r>
      <w:bookmarkStart w:id="35" w:name="hangingindent1"/>
      <w:bookmarkStart w:id="36" w:name="hangingindent1"/>
      <w:bookmarkEnd w:id="36"/>
    </w:p>
    <w:tbl>
      <w:tblPr>
        <w:tblW w:w="5000" w:type="pct"/>
        <w:jc w:val="center"/>
        <w:tblInd w:w="0" w:type="dxa"/>
        <w:tblCellMar>
          <w:top w:w="0" w:type="dxa"/>
          <w:left w:w="0" w:type="dxa"/>
          <w:bottom w:w="0" w:type="dxa"/>
          <w:right w:w="0" w:type="dxa"/>
        </w:tblCellMar>
      </w:tblPr>
      <w:tblGrid>
        <w:gridCol w:w="161"/>
        <w:gridCol w:w="230"/>
        <w:gridCol w:w="9814"/>
      </w:tblGrid>
      <w:tr>
        <w:trPr/>
        <w:tc>
          <w:tcPr>
            <w:tcW w:w="161" w:type="dxa"/>
            <w:tcBorders/>
            <w:shd w:fill="auto" w:val="clear"/>
          </w:tcPr>
          <w:p>
            <w:pPr>
              <w:pStyle w:val="TableContents"/>
              <w:spacing w:before="0" w:after="0"/>
              <w:rPr/>
            </w:pPr>
            <w:r>
              <w:rPr/>
              <w:t xml:space="preserve">  </w:t>
            </w:r>
          </w:p>
        </w:tc>
        <w:tc>
          <w:tcPr>
            <w:tcW w:w="23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Catalog retailers and Internet-based companies, such as Red Envelope and Blue Nile;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7" w:name="hangingindent2"/>
      <w:bookmarkStart w:id="38" w:name="hangingindent2"/>
      <w:bookmarkEnd w:id="38"/>
    </w:p>
    <w:tbl>
      <w:tblPr>
        <w:tblW w:w="5000" w:type="pct"/>
        <w:jc w:val="center"/>
        <w:tblInd w:w="0" w:type="dxa"/>
        <w:tblCellMar>
          <w:top w:w="0" w:type="dxa"/>
          <w:left w:w="0" w:type="dxa"/>
          <w:bottom w:w="0" w:type="dxa"/>
          <w:right w:w="0" w:type="dxa"/>
        </w:tblCellMar>
      </w:tblPr>
      <w:tblGrid>
        <w:gridCol w:w="151"/>
        <w:gridCol w:w="215"/>
        <w:gridCol w:w="9839"/>
      </w:tblGrid>
      <w:tr>
        <w:trPr/>
        <w:tc>
          <w:tcPr>
            <w:tcW w:w="151" w:type="dxa"/>
            <w:tcBorders/>
            <w:shd w:fill="auto" w:val="clear"/>
          </w:tcPr>
          <w:p>
            <w:pPr>
              <w:pStyle w:val="TableContents"/>
              <w:spacing w:before="0" w:after="0"/>
              <w:rPr/>
            </w:pPr>
            <w:r>
              <w:rPr/>
              <w:t xml:space="preserve">  </w:t>
            </w:r>
          </w:p>
        </w:tc>
        <w:tc>
          <w:tcPr>
            <w:tcW w:w="2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Local and regional companies that cater to a limited geographic area and/or a niche market; and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believes there exists a significant number of competitors selling relatively similar and competitively priced merchandise.  In addition, convenience and reliability, as well as quality of customer service and the breadth and depth of product selection characterize the market for gift baskets.  We are a start-up company without a base of operations and lacking an ability to generate sales.  As such, our competitive position is unfavorable in the general marketplace.  Unless we implement our planned operations and begin to generate revenues, we will not be able to maintain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Significantly, all of our current and potential traditional competitors have longer operating histories, larger customer or user bases, greater brand recognition and significantly greater financial, marketing and other resources than we do.  Our competitors may be able to secure products from vendors on terms that are more favorable, fulfill customer orders more efficiently and adopt more aggressive pricing or inventory availability policies than we can.  Traditional store-based retailers also enable customers to see and feel products in a manner that is not possible over the Internet.  Many of these current and potential competitors can devote substantially more resources to Web site and systems development than we can.  In addition, larger, more well-established and financed entities may acquir e, invest in or form joint ventures with online competitors or gift basket companies as the use of the Internet and other online services increases.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Need for Government Approval of Principal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While we believe we are and will be in substantial compliance with the laws and regulations which regulate our business, and that we possess all the licenses required in the conduct of our business, the failure to comply with any of those laws or regulations, or the imposition of new laws or regulations could negatively impact our proposed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Number of total employees and number of full time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currently in the development stage.  During the development stage, we plan to rely exclusively on the services of Stephanie Jones, President and director, and Matthew Jones, our Secretary, Treasurer and director, to set up our business operations.  Both Mr. and Mrs. Jones currently work for us on a part-time basis and each expect to devote approximately 10-20 hours per week to our business, or as needed.  There are no other full- or part-time employees.  We believe that our operations are currently on a small scale that is manageable by these individuals.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Reports to Security Holders</w:t>
      </w:r>
    </w:p>
    <w:p>
      <w:pPr>
        <w:pStyle w:val="TextBody"/>
        <w:spacing w:before="0" w:after="0"/>
        <w:ind w:left="0" w:right="0" w:hanging="0"/>
        <w:rPr/>
      </w:pPr>
      <w:r>
        <w:rPr/>
      </w:r>
    </w:p>
    <w:p>
      <w:pPr>
        <w:pStyle w:val="Normal"/>
        <w:spacing w:before="0" w:after="0"/>
        <w:rPr>
          <w:sz w:val="4"/>
          <w:szCs w:val="4"/>
        </w:rPr>
      </w:pPr>
      <w:r>
        <w:rPr>
          <w:sz w:val="4"/>
          <w:szCs w:val="4"/>
        </w:rPr>
      </w:r>
      <w:bookmarkStart w:id="39" w:name="hangingindent3"/>
      <w:bookmarkStart w:id="40" w:name="hangingindent3"/>
      <w:bookmarkEnd w:id="40"/>
    </w:p>
    <w:tbl>
      <w:tblPr>
        <w:tblW w:w="5000" w:type="pct"/>
        <w:jc w:val="center"/>
        <w:tblInd w:w="0" w:type="dxa"/>
        <w:tblCellMar>
          <w:top w:w="0" w:type="dxa"/>
          <w:left w:w="0" w:type="dxa"/>
          <w:bottom w:w="0" w:type="dxa"/>
          <w:right w:w="0" w:type="dxa"/>
        </w:tblCellMar>
      </w:tblPr>
      <w:tblGrid>
        <w:gridCol w:w="124"/>
        <w:gridCol w:w="177"/>
        <w:gridCol w:w="9904"/>
      </w:tblGrid>
      <w:tr>
        <w:trPr/>
        <w:tc>
          <w:tcPr>
            <w:tcW w:w="124" w:type="dxa"/>
            <w:tcBorders/>
            <w:shd w:fill="auto" w:val="clear"/>
          </w:tcPr>
          <w:p>
            <w:pPr>
              <w:pStyle w:val="TableContents"/>
              <w:spacing w:before="0" w:after="0"/>
              <w:rPr/>
            </w:pPr>
            <w:r>
              <w:rPr/>
              <w:t xml:space="preserve">  </w:t>
            </w:r>
          </w:p>
        </w:tc>
        <w:tc>
          <w:tcPr>
            <w:tcW w:w="17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will furnish shareholders with annual financial reports certified by our independent registered public accountants.</w:t>
            </w:r>
          </w:p>
        </w:tc>
      </w:tr>
    </w:tbl>
    <w:p>
      <w:pPr>
        <w:pStyle w:val="TextBody"/>
        <w:spacing w:before="0" w:after="0"/>
        <w:ind w:left="0" w:right="0" w:hanging="0"/>
        <w:rPr/>
      </w:pPr>
      <w:r>
        <w:rPr/>
      </w:r>
    </w:p>
    <w:p>
      <w:pPr>
        <w:pStyle w:val="Normal"/>
        <w:spacing w:before="0" w:after="0"/>
        <w:rPr>
          <w:sz w:val="4"/>
          <w:szCs w:val="4"/>
        </w:rPr>
      </w:pPr>
      <w:r>
        <w:rPr>
          <w:sz w:val="4"/>
          <w:szCs w:val="4"/>
        </w:rPr>
      </w:r>
      <w:bookmarkStart w:id="41" w:name="hangingindent4"/>
      <w:bookmarkStart w:id="42" w:name="hangingindent4"/>
      <w:bookmarkEnd w:id="42"/>
    </w:p>
    <w:tbl>
      <w:tblPr>
        <w:tblW w:w="5000" w:type="pct"/>
        <w:jc w:val="center"/>
        <w:tblInd w:w="0" w:type="dxa"/>
        <w:tblCellMar>
          <w:top w:w="0" w:type="dxa"/>
          <w:left w:w="0" w:type="dxa"/>
          <w:bottom w:w="0" w:type="dxa"/>
          <w:right w:w="0" w:type="dxa"/>
        </w:tblCellMar>
      </w:tblPr>
      <w:tblGrid>
        <w:gridCol w:w="84"/>
        <w:gridCol w:w="144"/>
        <w:gridCol w:w="9977"/>
      </w:tblGrid>
      <w:tr>
        <w:trPr/>
        <w:tc>
          <w:tcPr>
            <w:tcW w:w="84"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are a reporting issuer with the Securities and Exchange Commission.  We file periodic reports, which are required in accordance with Section 15(d) of the Securities Act of 1933, with the Securities and Exchange Commission to maintain the fully reporting status.</w:t>
            </w:r>
          </w:p>
        </w:tc>
      </w:tr>
    </w:tbl>
    <w:p>
      <w:pPr>
        <w:pStyle w:val="TextBody"/>
        <w:spacing w:before="0" w:after="0"/>
        <w:ind w:left="0" w:right="0" w:hanging="0"/>
        <w:rPr/>
      </w:pPr>
      <w:r>
        <w:rPr/>
      </w:r>
    </w:p>
    <w:p>
      <w:pPr>
        <w:pStyle w:val="Normal"/>
        <w:spacing w:before="0" w:after="0"/>
        <w:rPr>
          <w:sz w:val="4"/>
          <w:szCs w:val="4"/>
        </w:rPr>
      </w:pPr>
      <w:r>
        <w:rPr>
          <w:sz w:val="4"/>
          <w:szCs w:val="4"/>
        </w:rPr>
      </w:r>
      <w:bookmarkStart w:id="43" w:name="hangingindent5"/>
      <w:bookmarkStart w:id="44" w:name="hangingindent5"/>
      <w:bookmarkEnd w:id="44"/>
    </w:p>
    <w:tbl>
      <w:tblPr>
        <w:tblW w:w="5000" w:type="pct"/>
        <w:jc w:val="center"/>
        <w:tblInd w:w="0" w:type="dxa"/>
        <w:tblCellMar>
          <w:top w:w="0" w:type="dxa"/>
          <w:left w:w="0" w:type="dxa"/>
          <w:bottom w:w="0" w:type="dxa"/>
          <w:right w:w="0" w:type="dxa"/>
        </w:tblCellMar>
      </w:tblPr>
      <w:tblGrid>
        <w:gridCol w:w="77"/>
        <w:gridCol w:w="138"/>
        <w:gridCol w:w="9990"/>
      </w:tblGrid>
      <w:tr>
        <w:trPr/>
        <w:tc>
          <w:tcPr>
            <w:tcW w:w="77"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public may read and copy any materials we file with the SEC at the SEC's Public Reference Room at 100 F Street, N.E., Washington, D.C. 20002.  The public may obtain information on the operation of the Public Reference Room by calling the SEC at 1-800-SEC-0330.  Our SEC filings will be available on the SEC Internet site, located at http://www.sec.gov.</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5" w:name="PGBRK3"/>
      <w:bookmarkStart w:id="46" w:name="PGBRK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7" w:name="FTR3"/>
      <w:bookmarkStart w:id="48" w:name="FT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9" w:name="GLFT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 w:name="PN3"/>
      <w:bookmarkEnd w:id="5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1" w:name="HDR3"/>
      <w:bookmarkStart w:id="52" w:name="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3" w:name="GLHDR3"/>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54" w:name="risks"/>
      <w:bookmarkEnd w:id="54"/>
      <w:r>
        <w:rPr>
          <w:rFonts w:ascii="Times New Roman" w:hAnsi="Times New Roman"/>
          <w:sz w:val="20"/>
        </w:rPr>
        <w:t>RISK FACTORS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officers and directors work for us on a part-time basis.  As a result, we may be unable to develop our business and manage our public reporting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depend on the efforts of Stephanie Jones, our President and director, and Matthew Jones, our Secretary, Treasurer and director.  Neither Mr. nor Mrs. Jones has experience related to public company management, nor as a principal accounting officer.  Because of this, we may be unable to offer and sell the shares in this offering and develop and manage our business.  We cannot guarantee you that we will overcome any such obstacle.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Both Mr. and Mrs. Jones are involved in other business opportunities and may face a conflict in selecting between Excaliber and their other business interests.  We have not formulated a policy for the resolution of such conflicts.  If we lose either or both Mr. and Mrs. Jones to other pursuits without a sufficient warning we may,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may lose their entire investment if we fail to implement our business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was formed in October 2005.  We have no demonstrable operations record, on which you can evaluate our business and prospects.  Our prospects must be considered in light of the risks, uncertainties, expenses and difficulties frequently encountered by companies in their early stages of development.  These risks include, without limitation, competition, the absence of ongoing revenue streams, inexperienced management and lack of brand recognition.  Excaliber Enterprises cannot guarantee that we will be successful in executing our proposed gift basket business and accomplishing our objectives.  To date, we have not generated any revenues and may incur losses in the foreseeable future.  If we fail to implement and create a base of operations for our prop osed business, we may be forced to cease operations, in which case investors may lose their entire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If we are unable to continue as a going concern, investors may face a complete loss of their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yet to commence our planned merchandising operations.  As of the date of this annual report, we have had only limited start-up operations and generated no revenues.  Taking these facts into account, our independent registered public accounting firm has expressed substantial doubt about our ability to continue as a going concern in the independent registered public accounting firm’s report to the financial statements included in the registration statement, of which this prospectus is a part.  If our business fails, the investors in this offering may face a complete loss of their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will have limited control over decision-making because principal stockholders, officers and directors of Excaliber Enterprises control the majority of our issued and outstanding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Stephanie Jones, an executive officer, employee and director, beneficially owns 98% of our issued and outstanding common stock.  As a result of such ownership, investors will have limited control over matters requiring approval by our security holders, including the election of directors.  Such concentrated control may also make it difficult for our stockholders to receive a premium for their shares of our common stock in the event we enter into transactions which require stockholder approval.  In addition, certain provisions of Nevada law could have the effect of making it more difficult or more expensive for a third party to acquire, or of discouraging a third party from attempting to acquire, control of us.  For example, Nevada law provides that not less than two-thirds vote of the stockholder s is required to remove a director, which could make it more difficult for a third party to gain control of our Board of Directors.  This concentration of ownership limits the power to exercise control by the minority shareholders.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 w:name="PGBRK4"/>
      <w:bookmarkStart w:id="56" w:name="PGBRK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FTR4"/>
      <w:bookmarkStart w:id="58" w:name="FT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 w:name="GLFTR4"/>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 w:name="PN4"/>
      <w:bookmarkEnd w:id="6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HDR4"/>
      <w:bookmarkStart w:id="62" w:name="HDR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 w:name="GLHDR4"/>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Excaliber Enterprises may not be able to attain profitability without additional funding, which may be unavailable.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limited capital resources.  To date, we have not generated cash from our operations.  Unless we begin to generate sufficient revenues from our proposed business objective of selling gift baskets to finance operations as a going concern, we may experience liquidity and solvency problems.  Such liquidity and solvency problems may force us to go out of business if additional financing is not available.  We have no intention of liquidating.  In the event our cash resources are insufficient to continue operations, we intend to raise addition capital through offerings and sales of equity or debt securities.  In the event we are unable to raise sufficient funds, we will be forced to go out of business and will be forced to liquidate.  A possibility of such outcome p resents a risk of complete loss of investment in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Because of competitive pressures from competitors with more resources, Excaliber Enterprises may fail to implement its business model profitably.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market for customers is intensely competitive and such competition is expected to continue to increase.  We expect to compete with many online and physical companies specialized in selling gift products, such as Harry and David and Wine Country Gifts.  Generally, our actual and potential competitors have longer operating histories, greater financial and marketing resources, greater name recognition and an entrenched client base.  Therefore, many of these competitors may be able to devote greater resources to attracting customers and preferred vendor pricing.  There can be no assurance that our current or potential competitors will not stock comparable or superior products to those to we expect to offer.  Increased competition could result in lower than expected operating margins or loss of market share, any of which would materially and adversely affect our business, results of operation and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We may be unable to generate sales without sales, marketing or distribution capabilities.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We may not be able to generate sales because consumers may choose not to shop online.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may not be able to attract potential customers who shop in traditional retail stores to shop on our proposed web site.  Furthermore, we may incur significantly higher and more sustained advertising and promotional expenditures than anticipated to attract online shoppers and to convert those shoppers into purchasing customers.  As a result, we may not be able to achieve profitability, and even if we are successful at attracting online customers, we expect it could take several years to build a substantial customer base.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Failure by us to respond to changes in consumer preferences could result in lack of sales revenues and may force us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Any change in the preferences of our potential customers, or in the gift products industry in general, that we fail to anticipate and adapt to could reduce the demand for our proposed specialty gift baskets that we intend to sell.  Decisions about our focus and the specific products we plan to offer will often be made in advance of entering the marketplace.  Failure to anticipate and respond to changes in consumer preferences and demands could lead to, among other things, customer dissatisfaction, failure to attract demand for our proposed products and lower profit margins.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We may be unable to obtain sufficient quantities of quality merchandise on acceptable commercial terms because we do not have long-term distribution and manufacturing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yet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5"/>
      <w:bookmarkStart w:id="65" w:name="PGBRK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5"/>
      <w:bookmarkStart w:id="67" w:name="FTR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 w:name="GLFTR5"/>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 w:name="PN5"/>
      <w:bookmarkEnd w:id="6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5"/>
      <w:bookmarkStart w:id="71" w:name="HDR5"/>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 w:name="GLHDR5"/>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revenue and gross margin could suffer if we fail to manage our inventory properly.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business depends on our ability to anticipate our needs for our as yet unidentified products and suppliers’ ability to deliver sufficient quantities of products at reasonable prices on a timely basis.  Given that we are in the development stage, we may be unable to accurately anticipate demand and manage inventory levels that could seriously harm us.  If predicted demand is substantially greater than consumer purchases, there will be excess inventory.  In order to secure inventory, we may make advance payments to suppliers, or we may enter into non-cancelable commitments with vendors.  If we fail to anticipate customer demand properly, a temporary oversupply could result in excess or obsolete inventory, which could adversely affect our gross margin.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Excaliber Enterprises may lose its top management without employment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depend substantially on the skills and experience of Stephanie Jones, our President and director, and Matthew Jones, our Secretary, Treasurer and director.  We have no other full- or part-time employees besides these individuals.  Furthermore, we do not maintain key man life insurance on either of these two individuals.  Without employment contracts, we may lose either or both of our officers and directors to other pursuits without a sufficient warning and,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Both of our officers and directors are involved in other business opportunities and may face a conflict in selecting between our company and their other business interests.  In the future, either Mr. or Mrs. Jones may also become involved in other business opportunities.  We have not formulated a policy for the resolution of such conflicts.  If we lose either or both of Mr. or Mrs. Jones to other pursuits without a sufficient warning we may,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internal controls may be inadequate, which could cause our financial reporting to be unreliable and lead to misinformation being disseminated to the public.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Exchange Act Rule 13a-15(f), internal control over financial reporting is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the assets of the Company; (ii) provide reasonable assurance t 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Our internal controls may be inadequate or ineffective, which could cause our financial reporting to be unreliable and lead to misinformation being disseminated to the public.  Investors relying upon this misinformation may make an uninformed investment decision.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costs and expenses of SEC reporting and compliance may inhibit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the effectiveness of this registration statement, we will be subject to the reporting requirements of the Securities Exchange Act of 1934, as amended.  The costs of complying with such requirements may be substantial.  In the event we are unable to establish a base of operations that generates sufficient cash flows or cannot obtain additional equity or debt financing, the costs of maintaining our status as a reporting entity may inhibit out ability to continue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Because our common stock is deemed a low-priced “Penny” stock, an investment in our common stock should be considered high risk and subject to marketability restrictions.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common stock is a penny stock, as defined in Rule 3a51-1 under the Securities Exchange Act, it will be more difficult for investors to liquidate their investment even if and when a market develops for the common stock. Until the trading price of the common stock rises above $5.00 per share, if ever, trading in the common stock is subject to the penny stock rules of the Securities Exchange Act specified in rules 15g-1 through 15g-10. Those rules require broker-dealers, before effecting transactions in any penny stock, to:</w:t>
      </w:r>
    </w:p>
    <w:p>
      <w:pPr>
        <w:pStyle w:val="TextBody"/>
        <w:spacing w:before="0" w:after="0"/>
        <w:ind w:left="0" w:right="0" w:hanging="0"/>
        <w:rPr/>
      </w:pPr>
      <w:r>
        <w:rPr/>
      </w:r>
    </w:p>
    <w:p>
      <w:pPr>
        <w:pStyle w:val="Normal"/>
        <w:spacing w:before="0" w:after="0"/>
        <w:rPr>
          <w:sz w:val="4"/>
          <w:szCs w:val="4"/>
        </w:rPr>
      </w:pPr>
      <w:r>
        <w:rPr>
          <w:sz w:val="4"/>
          <w:szCs w:val="4"/>
        </w:rPr>
      </w:r>
      <w:bookmarkStart w:id="73" w:name="hangingindent6"/>
      <w:bookmarkStart w:id="74" w:name="hangingindent6"/>
      <w:bookmarkEnd w:id="74"/>
    </w:p>
    <w:tbl>
      <w:tblPr>
        <w:tblW w:w="5000" w:type="pct"/>
        <w:jc w:val="center"/>
        <w:tblInd w:w="0" w:type="dxa"/>
        <w:tblCellMar>
          <w:top w:w="0" w:type="dxa"/>
          <w:left w:w="0" w:type="dxa"/>
          <w:bottom w:w="0" w:type="dxa"/>
          <w:right w:w="0" w:type="dxa"/>
        </w:tblCellMar>
      </w:tblPr>
      <w:tblGrid>
        <w:gridCol w:w="181"/>
        <w:gridCol w:w="257"/>
        <w:gridCol w:w="9767"/>
      </w:tblGrid>
      <w:tr>
        <w:trPr/>
        <w:tc>
          <w:tcPr>
            <w:tcW w:w="181" w:type="dxa"/>
            <w:tcBorders/>
            <w:shd w:fill="auto" w:val="clear"/>
          </w:tcPr>
          <w:p>
            <w:pPr>
              <w:pStyle w:val="TableContents"/>
              <w:spacing w:before="0" w:after="0"/>
              <w:rPr/>
            </w:pPr>
            <w:r>
              <w:rPr/>
              <w:t xml:space="preserve">  </w:t>
            </w:r>
          </w:p>
        </w:tc>
        <w:tc>
          <w:tcPr>
            <w:tcW w:w="2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Deliver to the customer, and obtain a written receipt for, a disclosure document;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75" w:name="hangingindent7"/>
      <w:bookmarkStart w:id="76" w:name="hangingindent7"/>
      <w:bookmarkEnd w:id="76"/>
    </w:p>
    <w:tbl>
      <w:tblPr>
        <w:tblW w:w="5000" w:type="pct"/>
        <w:jc w:val="center"/>
        <w:tblInd w:w="0" w:type="dxa"/>
        <w:tblCellMar>
          <w:top w:w="0" w:type="dxa"/>
          <w:left w:w="0" w:type="dxa"/>
          <w:bottom w:w="0" w:type="dxa"/>
          <w:right w:w="0" w:type="dxa"/>
        </w:tblCellMar>
      </w:tblPr>
      <w:tblGrid>
        <w:gridCol w:w="277"/>
        <w:gridCol w:w="394"/>
        <w:gridCol w:w="9534"/>
      </w:tblGrid>
      <w:tr>
        <w:trPr/>
        <w:tc>
          <w:tcPr>
            <w:tcW w:w="277" w:type="dxa"/>
            <w:tcBorders/>
            <w:shd w:fill="auto" w:val="clear"/>
          </w:tcPr>
          <w:p>
            <w:pPr>
              <w:pStyle w:val="TableContents"/>
              <w:spacing w:before="0" w:after="0"/>
              <w:rPr/>
            </w:pPr>
            <w:r>
              <w:rPr/>
              <w:t xml:space="preserve">  </w:t>
            </w:r>
          </w:p>
        </w:tc>
        <w:tc>
          <w:tcPr>
            <w:tcW w:w="3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5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 certain price information about the stock;</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7" w:name="PGBRK6"/>
      <w:bookmarkStart w:id="78" w:name="PGBRK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9" w:name="FTR6"/>
      <w:bookmarkStart w:id="80" w:name="FTR6"/>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1" w:name="GLFTR6"/>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 w:name="PN6"/>
      <w:bookmarkEnd w:id="8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 w:name="HDR6"/>
      <w:bookmarkStart w:id="84" w:name="HDR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85" w:name="GLHDR6"/>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86" w:name="hangingindent8"/>
      <w:bookmarkStart w:id="87" w:name="hangingindent8"/>
      <w:bookmarkEnd w:id="87"/>
    </w:p>
    <w:tbl>
      <w:tblPr>
        <w:tblW w:w="5000" w:type="pct"/>
        <w:jc w:val="center"/>
        <w:tblInd w:w="0" w:type="dxa"/>
        <w:tblCellMar>
          <w:top w:w="0" w:type="dxa"/>
          <w:left w:w="0" w:type="dxa"/>
          <w:bottom w:w="0" w:type="dxa"/>
          <w:right w:w="0" w:type="dxa"/>
        </w:tblCellMar>
      </w:tblPr>
      <w:tblGrid>
        <w:gridCol w:w="128"/>
        <w:gridCol w:w="183"/>
        <w:gridCol w:w="9894"/>
      </w:tblGrid>
      <w:tr>
        <w:trPr/>
        <w:tc>
          <w:tcPr>
            <w:tcW w:w="128" w:type="dxa"/>
            <w:tcBorders/>
            <w:shd w:fill="auto" w:val="clear"/>
          </w:tcPr>
          <w:p>
            <w:pPr>
              <w:pStyle w:val="TableContents"/>
              <w:spacing w:before="0" w:after="0"/>
              <w:rPr/>
            </w:pPr>
            <w:r>
              <w:rPr/>
              <w:t xml:space="preserve">  </w:t>
            </w:r>
          </w:p>
        </w:tc>
        <w:tc>
          <w:tcPr>
            <w:tcW w:w="1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 the amount of compensation received by the broker-dealer or any associated person of the broker-dealer;</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9"/>
      <w:bookmarkStart w:id="89" w:name="hangingindent9"/>
      <w:bookmarkEnd w:id="89"/>
    </w:p>
    <w:tbl>
      <w:tblPr>
        <w:tblW w:w="5000" w:type="pct"/>
        <w:jc w:val="center"/>
        <w:tblInd w:w="0" w:type="dxa"/>
        <w:tblCellMar>
          <w:top w:w="0" w:type="dxa"/>
          <w:left w:w="0" w:type="dxa"/>
          <w:bottom w:w="0" w:type="dxa"/>
          <w:right w:w="0" w:type="dxa"/>
        </w:tblCellMar>
      </w:tblPr>
      <w:tblGrid>
        <w:gridCol w:w="144"/>
        <w:gridCol w:w="205"/>
        <w:gridCol w:w="9856"/>
      </w:tblGrid>
      <w:tr>
        <w:trPr/>
        <w:tc>
          <w:tcPr>
            <w:tcW w:w="144"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8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Send monthly statements to customers with market and price information about the penny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10"/>
      <w:bookmarkStart w:id="91" w:name="hangingindent10"/>
      <w:bookmarkEnd w:id="91"/>
    </w:p>
    <w:tbl>
      <w:tblPr>
        <w:tblW w:w="5000" w:type="pct"/>
        <w:jc w:val="center"/>
        <w:tblInd w:w="0" w:type="dxa"/>
        <w:tblCellMar>
          <w:top w:w="0" w:type="dxa"/>
          <w:left w:w="0" w:type="dxa"/>
          <w:bottom w:w="0" w:type="dxa"/>
          <w:right w:w="0" w:type="dxa"/>
        </w:tblCellMar>
      </w:tblPr>
      <w:tblGrid>
        <w:gridCol w:w="102"/>
        <w:gridCol w:w="157"/>
        <w:gridCol w:w="9946"/>
      </w:tblGrid>
      <w:tr>
        <w:trPr/>
        <w:tc>
          <w:tcPr>
            <w:tcW w:w="102" w:type="dxa"/>
            <w:tcBorders/>
            <w:shd w:fill="auto" w:val="clear"/>
          </w:tcPr>
          <w:p>
            <w:pPr>
              <w:pStyle w:val="TableContents"/>
              <w:spacing w:before="0" w:after="0"/>
              <w:rPr/>
            </w:pPr>
            <w:r>
              <w:rPr/>
              <w:t xml:space="preserve">  </w:t>
            </w:r>
          </w:p>
        </w:tc>
        <w:tc>
          <w:tcPr>
            <w:tcW w:w="1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4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some circumstances, approve the purchaser’s account under certain standards and deliver written statements to the customer with information specified in the rules.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Consequently, the penny stock rules may restrict the ability or willingness of broker-dealers to sell the common stock and may affect the ability of holders to sell their common stock in the secondary market and the price at which such holders can sell any such securities. These additional procedures could also limit our ability to raise additional capital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FINRA sales practice requirements may also limit a stockholder's ability to buy and sell our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“penny stock” rules described above, the Financial Industry Regulatory Authority (FINRA) has adopted rules that require that in recommending an investment to a customer, a broker-dealer must have reasonable grounds for believing that the investment is suitable for that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 priced securities will not be suitable for at least some customers. The FINRA requirements make it more difficult for broker-dealers to recommend that their customers bu y our common stock, which may limit your ability! to buy and sell our stock and have an adverse effect on the market for our shares.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bookmarkStart w:id="92" w:name="unresstaff"/>
      <w:bookmarkEnd w:id="92"/>
      <w:r>
        <w:rPr>
          <w:rFonts w:ascii="Times New Roman" w:hAnsi="Times New Roman"/>
          <w:sz w:val="20"/>
        </w:rPr>
        <w:t>UNRESOLVED STAFF COMMENTS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3" w:name="prop"/>
      <w:bookmarkEnd w:id="93"/>
      <w:r>
        <w:rPr>
          <w:rFonts w:ascii="Times New Roman" w:hAnsi="Times New Roman"/>
          <w:sz w:val="20"/>
        </w:rPr>
        <w:t>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uses office space at 13834 W. Hoyt Road, Rathdrum, ID 83858.  Mr. and Mrs. Jones, the directors and officers, are providing the office space, located their primary residence, at no charge to us.  We believe that this arrangement is suitable given that our current operations are primarily administrative.  We also believe that we will not need to lease additional administrative offices for at least the next 12 months.  There are currently no proposed programs for the renovation, improvement or development of the facilities we currently use.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currently have policies regarding the acquisition or sale of real estate assets primarily for possible capital gain or primarily for income.  We do not presently hold any investments or interests in real estate, investments in real estate mortgages or securities of or interests in persons primarily engaged in real estate activities.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4" w:name="legalproc"/>
      <w:bookmarkEnd w:id="94"/>
      <w:r>
        <w:rPr>
          <w:rFonts w:ascii="Times New Roman" w:hAnsi="Times New Roman"/>
          <w:sz w:val="20"/>
        </w:rPr>
        <w:t>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convicted in a criminal proceeding, exclusive of traffic violations.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permanently or temporarily enjoined, barred, suspended, or otherwise limited from involvement in any type of business, securities or banking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convicted of violating a federal or state securities or commodities law.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is not a party to any pending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had any bankruptcy petition filed by or against any business of which such person was a general partner or executive officer either at the time of the bankruptcy or within two years prior to that time.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5" w:name="subm"/>
      <w:bookmarkEnd w:id="95"/>
      <w:r>
        <w:rPr>
          <w:rFonts w:ascii="Times New Roman" w:hAnsi="Times New Roman"/>
          <w:sz w:val="20"/>
        </w:rPr>
        <w:t>SUBMISSION OF MATTERS TO A VOTE OF SECURITY 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7"/>
      <w:bookmarkStart w:id="97" w:name="PGBRK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7"/>
      <w:bookmarkStart w:id="99" w:name="FTR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7"/>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7"/>
      <w:bookmarkEnd w:id="10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7"/>
      <w:bookmarkStart w:id="103" w:name="HDR7"/>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7"/>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05" w:name="p2"/>
      <w:bookmarkEnd w:id="105"/>
      <w:r>
        <w:rPr>
          <w:rFonts w:ascii="Times New Roman" w:hAnsi="Times New Roman"/>
          <w:b/>
          <w:sz w:val="20"/>
        </w:rPr>
        <w:t>PART II</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06" w:name="marketfor"/>
      <w:bookmarkEnd w:id="106"/>
      <w:r>
        <w:rPr>
          <w:rFonts w:ascii="Times New Roman" w:hAnsi="Times New Roman"/>
          <w:sz w:val="20"/>
        </w:rPr>
        <w:t>MARKET FOR REGISTRANT’S COMMON EQUITY AND RELATED STOCKHOLDER MATTERS MARKET INFORMATION FOR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is no established public trading market for our securities and a regular trading market may not develop, or if developed, may not be sustained.  A shareholder in all likelihood, therefore, will not be able to resell his or her securities should he or she desire to do so when eligible for public resale.  Furthermore, it is unlikely that a lending institution will accept our securities as pledged collateral for loans unless a regular trading market develops.  We have no plans, proposals, arrangements or understandings with any person with regard to the development of a trading market in any of our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prospectus, Excaliber Enterprises, Ltd. has 5,848,707 shares of $0.001 par value common stock issued and outstanding held by 24 shareholders of record.  Our Transfer Agent is Holliday Stock Transfer, Inc., 2939 N. 67th Place, Suite C, Scottsdale, Arizona 85251, phone (480) 481-3940.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has never declared or paid any cash dividends on its common stock.  For the foreseeable future, Excaliber Enterprises intends to retain any earnings to finance the development and expansion of its business, and it does not anticipate paying any cash dividends on its common stock.  Any future determination to pay dividends will be at the discretion of the Board of Directors and will be dependent upon then existing conditions, including Excaliber Enterprises’ financial condition and results of operations, capital requirements, contractual restrictions, business prospects and other factors that the board of directors considers relevant.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2006, we issued 5,000,000 shares of our common stock to Stephanie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have resultantly been expensed and recorded as a contribution to capital.  At the time of the issuance, Mrs. Jones had fair access to and was in possession of all available material information about our company, as she is an officer and director of Excaliber Enterprises, Ltd.  The shares bear a restrictive transfer legend.  Based on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we sold 100,000 shares of our common stock to Nicole Jones, sister of Matthew Jones and sister-in-law of Stephanie Jones, officers and directors of the company.  The shares were issued at a price of $0.05 per share for total cash in the amount of $5,000.  This September 2006 transaction involved no general solicitation and the shares bear a restrictive transfer legend.  Ms. Nicole Jones was provided fair access to our corporate books and records and was given the opportunity to ask questions of us.  Based on these facts, we claim that the issuance of stock to Ms. Nicole Jones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07" w:name="mdna"/>
      <w:bookmarkEnd w:id="107"/>
      <w:r>
        <w:rPr>
          <w:rFonts w:ascii="Times New Roman" w:hAnsi="Times New Roman"/>
          <w:sz w:val="20"/>
        </w:rPr>
        <w:t>MANAGEMENT’S DISCUSSION AND PLAN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statements contained in all parts of this document that are not historical facts are, or may be deemed to be, "forward-looking statements" within the meaning of  Section 27A of  the Securities Act of 1933 and Section 21E of the Securities Exchange Act of 1934.  Such forward-looking statements include, but are not limited to, those relating to the following: the Company's ability to secure necessary financing; expected growth; future operating expenses; future margins; fluctuations in interest rates; ability to continue to grow and  implement growth, and regarding future growth, cash needs, operations, business plans and financial results and any other statements that are not historical facts.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 w:name="PGBRK8"/>
      <w:bookmarkStart w:id="109" w:name="PGBRK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FTR8"/>
      <w:bookmarkStart w:id="111" w:name="FTR8"/>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 w:name="GLFTR8"/>
      <w:bookmarkEnd w:id="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 w:name="PN8"/>
      <w:bookmarkEnd w:id="11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HDR8"/>
      <w:bookmarkStart w:id="115" w:name="HDR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 w:name="GLHDR8"/>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When used in this document, the words "anticipate," "estimate," "expect," "may," "plans," "project," and similar expressions are intended to be among the statements that identify forward-looking statements.  Excaliber Enterprises, Ltd.’s results may differ significantly from the results discussed in the forward-looking statements.  Such statements involve risks and uncertainties, including, but not limited to, those relating to costs, delays and difficulties related to the Company’s dependence on its ability to attract and retain skilled managers and other personnel; intense competition; the uncertainty of the Company's ability to manage and continue its growth and implement its business strategy; its vulnerability to general economic conditions; accuracy of accounting and other estimates; the Company's future financial and operating results, cash needs and demand for services; and the Company's ability to maintain and comply with permits and licenses; as well as other risk factors described in this Annual Report. Should one or more of these risks or uncertainties materialize, or should underlying assumptions prove incorrect, actual outcomes may vary materially from those projected.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Discussion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were incorporated in the State of Nevada on October 6, 2005.  Since our inception on October 6, 2005 to December 31, 2009, we did not generate any revenues and have incurred various general and administrative costs related to the costs of start-up operations and the execution of our business.  In prior periods, the state of the economy has impeded our ability to develop our operations.  However, during the third quarter of 2009, our officers and directors received informal interest in our gift baskets from prior personal contacts.  As a result, we have attempted to restructure our operational approach, infrastructure and financing requirements, as discussed herein.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total expenses were $21,968, consisting of depreciation expense of $428, related specifically to our computer equipment, and general and administrative costs in the amount of $21,540.  General and administrative expense was comprised primarily of $16,345 in professional fees and $5,000 in accounting fees.  In the comparable year ended December 31, 2008, expenses were $16,386, of which $36 was attributable to depreciation expense and $16,350 in general and administrative expenses.  During this period, general and administrative expenses included $12,208 in professional fees and $4,000 in accounting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inception, we have incurred aggregate operating expenses in the amount of $48,569, of which $464 is due to depreciation expense, $5,000 in executive compensation, related specifically to the issuance of 5,000,000 shares of common stock to Stephanie Jones, an officer and director, for services rendered in June 2006, and general and administrative expenses in the amount of $43,105.  No development related expenses have been or will be paid to our affiliates.  We expect to continue to incur general and administrative expenses for the foreseeable future.  Although we cannot estimate the extent of these costs, we do anticipate expenses rising during the fourth quarter of 2009 and the first half of 2010, related to our renewed pursuit of our business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Provision of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are incorporated in the State of Nevada, we do business in the State of Idaho, which charges a minimum tax payable for $30.  In the years ended December 31, 2009 and 2008, we recorded a provision for income taxes of $30 and $30, respectively.  Since our inception to December 31, 2009, we recorded total provisions for income taxes of $90.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our lack of revenues and incurring ongoing expenses related to the implementation of our business, we have experienced net losses in all periods since our inception.  In the year ended December 31, 2009, our net loss totaled $21,998, compared to a net loss of $16,416 in the year ended December 31, 2008.  Since our inception, we have accumulated a deficit in the amount of $48,659.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Liquidity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believes that our cash on hand as of December 31, 2009 in the amount of $556 is not sufficient to maintain our current minimal level of operations and to execute our planned objectives for the next approximately 12 months.  As of December 31, 2009, we owed $1,000 in accounts payable to vendors and service providers.  Additionally, we have a note payable of $500, owed to a related party that bears no interest and is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continue as a going concern in the independent auditors’ report to the financial statements included in our 10-K.  If our business fails, our investors may face a complete loss of their investment.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9"/>
      <w:bookmarkStart w:id="118" w:name="PGBRK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9"/>
      <w:bookmarkStart w:id="120" w:name="FTR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9"/>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9"/>
      <w:bookmarkEnd w:id="122"/>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9"/>
      <w:bookmarkStart w:id="124" w:name="HDR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 w:name="GLHDR9"/>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an effort to obtain working capital and funds in anticipation of pursuing our plan to establish our brand, which is set forth herein, on August 19, 2009, we entered into a Revolving Line of Credit with a non-related, third party entity for a total of $20,000.  Any principal balance borrowed against the Note accrues interest at a rate of 10% per year.  The entire unpaid balance and interest accrued thereupon are due on September 1, 2010.  As December 31, 2009, we have not drawn any funds on this line of credit and our balance owed is $0.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Unfortunately, despite having secured a line of credit for $20,000, there can be guarantee that we can implement our new strategy or that our strategy will lead to revenues and positive cash flows.  If we are unable to generate cash flows with which to repay the line of credit, as well as our other existing liabilities, or if we require additional capital to maintain or expand our operations, we may need to sell additional equity or debt securities, which may be on terms unfavorable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Plan of Operation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our officers and directors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anticipation of the improving market for gift baskets and increased consumer and business spending, we have secured a revolving line of credit in the amount of $20,000.  We intend to use the funds from this line of credit to implement the following objectives: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Improve our website</w:t>
      </w:r>
      <w:r>
        <w:rPr>
          <w:rFonts w:ascii="Times New Roman" w:hAnsi="Times New Roman"/>
          <w:sz w:val="20"/>
        </w:rPr>
        <w:t>:  We have a website located at www.ExcaliberStore.com to serve as our primary method of attracting customers and generating 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Implement marketing and advertising</w:t>
      </w:r>
      <w:r>
        <w:rPr>
          <w:rFonts w:ascii="Times New Roman" w:hAnsi="Times New Roman"/>
          <w:sz w:val="20"/>
        </w:rPr>
        <w:t>:  Once we determine our approach to e-commerce, we will implement a web advertising campaign using 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expect to incur research and development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currently do not own any significant plant or equipment that we would seek to sell in the near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10"/>
      <w:bookmarkStart w:id="127" w:name="PGBRK10"/>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10"/>
      <w:bookmarkStart w:id="129" w:name="FTR1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 w:name="GLFTR10"/>
      <w:bookmarkEnd w:id="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 w:name="PN10"/>
      <w:bookmarkEnd w:id="131"/>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10"/>
      <w:bookmarkStart w:id="133" w:name="HDR10"/>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 w:name="GLHDR10"/>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paid for expenses on behalf of our directors.  Additionally, we believe that this fact shall not materially change.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currently do not have any material contracts and or affiliations with third parties.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known trends, events or uncertainties that have had or that are reasonably expected to have a material impact on our revenues from continuing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35" w:name="financials"/>
      <w:bookmarkEnd w:id="135"/>
      <w:r>
        <w:rPr>
          <w:rFonts w:ascii="Times New Roman" w:hAnsi="Times New Roman"/>
          <w:sz w:val="20"/>
        </w:rPr>
        <w:t>FINANCIAL STATEMENTS AND SUPPLEMENTARY DATA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documents (pages F-1 to F-12) form part of the report on the Financial Statements</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6736"/>
        <w:gridCol w:w="1428"/>
      </w:tblGrid>
      <w:tr>
        <w:trPr/>
        <w:tc>
          <w:tcPr>
            <w:tcW w:w="6736"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PAGE</w:t>
            </w:r>
          </w:p>
        </w:tc>
      </w:tr>
      <w:tr>
        <w:trPr/>
        <w:tc>
          <w:tcPr>
            <w:tcW w:w="6736"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before="0" w:after="283"/>
              <w:rPr/>
            </w:pPr>
            <w:r>
              <w:rPr/>
              <w:t xml:space="preserve">  </w:t>
            </w:r>
          </w:p>
        </w:tc>
      </w:tr>
      <w:tr>
        <w:trPr/>
        <w:tc>
          <w:tcPr>
            <w:tcW w:w="6736" w:type="dxa"/>
            <w:tcBorders/>
            <w:shd w:fill="CBDBD1" w:val="clear"/>
          </w:tcPr>
          <w:p>
            <w:pPr>
              <w:pStyle w:val="TableContents"/>
              <w:spacing w:before="0" w:after="0"/>
              <w:ind w:left="0" w:right="0" w:hanging="0"/>
              <w:jc w:val="left"/>
              <w:rPr/>
            </w:pPr>
            <w:hyperlink w:anchor="report">
              <w:r>
                <w:rPr>
                  <w:rStyle w:val="InternetLink"/>
                  <w:rFonts w:ascii="times new roman" w:hAnsi="times new roman"/>
                  <w:sz w:val="20"/>
                </w:rPr>
                <w:t>Report of Independent Registered Public Accounting Firm</w:t>
              </w:r>
            </w:hyperlink>
          </w:p>
        </w:tc>
        <w:tc>
          <w:tcPr>
            <w:tcW w:w="1428" w:type="dxa"/>
            <w:tcBorders/>
            <w:shd w:fill="CBDBD1" w:val="clear"/>
          </w:tcPr>
          <w:p>
            <w:pPr>
              <w:pStyle w:val="TableContents"/>
              <w:spacing w:before="0" w:after="0"/>
              <w:ind w:left="0" w:right="0" w:hanging="0"/>
              <w:jc w:val="center"/>
              <w:rPr/>
            </w:pPr>
            <w:hyperlink w:anchor="report">
              <w:r>
                <w:rPr>
                  <w:rStyle w:val="InternetLink"/>
                  <w:rFonts w:ascii="times new roman" w:hAnsi="times new roman"/>
                  <w:sz w:val="20"/>
                </w:rPr>
                <w:t>F-1</w:t>
              </w:r>
            </w:hyperlink>
          </w:p>
        </w:tc>
      </w:tr>
      <w:tr>
        <w:trPr/>
        <w:tc>
          <w:tcPr>
            <w:tcW w:w="6736" w:type="dxa"/>
            <w:tcBorders/>
            <w:shd w:fill="FFFFFF" w:val="clear"/>
          </w:tcPr>
          <w:p>
            <w:pPr>
              <w:pStyle w:val="TableContents"/>
              <w:spacing w:before="0" w:after="0"/>
              <w:ind w:left="0" w:right="0" w:hanging="0"/>
              <w:jc w:val="left"/>
              <w:rPr/>
            </w:pPr>
            <w:hyperlink w:anchor="bs">
              <w:r>
                <w:rPr>
                  <w:rStyle w:val="InternetLink"/>
                  <w:rFonts w:ascii="times new roman" w:hAnsi="times new roman"/>
                  <w:sz w:val="20"/>
                </w:rPr>
                <w:t>Balance Sheets</w:t>
              </w:r>
            </w:hyperlink>
          </w:p>
        </w:tc>
        <w:tc>
          <w:tcPr>
            <w:tcW w:w="1428" w:type="dxa"/>
            <w:tcBorders/>
            <w:shd w:fill="FFFFFF" w:val="clear"/>
          </w:tcPr>
          <w:p>
            <w:pPr>
              <w:pStyle w:val="TableContents"/>
              <w:spacing w:before="0" w:after="0"/>
              <w:ind w:left="0" w:right="0" w:hanging="0"/>
              <w:jc w:val="center"/>
              <w:rPr/>
            </w:pPr>
            <w:hyperlink w:anchor="bs">
              <w:r>
                <w:rPr>
                  <w:rStyle w:val="InternetLink"/>
                  <w:rFonts w:ascii="times new roman" w:hAnsi="times new roman"/>
                  <w:sz w:val="20"/>
                </w:rPr>
                <w:t>F-3</w:t>
              </w:r>
            </w:hyperlink>
          </w:p>
        </w:tc>
      </w:tr>
      <w:tr>
        <w:trPr/>
        <w:tc>
          <w:tcPr>
            <w:tcW w:w="6736" w:type="dxa"/>
            <w:tcBorders/>
            <w:shd w:fill="CBDBD1" w:val="clear"/>
          </w:tcPr>
          <w:p>
            <w:pPr>
              <w:pStyle w:val="TableContents"/>
              <w:spacing w:before="0" w:after="0"/>
              <w:ind w:left="0" w:right="0" w:hanging="0"/>
              <w:jc w:val="left"/>
              <w:rPr/>
            </w:pPr>
            <w:hyperlink w:anchor="sops">
              <w:r>
                <w:rPr>
                  <w:rStyle w:val="InternetLink"/>
                  <w:rFonts w:ascii="times new roman" w:hAnsi="times new roman"/>
                  <w:sz w:val="20"/>
                </w:rPr>
                <w:t>Statements of Operations</w:t>
              </w:r>
            </w:hyperlink>
          </w:p>
        </w:tc>
        <w:tc>
          <w:tcPr>
            <w:tcW w:w="1428" w:type="dxa"/>
            <w:tcBorders/>
            <w:shd w:fill="CBDBD1" w:val="clear"/>
          </w:tcPr>
          <w:p>
            <w:pPr>
              <w:pStyle w:val="TableContents"/>
              <w:spacing w:before="0" w:after="0"/>
              <w:ind w:left="0" w:right="0" w:hanging="0"/>
              <w:jc w:val="center"/>
              <w:rPr/>
            </w:pPr>
            <w:hyperlink w:anchor="sops">
              <w:r>
                <w:rPr>
                  <w:rStyle w:val="InternetLink"/>
                  <w:rFonts w:ascii="times new roman" w:hAnsi="times new roman"/>
                  <w:sz w:val="20"/>
                </w:rPr>
                <w:t>F-4</w:t>
              </w:r>
            </w:hyperlink>
          </w:p>
        </w:tc>
      </w:tr>
      <w:tr>
        <w:trPr/>
        <w:tc>
          <w:tcPr>
            <w:tcW w:w="6736" w:type="dxa"/>
            <w:tcBorders/>
            <w:shd w:fill="FFFFFF" w:val="clear"/>
          </w:tcPr>
          <w:p>
            <w:pPr>
              <w:pStyle w:val="TableContents"/>
              <w:spacing w:before="0" w:after="0"/>
              <w:ind w:left="0" w:right="0" w:hanging="0"/>
              <w:jc w:val="left"/>
              <w:rPr/>
            </w:pPr>
            <w:hyperlink w:anchor="sse">
              <w:r>
                <w:rPr>
                  <w:rStyle w:val="InternetLink"/>
                  <w:rFonts w:ascii="times new roman" w:hAnsi="times new roman"/>
                  <w:sz w:val="20"/>
                </w:rPr>
                <w:t>Statements of Stockholders’ Equity</w:t>
              </w:r>
            </w:hyperlink>
          </w:p>
        </w:tc>
        <w:tc>
          <w:tcPr>
            <w:tcW w:w="1428" w:type="dxa"/>
            <w:tcBorders/>
            <w:shd w:fill="FFFFFF" w:val="clear"/>
          </w:tcPr>
          <w:p>
            <w:pPr>
              <w:pStyle w:val="TableContents"/>
              <w:spacing w:before="0" w:after="0"/>
              <w:ind w:left="0" w:right="0" w:hanging="0"/>
              <w:jc w:val="center"/>
              <w:rPr/>
            </w:pPr>
            <w:hyperlink w:anchor="sse">
              <w:r>
                <w:rPr>
                  <w:rStyle w:val="InternetLink"/>
                  <w:rFonts w:ascii="times new roman" w:hAnsi="times new roman"/>
                  <w:sz w:val="20"/>
                </w:rPr>
                <w:t>F-5</w:t>
              </w:r>
            </w:hyperlink>
          </w:p>
        </w:tc>
      </w:tr>
      <w:tr>
        <w:trPr/>
        <w:tc>
          <w:tcPr>
            <w:tcW w:w="6736" w:type="dxa"/>
            <w:tcBorders/>
            <w:shd w:fill="CBDBD1" w:val="clear"/>
          </w:tcPr>
          <w:p>
            <w:pPr>
              <w:pStyle w:val="TableContents"/>
              <w:spacing w:before="0" w:after="0"/>
              <w:ind w:left="0" w:right="0" w:hanging="0"/>
              <w:jc w:val="left"/>
              <w:rPr/>
            </w:pPr>
            <w:hyperlink w:anchor="cf">
              <w:r>
                <w:rPr>
                  <w:rStyle w:val="InternetLink"/>
                  <w:rFonts w:ascii="times new roman" w:hAnsi="times new roman"/>
                  <w:sz w:val="20"/>
                </w:rPr>
                <w:t>Statements of Cash Flows</w:t>
              </w:r>
            </w:hyperlink>
          </w:p>
        </w:tc>
        <w:tc>
          <w:tcPr>
            <w:tcW w:w="1428" w:type="dxa"/>
            <w:tcBorders/>
            <w:shd w:fill="CBDBD1" w:val="clear"/>
          </w:tcPr>
          <w:p>
            <w:pPr>
              <w:pStyle w:val="TableContents"/>
              <w:spacing w:before="0" w:after="0"/>
              <w:ind w:left="0" w:right="0" w:hanging="0"/>
              <w:jc w:val="center"/>
              <w:rPr/>
            </w:pPr>
            <w:hyperlink w:anchor="cf">
              <w:r>
                <w:rPr>
                  <w:rStyle w:val="InternetLink"/>
                  <w:rFonts w:ascii="times new roman" w:hAnsi="times new roman"/>
                  <w:sz w:val="20"/>
                </w:rPr>
                <w:t>F-6</w:t>
              </w:r>
            </w:hyperlink>
          </w:p>
        </w:tc>
      </w:tr>
      <w:tr>
        <w:trPr/>
        <w:tc>
          <w:tcPr>
            <w:tcW w:w="6736" w:type="dxa"/>
            <w:tcBorders/>
            <w:shd w:fill="FFFFFF" w:val="clear"/>
          </w:tcPr>
          <w:p>
            <w:pPr>
              <w:pStyle w:val="TableContents"/>
              <w:spacing w:before="0" w:after="0"/>
              <w:ind w:left="0" w:right="0" w:hanging="0"/>
              <w:jc w:val="left"/>
              <w:rPr/>
            </w:pPr>
            <w:hyperlink w:anchor="notes">
              <w:r>
                <w:rPr>
                  <w:rStyle w:val="InternetLink"/>
                  <w:rFonts w:ascii="times new roman" w:hAnsi="times new roman"/>
                  <w:sz w:val="20"/>
                </w:rPr>
                <w:t>Footnotes</w:t>
              </w:r>
            </w:hyperlink>
          </w:p>
        </w:tc>
        <w:tc>
          <w:tcPr>
            <w:tcW w:w="1428" w:type="dxa"/>
            <w:tcBorders/>
            <w:shd w:fill="FFFFFF" w:val="clear"/>
          </w:tcPr>
          <w:p>
            <w:pPr>
              <w:pStyle w:val="TableContents"/>
              <w:spacing w:before="0" w:after="0"/>
              <w:ind w:left="0" w:right="0" w:hanging="0"/>
              <w:jc w:val="center"/>
              <w:rPr/>
            </w:pPr>
            <w:hyperlink w:anchor="notes">
              <w:r>
                <w:rPr>
                  <w:rStyle w:val="InternetLink"/>
                  <w:rFonts w:ascii="times new roman" w:hAnsi="times new roman"/>
                  <w:sz w:val="20"/>
                </w:rPr>
                <w:t>F-7</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1"/>
      <w:bookmarkStart w:id="137" w:name="PGBRK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1"/>
      <w:bookmarkStart w:id="139" w:name="FTR11"/>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11"/>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1"/>
      <w:bookmarkEnd w:id="141"/>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1"/>
      <w:bookmarkStart w:id="143" w:name="HDR11"/>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 w:name="GLHDR11"/>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Audited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2"/>
      <w:bookmarkStart w:id="146" w:name="PGBRK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2"/>
      <w:bookmarkStart w:id="148" w:name="FTR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2"/>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12"/>
      <w:bookmarkEnd w:id="150"/>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2"/>
      <w:bookmarkStart w:id="152" w:name="HDR12"/>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 w:name="GLHDR12"/>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245"/>
        <w:gridCol w:w="919"/>
      </w:tblGrid>
      <w:tr>
        <w:trPr/>
        <w:tc>
          <w:tcPr>
            <w:tcW w:w="7245" w:type="dxa"/>
            <w:tcBorders/>
            <w:shd w:fill="auto" w:val="clear"/>
          </w:tcPr>
          <w:p>
            <w:pPr>
              <w:pStyle w:val="TableContents"/>
              <w:spacing w:before="0" w:after="283"/>
              <w:rPr/>
            </w:pPr>
            <w:r>
              <w:rPr/>
              <w:t xml:space="preserve">  </w:t>
            </w:r>
          </w:p>
        </w:tc>
        <w:tc>
          <w:tcPr>
            <w:tcW w:w="91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PAGE</w:t>
            </w:r>
          </w:p>
        </w:tc>
      </w:tr>
      <w:tr>
        <w:trPr/>
        <w:tc>
          <w:tcPr>
            <w:tcW w:w="7245" w:type="dxa"/>
            <w:tcBorders/>
            <w:shd w:fill="auto" w:val="clear"/>
          </w:tcPr>
          <w:p>
            <w:pPr>
              <w:pStyle w:val="TableContents"/>
              <w:spacing w:before="0" w:after="283"/>
              <w:rPr/>
            </w:pPr>
            <w:r>
              <w:rPr/>
              <w:t xml:space="preserve">  </w:t>
            </w:r>
          </w:p>
        </w:tc>
        <w:tc>
          <w:tcPr>
            <w:tcW w:w="919" w:type="dxa"/>
            <w:tcBorders/>
            <w:shd w:fill="auto"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report">
              <w:r>
                <w:rPr>
                  <w:rStyle w:val="InternetLink"/>
                  <w:rFonts w:ascii="times new roman" w:hAnsi="times new roman"/>
                  <w:sz w:val="20"/>
                </w:rPr>
                <w:t>Report of Independent Registered Public Accounting Firm – Weaver &amp; Martin, LLC, CPAs</w:t>
              </w:r>
            </w:hyperlink>
          </w:p>
        </w:tc>
        <w:tc>
          <w:tcPr>
            <w:tcW w:w="919" w:type="dxa"/>
            <w:tcBorders/>
            <w:shd w:fill="CBDBD1" w:val="clear"/>
          </w:tcPr>
          <w:p>
            <w:pPr>
              <w:pStyle w:val="TableContents"/>
              <w:spacing w:before="0" w:after="0"/>
              <w:ind w:left="0" w:right="0" w:hanging="0"/>
              <w:jc w:val="center"/>
              <w:rPr/>
            </w:pPr>
            <w:hyperlink w:anchor="report">
              <w:r>
                <w:rPr>
                  <w:rStyle w:val="InternetLink"/>
                  <w:rFonts w:ascii="times new roman" w:hAnsi="times new roman"/>
                  <w:sz w:val="20"/>
                </w:rPr>
                <w:t>1</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bs">
              <w:r>
                <w:rPr>
                  <w:rStyle w:val="InternetLink"/>
                  <w:rFonts w:ascii="times new roman" w:hAnsi="times new roman"/>
                  <w:sz w:val="20"/>
                </w:rPr>
                <w:t>Balance Sheets</w:t>
              </w:r>
            </w:hyperlink>
          </w:p>
        </w:tc>
        <w:tc>
          <w:tcPr>
            <w:tcW w:w="919" w:type="dxa"/>
            <w:tcBorders/>
            <w:shd w:fill="CBDBD1" w:val="clear"/>
          </w:tcPr>
          <w:p>
            <w:pPr>
              <w:pStyle w:val="TableContents"/>
              <w:spacing w:before="0" w:after="0"/>
              <w:ind w:left="0" w:right="0" w:hanging="0"/>
              <w:jc w:val="center"/>
              <w:rPr/>
            </w:pPr>
            <w:hyperlink w:anchor="bs">
              <w:r>
                <w:rPr>
                  <w:rStyle w:val="InternetLink"/>
                  <w:rFonts w:ascii="times new roman" w:hAnsi="times new roman"/>
                  <w:sz w:val="20"/>
                </w:rPr>
                <w:t>2</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sops">
              <w:r>
                <w:rPr>
                  <w:rStyle w:val="InternetLink"/>
                  <w:rFonts w:ascii="times new roman" w:hAnsi="times new roman"/>
                  <w:sz w:val="20"/>
                </w:rPr>
                <w:t>Statements of Operations</w:t>
              </w:r>
            </w:hyperlink>
          </w:p>
        </w:tc>
        <w:tc>
          <w:tcPr>
            <w:tcW w:w="919" w:type="dxa"/>
            <w:tcBorders/>
            <w:shd w:fill="CBDBD1" w:val="clear"/>
          </w:tcPr>
          <w:p>
            <w:pPr>
              <w:pStyle w:val="TableContents"/>
              <w:spacing w:before="0" w:after="0"/>
              <w:ind w:left="0" w:right="0" w:hanging="0"/>
              <w:jc w:val="center"/>
              <w:rPr/>
            </w:pPr>
            <w:hyperlink w:anchor="sops">
              <w:r>
                <w:rPr>
                  <w:rStyle w:val="InternetLink"/>
                  <w:rFonts w:ascii="times new roman" w:hAnsi="times new roman"/>
                  <w:sz w:val="20"/>
                </w:rPr>
                <w:t>3</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sse">
              <w:r>
                <w:rPr>
                  <w:rStyle w:val="InternetLink"/>
                  <w:rFonts w:ascii="times new roman" w:hAnsi="times new roman"/>
                  <w:sz w:val="20"/>
                </w:rPr>
                <w:t>Statements of Changes in Stockholders’ Equity (Deficit)</w:t>
              </w:r>
            </w:hyperlink>
          </w:p>
        </w:tc>
        <w:tc>
          <w:tcPr>
            <w:tcW w:w="919" w:type="dxa"/>
            <w:tcBorders/>
            <w:shd w:fill="CBDBD1" w:val="clear"/>
          </w:tcPr>
          <w:p>
            <w:pPr>
              <w:pStyle w:val="TableContents"/>
              <w:spacing w:before="0" w:after="0"/>
              <w:ind w:left="0" w:right="0" w:hanging="0"/>
              <w:jc w:val="center"/>
              <w:rPr/>
            </w:pPr>
            <w:hyperlink w:anchor="sse">
              <w:r>
                <w:rPr>
                  <w:rStyle w:val="InternetLink"/>
                  <w:rFonts w:ascii="times new roman" w:hAnsi="times new roman"/>
                  <w:sz w:val="20"/>
                </w:rPr>
                <w:t>4</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cf">
              <w:r>
                <w:rPr>
                  <w:rStyle w:val="InternetLink"/>
                  <w:rFonts w:ascii="times new roman" w:hAnsi="times new roman"/>
                  <w:sz w:val="20"/>
                </w:rPr>
                <w:t>Statements of Cash Flows</w:t>
              </w:r>
            </w:hyperlink>
          </w:p>
        </w:tc>
        <w:tc>
          <w:tcPr>
            <w:tcW w:w="919" w:type="dxa"/>
            <w:tcBorders/>
            <w:shd w:fill="CBDBD1" w:val="clear"/>
          </w:tcPr>
          <w:p>
            <w:pPr>
              <w:pStyle w:val="TableContents"/>
              <w:spacing w:before="0" w:after="0"/>
              <w:ind w:left="0" w:right="0" w:hanging="0"/>
              <w:jc w:val="center"/>
              <w:rPr/>
            </w:pPr>
            <w:hyperlink w:anchor="cf">
              <w:r>
                <w:rPr>
                  <w:rStyle w:val="InternetLink"/>
                  <w:rFonts w:ascii="times new roman" w:hAnsi="times new roman"/>
                  <w:sz w:val="20"/>
                </w:rPr>
                <w:t>5</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notes">
              <w:r>
                <w:rPr>
                  <w:rStyle w:val="InternetLink"/>
                  <w:rFonts w:ascii="times new roman" w:hAnsi="times new roman"/>
                  <w:sz w:val="20"/>
                </w:rPr>
                <w:t>Footnotes</w:t>
              </w:r>
            </w:hyperlink>
          </w:p>
        </w:tc>
        <w:tc>
          <w:tcPr>
            <w:tcW w:w="919" w:type="dxa"/>
            <w:tcBorders/>
            <w:shd w:fill="CBDBD1" w:val="clear"/>
          </w:tcPr>
          <w:p>
            <w:pPr>
              <w:pStyle w:val="TableContents"/>
              <w:spacing w:before="0" w:after="0"/>
              <w:ind w:left="0" w:right="0" w:hanging="0"/>
              <w:jc w:val="center"/>
              <w:rPr/>
            </w:pPr>
            <w:hyperlink w:anchor="notes">
              <w:r>
                <w:rPr>
                  <w:rStyle w:val="InternetLink"/>
                  <w:rFonts w:ascii="times new roman" w:hAnsi="times new roman"/>
                  <w:sz w:val="20"/>
                </w:rPr>
                <w:t>6</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3"/>
      <w:bookmarkStart w:id="155" w:name="PGBRK1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3"/>
      <w:bookmarkStart w:id="157" w:name="FTR13"/>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3"/>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3"/>
      <w:bookmarkEnd w:id="159"/>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3"/>
      <w:bookmarkStart w:id="161" w:name="HDR13"/>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 w:name="GLHDR13"/>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WEAVER &amp; MARTIN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w:t>
      </w:r>
    </w:p>
    <w:p>
      <w:pPr>
        <w:pStyle w:val="TextBody"/>
        <w:spacing w:before="0" w:after="0"/>
        <w:ind w:left="0" w:right="0" w:hanging="0"/>
        <w:jc w:val="left"/>
        <w:rPr>
          <w:rFonts w:ascii="Times New Roman" w:hAnsi="Times New Roman"/>
          <w:sz w:val="20"/>
        </w:rPr>
      </w:pPr>
      <w:r>
        <w:rPr>
          <w:rFonts w:ascii="Times New Roman" w:hAnsi="Times New Roman"/>
          <w:sz w:val="20"/>
        </w:rPr>
        <w:t>Excaliber Enterprises, Ltd.</w:t>
      </w:r>
    </w:p>
    <w:p>
      <w:pPr>
        <w:pStyle w:val="TextBody"/>
        <w:spacing w:before="0" w:after="0"/>
        <w:ind w:left="0" w:right="0" w:hanging="0"/>
        <w:jc w:val="left"/>
        <w:rPr>
          <w:rFonts w:ascii="Times New Roman" w:hAnsi="Times New Roman"/>
          <w:sz w:val="20"/>
        </w:rPr>
      </w:pPr>
      <w:r>
        <w:rPr>
          <w:rFonts w:ascii="Times New Roman" w:hAnsi="Times New Roman"/>
          <w:sz w:val="20"/>
        </w:rPr>
        <w:t>Rathdrum, ID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163" w:name="report"/>
      <w:bookmarkEnd w:id="163"/>
      <w:r>
        <w:rPr>
          <w:rFonts w:ascii="Times New Roman" w:hAnsi="Times New Roman"/>
          <w:sz w:val="20"/>
        </w:rPr>
        <w:t>REPORT OF INDEPENDENT REGISTERED PUBLIC ACCOUNTING FIRM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balance sheet of Excaliber Enterprises, Ltd. (A Development Stage Company) as of December 31, 2009 and 2008 and the related statements of operations, stockholders’ deficit, and cash flows for the years then ended, and the period of October 6, 2005 (Inception) to December 31, 2009.  Excaliber Enterprises, Ltd.’s management is responsible for these financial statements.  Our responsibility is to express an opinion on these financial statements based on our audit.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Our audit of the financial statements includes ex 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financial statements referred to above present fairly, in all material respects, the financial position of Excaliber Enterprises, Ltd. as of December 31, 2009 and 2008 and the results of its operations, stockholders’ deficit, and cash flows for the years then ended and the period of October 6, 2005 (Inception) to December 31, 2009 in conformity with accounting principles generally accepted in the United States of America.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that the Company will continue as a going concern. As discussed in Note 3 to the financial statements, the Company has suffered recurring losses from operations and is dependent upon the continued sale of its securities or obtaining debt financing for funds to meet its cash requirements. These factors raise substantial doubt about the Company’s ability to continue as a going concern.  The financial statements do not include any adjustments that might result from the outcome of this uncertainty.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Weaver &amp; Martin,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Weaver &amp; Martin, LLC</w:t>
      </w:r>
    </w:p>
    <w:p>
      <w:pPr>
        <w:pStyle w:val="TextBody"/>
        <w:spacing w:before="0" w:after="0"/>
        <w:ind w:left="0" w:right="0" w:hanging="0"/>
        <w:jc w:val="left"/>
        <w:rPr>
          <w:rFonts w:ascii="Times New Roman" w:hAnsi="Times New Roman"/>
          <w:sz w:val="20"/>
        </w:rPr>
      </w:pPr>
      <w:r>
        <w:rPr>
          <w:rFonts w:ascii="Times New Roman" w:hAnsi="Times New Roman"/>
          <w:sz w:val="20"/>
        </w:rPr>
        <w:t>Kansas City, Missouri</w:t>
      </w:r>
    </w:p>
    <w:p>
      <w:pPr>
        <w:pStyle w:val="TextBody"/>
        <w:spacing w:before="0" w:after="0"/>
        <w:ind w:left="0" w:right="0" w:hanging="0"/>
        <w:jc w:val="left"/>
        <w:rPr>
          <w:rFonts w:ascii="Times New Roman" w:hAnsi="Times New Roman"/>
          <w:sz w:val="20"/>
        </w:rPr>
      </w:pPr>
      <w:r>
        <w:rPr>
          <w:rFonts w:ascii="Times New Roman" w:hAnsi="Times New Roman"/>
          <w:sz w:val="20"/>
        </w:rPr>
        <w:t>March 17,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 w:name="PGBRK14"/>
      <w:bookmarkStart w:id="165" w:name="PGBRK14"/>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FTR14"/>
      <w:bookmarkStart w:id="167" w:name="FTR14"/>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 w:name="GLFTR14"/>
      <w:bookmarkEnd w:id="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9" w:name="PN14"/>
      <w:bookmarkEnd w:id="169"/>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HDR14"/>
      <w:bookmarkStart w:id="171" w:name="HDR14"/>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2" w:name="GLHDR14"/>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73" w:name="bs"/>
      <w:bookmarkEnd w:id="173"/>
      <w:r>
        <w:rPr>
          <w:rFonts w:ascii="Times New Roman" w:hAnsi="Times New Roman"/>
          <w:b/>
          <w:sz w:val="20"/>
        </w:rPr>
        <w:t>Balance Sheets</w:t>
      </w:r>
    </w:p>
    <w:p>
      <w:pPr>
        <w:pStyle w:val="TextBody"/>
        <w:spacing w:before="0" w:after="0"/>
        <w:ind w:left="0" w:right="0" w:hanging="0"/>
        <w:rPr/>
      </w:pPr>
      <w:r>
        <w:rPr/>
        <w:t> </w:t>
      </w:r>
    </w:p>
    <w:tbl>
      <w:tblPr>
        <w:tblW w:w="4500" w:type="pct"/>
        <w:jc w:val="center"/>
        <w:tblInd w:w="0" w:type="dxa"/>
        <w:tblCellMar>
          <w:top w:w="0" w:type="dxa"/>
          <w:left w:w="0" w:type="dxa"/>
          <w:bottom w:w="0" w:type="dxa"/>
          <w:right w:w="0" w:type="dxa"/>
        </w:tblCellMar>
      </w:tblPr>
      <w:tblGrid>
        <w:gridCol w:w="6585"/>
        <w:gridCol w:w="102"/>
        <w:gridCol w:w="125"/>
        <w:gridCol w:w="959"/>
        <w:gridCol w:w="109"/>
        <w:gridCol w:w="102"/>
        <w:gridCol w:w="125"/>
        <w:gridCol w:w="959"/>
        <w:gridCol w:w="118"/>
      </w:tblGrid>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w:t>
            </w:r>
            <w:r>
              <w:rPr>
                <w:rFonts w:ascii="times new roman" w:hAnsi="times new roman"/>
                <w:b/>
                <w:sz w:val="20"/>
              </w:rPr>
              <w:t>assets</w:t>
            </w:r>
            <w:r>
              <w:rPr>
                <w:rFonts w:ascii="times new roman" w:hAnsi="times new roman"/>
                <w:sz w:val="20"/>
              </w:rPr>
              <w:t>:</w:t>
            </w:r>
          </w:p>
        </w:tc>
        <w:tc>
          <w:tcPr>
            <w:tcW w:w="102" w:type="dxa"/>
            <w:tcBorders/>
            <w:shd w:fill="CBDBD1" w:val="clear"/>
            <w:vAlign w:val="bottom"/>
          </w:tcPr>
          <w:p>
            <w:pPr>
              <w:pStyle w:val="TableContents"/>
              <w:spacing w:before="0" w:after="283"/>
              <w:rPr/>
            </w:pPr>
            <w:r>
              <w:rPr/>
              <w:t> </w:t>
            </w:r>
          </w:p>
        </w:tc>
        <w:tc>
          <w:tcPr>
            <w:tcW w:w="1084" w:type="dxa"/>
            <w:gridSpan w:val="2"/>
            <w:tcBorders/>
            <w:shd w:fill="CBDBD1" w:val="clear"/>
            <w:vAlign w:val="bottom"/>
          </w:tcPr>
          <w:p>
            <w:pPr>
              <w:pStyle w:val="TableContents"/>
              <w:spacing w:before="0" w:after="283"/>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084" w:type="dxa"/>
            <w:gridSpan w:val="2"/>
            <w:tcBorders/>
            <w:shd w:fill="CBDBD1" w:val="clear"/>
            <w:vAlign w:val="bottom"/>
          </w:tcPr>
          <w:p>
            <w:pPr>
              <w:pStyle w:val="TableContents"/>
              <w:spacing w:before="0" w:after="283"/>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Fixed assets, net of accumulated depreciation of $464</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and $36 as of 12/31/09 and 12/31/08, respectively</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1,248</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23,060</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 (Deficit)</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Notes payable – related party</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 $0.001 par value, 200,000,000 shares</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authorized, 5,848,700 and 5,100,000 shares issued</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and outstanding as of 12/31/08 and 12/31/07</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41,186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(26,661</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stockholders’ equity (deficit)</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0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20,374</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 (deficit)</w:t>
            </w:r>
          </w:p>
        </w:tc>
        <w:tc>
          <w:tcPr>
            <w:tcW w:w="102"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23,060</w:t>
            </w:r>
          </w:p>
        </w:tc>
        <w:tc>
          <w:tcPr>
            <w:tcW w:w="118" w:type="dxa"/>
            <w:tcBorders/>
            <w:shd w:fill="CBDBD1"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4" w:name="PGBRK15"/>
      <w:bookmarkStart w:id="175" w:name="PGBRK15"/>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FTR15"/>
      <w:bookmarkStart w:id="177" w:name="FTR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 w:name="GLFTR15"/>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 w:name="PN15"/>
      <w:bookmarkEnd w:id="17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HDR15"/>
      <w:bookmarkStart w:id="181" w:name="HDR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 w:name="GLHDR15"/>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83" w:name="sops"/>
      <w:bookmarkEnd w:id="183"/>
      <w:r>
        <w:rPr>
          <w:rFonts w:ascii="Times New Roman" w:hAnsi="Times New Roman"/>
          <w:b/>
          <w:sz w:val="20"/>
        </w:rPr>
        <w:t>Statements of Operations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4666"/>
        <w:gridCol w:w="102"/>
        <w:gridCol w:w="149"/>
        <w:gridCol w:w="1144"/>
        <w:gridCol w:w="117"/>
        <w:gridCol w:w="102"/>
        <w:gridCol w:w="149"/>
        <w:gridCol w:w="1144"/>
        <w:gridCol w:w="117"/>
        <w:gridCol w:w="102"/>
        <w:gridCol w:w="213"/>
        <w:gridCol w:w="1044"/>
        <w:gridCol w:w="135"/>
      </w:tblGrid>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years ended</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Expenses:</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Depreciation expense</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Executive compensation</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General and administrative expenses</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21,540</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16,350</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43,105</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Total expenses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21,968</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16,386</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48,569</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(Loss) before 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(21,968</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(16,386</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(48,569</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(loss)</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common shares outstanding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5,202,282</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 w:name="PGBRK16"/>
      <w:bookmarkStart w:id="185" w:name="PGBRK16"/>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FTR16"/>
      <w:bookmarkStart w:id="187" w:name="FTR16"/>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8" w:name="GLFTR16"/>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 w:name="PN16"/>
      <w:bookmarkEnd w:id="18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HDR16"/>
      <w:bookmarkStart w:id="191" w:name="HDR16"/>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2" w:name="GLHDR16"/>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93" w:name="sse"/>
      <w:bookmarkEnd w:id="193"/>
      <w:r>
        <w:rPr>
          <w:rFonts w:ascii="Times New Roman" w:hAnsi="Times New Roman"/>
          <w:b/>
          <w:sz w:val="20"/>
        </w:rPr>
        <w:t>Statements of Stockholders’ Equity (Deficit)</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2488"/>
        <w:gridCol w:w="89"/>
        <w:gridCol w:w="89"/>
        <w:gridCol w:w="1035"/>
        <w:gridCol w:w="89"/>
        <w:gridCol w:w="89"/>
        <w:gridCol w:w="148"/>
        <w:gridCol w:w="805"/>
        <w:gridCol w:w="89"/>
        <w:gridCol w:w="89"/>
        <w:gridCol w:w="162"/>
        <w:gridCol w:w="960"/>
        <w:gridCol w:w="104"/>
        <w:gridCol w:w="89"/>
        <w:gridCol w:w="179"/>
        <w:gridCol w:w="1103"/>
        <w:gridCol w:w="104"/>
        <w:gridCol w:w="89"/>
        <w:gridCol w:w="176"/>
        <w:gridCol w:w="1084"/>
        <w:gridCol w:w="124"/>
      </w:tblGrid>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225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During</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2255" w:type="dxa"/>
            <w:gridSpan w:val="6"/>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Paid-in</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Stockholders’</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Equity</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(5,431</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4,669</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December 31, 2007</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(4,814</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(4,814</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(10,245</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2008</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Issued for cash</w:t>
            </w:r>
          </w:p>
        </w:tc>
        <w:tc>
          <w:tcPr>
            <w:tcW w:w="89"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748,707</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749</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36,686</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37,435</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2008</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Offering costs</w:t>
            </w:r>
          </w:p>
        </w:tc>
        <w:tc>
          <w:tcPr>
            <w:tcW w:w="89"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December 31, 2008</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89"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41,186</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(26,661</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20,374</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2009</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89"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89" w:type="dxa"/>
            <w:tcBorders/>
            <w:shd w:fill="FFFFFF" w:val="clear"/>
            <w:vAlign w:val="bottom"/>
          </w:tcPr>
          <w:p>
            <w:pPr>
              <w:pStyle w:val="TableContents"/>
              <w:spacing w:before="0" w:after="283"/>
              <w:jc w:val="right"/>
              <w:rPr/>
            </w:pPr>
            <w:r>
              <w:rPr/>
              <w:t> </w:t>
            </w:r>
          </w:p>
        </w:tc>
        <w:tc>
          <w:tcPr>
            <w:tcW w:w="8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89" w:type="dxa"/>
            <w:tcBorders/>
            <w:shd w:fill="FFFFFF" w:val="clear"/>
            <w:vAlign w:val="bottom"/>
          </w:tcPr>
          <w:p>
            <w:pPr>
              <w:pStyle w:val="TableContents"/>
              <w:spacing w:before="0" w:after="283"/>
              <w:jc w:val="right"/>
              <w:rPr/>
            </w:pPr>
            <w:r>
              <w:rPr/>
              <w:t> </w:t>
            </w:r>
          </w:p>
        </w:tc>
        <w:tc>
          <w:tcPr>
            <w:tcW w:w="8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17"/>
      <w:bookmarkStart w:id="195" w:name="PGBRK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7"/>
      <w:bookmarkStart w:id="197" w:name="FTR1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 w:name="GLFTR17"/>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7"/>
      <w:bookmarkEnd w:id="19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7"/>
      <w:bookmarkStart w:id="201" w:name="HD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2" w:name="GLHDR17"/>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03" w:name="cf"/>
      <w:bookmarkEnd w:id="203"/>
      <w:r>
        <w:rPr>
          <w:rFonts w:ascii="Times New Roman" w:hAnsi="Times New Roman"/>
          <w:b/>
          <w:sz w:val="20"/>
        </w:rPr>
        <w:t>Statements of Cash Flows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5311"/>
        <w:gridCol w:w="98"/>
        <w:gridCol w:w="125"/>
        <w:gridCol w:w="931"/>
        <w:gridCol w:w="106"/>
        <w:gridCol w:w="98"/>
        <w:gridCol w:w="125"/>
        <w:gridCol w:w="931"/>
        <w:gridCol w:w="106"/>
        <w:gridCol w:w="98"/>
        <w:gridCol w:w="124"/>
        <w:gridCol w:w="1012"/>
        <w:gridCol w:w="119"/>
      </w:tblGrid>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3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year ended</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3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1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cash (used) by operating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Decrease in accounts payable</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(1,186</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operating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(22,756</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(14,434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(42,195</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Purchase of fixed assets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1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investing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Proceeds from note payable</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Issuances of common stock</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36,935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41,935</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37,435</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44,035</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(21,256</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21,717</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beginning</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ending</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Income taxes paid</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transactions: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Number of shares issued for services</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36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8"/>
      <w:bookmarkStart w:id="205" w:name="PGBRK18"/>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8"/>
      <w:bookmarkStart w:id="207" w:name="FTR1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8" w:name="GLFTR18"/>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9" w:name="PN18"/>
      <w:bookmarkEnd w:id="209"/>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HDR18"/>
      <w:bookmarkStart w:id="211" w:name="HD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2" w:name="GLHD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13" w:name="notes"/>
      <w:bookmarkEnd w:id="213"/>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1 – History and organization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organized October 6, 2005 (Date of Inception) under the laws of the State of Nevada, as Excalibur Enterprises, Ltd.  The Company is authorized to issue up to 200,000,000 shares of its common stock with a par value of $0.001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maintains a cash balance in a non-interest-bearing account that currently does not exceed federally insured limits.  For the purpose of the statements of cash flows, all highly liquid investments with an original maturity of three months or less are considered to be cash equivalents.  There were no cash equivalents as of December 31, 2009 and 2008.</w:t>
      </w:r>
    </w:p>
    <w:p>
      <w:pPr>
        <w:pStyle w:val="TextBody"/>
        <w:spacing w:before="0" w:after="0"/>
        <w:ind w:left="0" w:right="0" w:hanging="0"/>
        <w:rPr/>
      </w:pPr>
      <w:r>
        <w:rPr/>
      </w:r>
    </w:p>
    <w:p>
      <w:pPr>
        <w:pStyle w:val="Normal"/>
        <w:spacing w:before="0" w:after="0"/>
        <w:rPr>
          <w:sz w:val="4"/>
          <w:szCs w:val="4"/>
        </w:rPr>
      </w:pPr>
      <w:r>
        <w:rPr>
          <w:sz w:val="4"/>
          <w:szCs w:val="4"/>
        </w:rPr>
      </w:r>
      <w:bookmarkStart w:id="214" w:name="hangingindent11"/>
      <w:bookmarkStart w:id="215" w:name="hangingindent11"/>
      <w:bookmarkEnd w:id="21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sz w:val="20"/>
                <w:u w:val="single"/>
              </w:rPr>
            </w:pPr>
            <w:r>
              <w:rPr>
                <w:rFonts w:ascii="times new roman" w:hAnsi="times new roman"/>
                <w:sz w:val="20"/>
                <w:u w:val="single"/>
              </w:rPr>
              <w:t>Concentrations of Risks: Cash Balances</w:t>
            </w:r>
          </w:p>
        </w:tc>
      </w:tr>
    </w:tbl>
    <w:p>
      <w:pPr>
        <w:pStyle w:val="TextBody"/>
        <w:spacing w:before="0" w:after="0"/>
        <w:ind w:left="0" w:right="0" w:hanging="0"/>
        <w:jc w:val="both"/>
        <w:rPr>
          <w:rFonts w:ascii="Times New Roman" w:hAnsi="Times New Roman"/>
          <w:sz w:val="20"/>
        </w:rPr>
      </w:pPr>
      <w:r>
        <w:rPr>
          <w:rFonts w:ascii="Times New Roman" w:hAnsi="Times New Roman"/>
          <w:sz w:val="20"/>
        </w:rPr>
        <w:t>The Company maintains its cash in institutions insured by the Federal Deposit Insurance Corporation (FDIC).  This government corporation insured balances up to $100,000 through October 13, 2008.  As of October 14, 2008 all non-interest bearing transaction deposit accounts at an FDIC-insured institution, including all personal and business checking deposit accounts that do not earn interest, are fully insured for the entire amount in the deposit account.  This unlimited insurance coverage is temporary and will remain in effect for participating institutions until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other deposit accounts at FDIC-insured institutions are insured up to at least $250,000 per depositor until December 31, 2009.  On January 1, 2010, FDIC deposit insurance for all deposit accounts, except for certain retirement accounts, will return to at least $100,000 per depositor.  Insurance coverage for certain retirement accounts, which include all IRA deposit accounts, will remain at $250,000 per depositor.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Impairment of long-lived assets</w:t>
      </w:r>
    </w:p>
    <w:p>
      <w:pPr>
        <w:pStyle w:val="TextBody"/>
        <w:spacing w:before="0" w:after="0"/>
        <w:ind w:left="0" w:right="0" w:hanging="0"/>
        <w:jc w:val="both"/>
        <w:rPr>
          <w:rFonts w:ascii="Times New Roman" w:hAnsi="Times New Roman"/>
          <w:sz w:val="20"/>
        </w:rPr>
      </w:pPr>
      <w:r>
        <w:rPr>
          <w:rFonts w:ascii="Times New Roman" w:hAnsi="Times New Roman"/>
          <w:sz w:val="20"/>
        </w:rPr>
        <w:t>Long-lived assets held and used by the Company are reviewed for possible impairment whenever events or circumstances indicate the carrying amount of an asset may not be recoverable or is impaired.  No such impairments have been identified by management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Revenue recognition</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and gains when earned and related costs of sales and expenses when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Advertising costs</w:t>
      </w:r>
    </w:p>
    <w:p>
      <w:pPr>
        <w:pStyle w:val="TextBody"/>
        <w:spacing w:before="0" w:after="0"/>
        <w:ind w:left="0" w:right="0" w:hanging="0"/>
        <w:jc w:val="both"/>
        <w:rPr>
          <w:rFonts w:ascii="Times New Roman" w:hAnsi="Times New Roman"/>
          <w:sz w:val="20"/>
        </w:rPr>
      </w:pPr>
      <w:r>
        <w:rPr>
          <w:rFonts w:ascii="Times New Roman" w:hAnsi="Times New Roman"/>
          <w:sz w:val="20"/>
        </w:rPr>
        <w:t>The Company expenses all costs of advertising as incurred.  There were no advertising costs included in selling, general and administrative expenses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Loss per share</w:t>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is computed by dividing losses available to common stockholders by the weighted average number of common shares outstanding during the period.  Diluted EPS is computed by adding to the weighted average shares the dilutive effect if stock warrants were exercised into common stock.  For the years ended December 31, 2009 and 2008, the denominator in the diluted EPS computation is the same as the denominator for basic EPS due to the anti-dilutive effect of the warrants on the Company’s net loss.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 w:name="PGBRK19"/>
      <w:bookmarkStart w:id="217" w:name="PGBRK19"/>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FTR19"/>
      <w:bookmarkStart w:id="219" w:name="FTR19"/>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 w:name="GLFTR19"/>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1" w:name="PN19"/>
      <w:bookmarkEnd w:id="22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HDR19"/>
      <w:bookmarkStart w:id="223" w:name="HDR19"/>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 w:name="GLHDR19"/>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 (continued)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jc w:val="both"/>
        <w:rPr>
          <w:rFonts w:ascii="Times New Roman" w:hAnsi="Times New Roman"/>
          <w:sz w:val="20"/>
        </w:rPr>
      </w:pPr>
      <w:r>
        <w:rPr>
          <w:rFonts w:ascii="Times New Roman" w:hAnsi="Times New Roman"/>
          <w:sz w:val="20"/>
        </w:rPr>
        <w:t>Fair value estimates discussed herein are based upon certain market assumptions and pertinent information available to management as of December 31, 2009 and 2008.  The respective carrying value of certain on-balance-sheet financial instruments approximated their fair values. Fair values were assumed to approximate carrying values for cash and payables because they are short term in nature and their carrying amounts approximate fair values or they are payable on demand.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FASB Codification Topic 740-10-25 (ASC 740-10-25)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Deferred income taxes may arise from temporary differences resulting from income and expense items reported for financial accounting and tax purposes in different periods.  Deferred taxes are classified as current or non-current, depending on the classification of assets and liabilities to which they relate.  Deferred taxes arising from temporary differences that are not related to an asset or liability are classified as current or non-current depending on the periods in which the temporary differences are expected to reverse.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General and administrative expenses</w:t>
      </w:r>
    </w:p>
    <w:p>
      <w:pPr>
        <w:pStyle w:val="TextBody"/>
        <w:spacing w:before="0" w:after="0"/>
        <w:ind w:left="0" w:right="0" w:hanging="0"/>
        <w:jc w:val="both"/>
        <w:rPr>
          <w:rFonts w:ascii="Times New Roman" w:hAnsi="Times New Roman"/>
          <w:sz w:val="20"/>
        </w:rPr>
      </w:pPr>
      <w:r>
        <w:rPr>
          <w:rFonts w:ascii="Times New Roman" w:hAnsi="Times New Roman"/>
          <w:sz w:val="20"/>
        </w:rPr>
        <w:t>The significant components of general and administrative expenses consists of meals and entertainment expenses, legal and professional fees, outside services, office supplies, postage, and travel expenses.</w:t>
      </w:r>
    </w:p>
    <w:p>
      <w:pPr>
        <w:pStyle w:val="TextBody"/>
        <w:spacing w:before="0" w:after="0"/>
        <w:ind w:left="0" w:right="0" w:hanging="0"/>
        <w:rPr/>
      </w:pPr>
      <w:r>
        <w:rPr/>
      </w:r>
    </w:p>
    <w:p>
      <w:pPr>
        <w:pStyle w:val="Normal"/>
        <w:spacing w:before="0" w:after="0"/>
        <w:rPr>
          <w:sz w:val="4"/>
          <w:szCs w:val="4"/>
        </w:rPr>
      </w:pPr>
      <w:r>
        <w:rPr>
          <w:sz w:val="4"/>
          <w:szCs w:val="4"/>
        </w:rPr>
      </w:r>
      <w:bookmarkStart w:id="225" w:name="hangingindent12"/>
      <w:bookmarkStart w:id="226" w:name="hangingindent12"/>
      <w:bookmarkEnd w:id="226"/>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u w:val="single"/>
              </w:rPr>
            </w:pPr>
            <w:r>
              <w:rPr>
                <w:rFonts w:ascii="times new roman" w:hAnsi="times new roman"/>
                <w:sz w:val="20"/>
                <w:u w:val="single"/>
              </w:rPr>
              <w:t>Dividends</w:t>
            </w:r>
          </w:p>
        </w:tc>
      </w:tr>
    </w:tbl>
    <w:p>
      <w:pPr>
        <w:pStyle w:val="TextBody"/>
        <w:spacing w:before="0" w:after="0"/>
        <w:ind w:left="0" w:right="0" w:hanging="0"/>
        <w:jc w:val="both"/>
        <w:rPr>
          <w:rFonts w:ascii="Times New Roman" w:hAnsi="Times New Roman"/>
          <w:sz w:val="20"/>
        </w:rPr>
      </w:pPr>
      <w:r>
        <w:rPr>
          <w:rFonts w:ascii="Times New Roman" w:hAnsi="Times New Roman"/>
          <w:sz w:val="20"/>
        </w:rPr>
        <w:t>The Company has not yet adopted any policy regarding payment of dividends.  No dividends have been paid or declared since inception.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Recently Issued Accounting Pronouncements</w:t>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ASC 105 Accounting Standards Codification TM and the Hierarchy of Generally Accepted Accounting Principles. The FASB Accounting Standards Codification TM (the “Codification”) has become the source of authoritative accounting principles recognized by the FASB to be applied by nongovernmental entities in the preparation of financial statements in accordance with Generally Accepted Accounting Principles (“GAAP”). All existing accounting standard documents are superseded by the Codification and any accounting literature not included in the Codification will not be authoritative. Rules and interpretive releases of the SEC issued under the authority of federal securities laws, however, will continue to be the source of authoritative generally accepted accounting principles for SEC re gistrants. Effective September 30, 2009, all references made to GAAP in our consolidated financial statements will include references to the new Codification. The Codification does not change or alter existing GAAP and, therefore, will not have an impact on our financial position, results of operations or cash flows.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7" w:name="PGBRK20"/>
      <w:bookmarkStart w:id="228" w:name="PGBRK20"/>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FTR20"/>
      <w:bookmarkStart w:id="230" w:name="FTR20"/>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1" w:name="GLFTR20"/>
      <w:bookmarkEnd w:id="2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2" w:name="PN20"/>
      <w:bookmarkEnd w:id="232"/>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HDR20"/>
      <w:bookmarkStart w:id="234" w:name="HDR20"/>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5" w:name="GLHDR20"/>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 (continued)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Recently Issued Accounting Pronouncements (continued)</w:t>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changes to the consolidation guidance applicable to a variable interest entity (VIE). FASB ASC Topic 810, "Consolidation," amends the guidance governing the determination of whether an enterprise is the primary beneficiary of a VIE, and is, therefore, required to consolidate an entity, by requiring a qualitative analysis rather than a quantitative analysis. The qualitative analysis will include, among other things, consideration of who has the power to direct the activities of the entity that most significantly impact the entity's economic performance and who has the obligation to absorb losses or the right to receive benefits of the VIE that could potentially be significant to the VIE. This standard also requires continuous reassessments of whether an enterprise is the primary beneficiary of a VIE. FASB A SC 810 also requires enhanced disclosures about an enterprise's involvement with a VIE. Topic 810 is effective as of the beginning of interim and annual reporting periods that begin after November 15, 2009. This will not have an impact on the Company’s financial position, results of operations or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Financial Accounting Standards Codification No. 860 - Transfers and Servicing. FASB ASC No. 860 improves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FASB ASC No. 860 is effective as of the beginning of each reporting entity's first annual reporting period that begins after November 15, 2009, for interim periods within that first annual reporting period and for interim and annual reporting periods thereafter. The Company is evaluating the impact the adoption of FASB ASC No. 860 will have on its fina 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Year end</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adopted December 31 as its fiscal year end.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the Company will continue as a going concern.  As shown in the accompanying financial statements, the Company has incurred a net loss of ($48,659) for the period from October 6, 2005 (inception) to December 31, 2009, and had no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order to continue as a going concern, the Company will need, among other things, additional capital resources.  On August 19, 2009, the Company secured a Revolving Line of Credit for $20,000 with a non-related third-party entity, the terms of which are discussed in Note 5 – Debt and Interest Expense.  Nonetheless, the Company is significantly dependent upon its ability, and will continue to attempt, to secure equity and/or debt financing.  There are no assurances that the Company will be successful and without sufficient financing it would be unlikely for the Company to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6" w:name="PGBRK21"/>
      <w:bookmarkStart w:id="237" w:name="PGBRK21"/>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FTR21"/>
      <w:bookmarkStart w:id="239" w:name="FTR2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0" w:name="GLFTR21"/>
      <w:bookmarkEnd w:id="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1" w:name="PN21"/>
      <w:bookmarkEnd w:id="241"/>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HDR21"/>
      <w:bookmarkStart w:id="243" w:name="HDR21"/>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4" w:name="GLHDR21"/>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4 –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years ended December 31, 2009 and 2008, the Company incurred net operating losses and, accordingly, no provision for income taxes has been recorded. In addition, no benefit for income taxes has been recorded due to the uncertainty of the realization of any tax assets. At December 31, 2009 and 2008, the Company had approximately $48,659 and $26,661 of federal and state net operating losses. The net operating loss carryforwards, if not utilized, will begin to expire in 2025.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components of the Company’s deferred tax asset are as follows: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6581"/>
        <w:gridCol w:w="103"/>
        <w:gridCol w:w="128"/>
        <w:gridCol w:w="975"/>
        <w:gridCol w:w="111"/>
        <w:gridCol w:w="103"/>
        <w:gridCol w:w="128"/>
        <w:gridCol w:w="935"/>
        <w:gridCol w:w="120"/>
      </w:tblGrid>
      <w:tr>
        <w:trPr/>
        <w:tc>
          <w:tcPr>
            <w:tcW w:w="658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38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20" w:type="dxa"/>
            <w:tcBorders/>
            <w:shd w:fill="auto" w:val="clear"/>
            <w:vAlign w:val="bottom"/>
          </w:tcPr>
          <w:p>
            <w:pPr>
              <w:pStyle w:val="TableContents"/>
              <w:spacing w:before="0" w:after="283"/>
              <w:jc w:val="left"/>
              <w:rPr/>
            </w:pPr>
            <w:r>
              <w:rPr/>
              <w:t> </w:t>
            </w:r>
          </w:p>
        </w:tc>
      </w:tr>
      <w:tr>
        <w:trPr/>
        <w:tc>
          <w:tcPr>
            <w:tcW w:w="658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1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2009</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2008</w:t>
            </w:r>
          </w:p>
        </w:tc>
        <w:tc>
          <w:tcPr>
            <w:tcW w:w="120" w:type="dxa"/>
            <w:tcBorders/>
            <w:shd w:fill="auto" w:val="clear"/>
            <w:vAlign w:val="bottom"/>
          </w:tcPr>
          <w:p>
            <w:pPr>
              <w:pStyle w:val="TableContents"/>
              <w:spacing w:before="0" w:after="283"/>
              <w:jc w:val="left"/>
              <w:rPr/>
            </w:pPr>
            <w:r>
              <w:rPr/>
              <w:t> </w:t>
            </w:r>
          </w:p>
        </w:tc>
      </w:tr>
      <w:tr>
        <w:trPr/>
        <w:tc>
          <w:tcPr>
            <w:tcW w:w="658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3"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58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operating loss carryforwards</w:t>
            </w:r>
          </w:p>
        </w:tc>
        <w:tc>
          <w:tcPr>
            <w:tcW w:w="103" w:type="dxa"/>
            <w:tcBorders/>
            <w:shd w:fill="CBDBD1" w:val="clear"/>
            <w:vAlign w:val="bottom"/>
          </w:tcPr>
          <w:p>
            <w:pPr>
              <w:pStyle w:val="TableContents"/>
              <w:spacing w:before="0" w:after="283"/>
              <w:jc w:val="right"/>
              <w:rPr/>
            </w:pPr>
            <w:r>
              <w:rPr/>
              <w:t> </w:t>
            </w:r>
          </w:p>
        </w:tc>
        <w:tc>
          <w:tcPr>
            <w:tcW w:w="12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14,598</w:t>
            </w:r>
          </w:p>
        </w:tc>
        <w:tc>
          <w:tcPr>
            <w:tcW w:w="111" w:type="dxa"/>
            <w:tcBorders/>
            <w:shd w:fill="CBDBD1" w:val="clear"/>
            <w:vAlign w:val="bottom"/>
          </w:tcPr>
          <w:p>
            <w:pPr>
              <w:pStyle w:val="TableContents"/>
              <w:spacing w:before="0" w:after="283"/>
              <w:jc w:val="left"/>
              <w:rPr/>
            </w:pPr>
            <w:r>
              <w:rPr/>
              <w:t> </w:t>
            </w:r>
          </w:p>
        </w:tc>
        <w:tc>
          <w:tcPr>
            <w:tcW w:w="103" w:type="dxa"/>
            <w:tcBorders/>
            <w:shd w:fill="CBDBD1" w:val="clear"/>
            <w:vAlign w:val="bottom"/>
          </w:tcPr>
          <w:p>
            <w:pPr>
              <w:pStyle w:val="TableContents"/>
              <w:spacing w:before="0" w:after="283"/>
              <w:jc w:val="right"/>
              <w:rPr/>
            </w:pPr>
            <w:r>
              <w:rPr/>
              <w:t> </w:t>
            </w:r>
          </w:p>
        </w:tc>
        <w:tc>
          <w:tcPr>
            <w:tcW w:w="12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20" w:type="dxa"/>
            <w:tcBorders/>
            <w:shd w:fill="CBDBD1" w:val="clear"/>
            <w:vAlign w:val="bottom"/>
          </w:tcPr>
          <w:p>
            <w:pPr>
              <w:pStyle w:val="TableContents"/>
              <w:spacing w:before="0" w:after="283"/>
              <w:jc w:val="left"/>
              <w:rPr/>
            </w:pPr>
            <w:r>
              <w:rPr/>
              <w:t> </w:t>
            </w:r>
          </w:p>
        </w:tc>
      </w:tr>
      <w:tr>
        <w:trPr/>
        <w:tc>
          <w:tcPr>
            <w:tcW w:w="658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03"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(14,598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8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deferred tax assets</w:t>
            </w:r>
          </w:p>
        </w:tc>
        <w:tc>
          <w:tcPr>
            <w:tcW w:w="103" w:type="dxa"/>
            <w:tcBorders/>
            <w:shd w:fill="CBDBD1" w:val="clear"/>
            <w:vAlign w:val="bottom"/>
          </w:tcPr>
          <w:p>
            <w:pPr>
              <w:pStyle w:val="TableContents"/>
              <w:spacing w:before="0" w:after="283"/>
              <w:jc w:val="right"/>
              <w:rPr/>
            </w:pPr>
            <w:r>
              <w:rPr/>
              <w:t> </w:t>
            </w:r>
          </w:p>
        </w:tc>
        <w:tc>
          <w:tcPr>
            <w:tcW w:w="128"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BDBD1" w:val="clear"/>
            <w:vAlign w:val="bottom"/>
          </w:tcPr>
          <w:p>
            <w:pPr>
              <w:pStyle w:val="TableContents"/>
              <w:spacing w:before="0" w:after="283"/>
              <w:jc w:val="left"/>
              <w:rPr/>
            </w:pPr>
            <w:r>
              <w:rPr/>
              <w:t> </w:t>
            </w:r>
          </w:p>
        </w:tc>
        <w:tc>
          <w:tcPr>
            <w:tcW w:w="103" w:type="dxa"/>
            <w:tcBorders/>
            <w:shd w:fill="CBDBD1" w:val="clear"/>
            <w:vAlign w:val="bottom"/>
          </w:tcPr>
          <w:p>
            <w:pPr>
              <w:pStyle w:val="TableContents"/>
              <w:spacing w:before="0" w:after="283"/>
              <w:jc w:val="right"/>
              <w:rPr/>
            </w:pPr>
            <w:r>
              <w:rPr/>
              <w:t> </w:t>
            </w:r>
          </w:p>
        </w:tc>
        <w:tc>
          <w:tcPr>
            <w:tcW w:w="128"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financial reporting purposes, the Company has incurred a loss in each period since its inception. Based on the available objective evidence, including the Company’s history of losses, management believes it is more likely than not that the net deferred tax assets will not be fully realizable. Accordingly, the Company provided for a full valuation allowance against its net deferred tax assets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 Debt and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22, 2008, the Company issued an aggregate of $500 in debt securities to a related party.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19, 2009, the Company entered into a Revolving Line of Credit Promissory Note with a non-related, third party entity for a total of $20,000.  Any principal balance borrowed against the Note accrues interest at a rate of 10% per year.  The entire unpaid balance and interest accrued thereupon are due on September 1, 2010.  As of December 31, 2009, $0 has been borrowed on this line of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6 – Stockholders’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authorized to issue 200,000,000 shares of its $0.001 par value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23, 2006, the Company issued 5,000,000 shares of its $0.001 par value common stock as founders’ shares to an officer and director in exchange for services rendered valued at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 2006, an officer and director of the Company donated cash in the amount of $100.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the Company issued 100,000 shares of its $0.001 par value common stock to one individual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12, 2008, the Company issued 748,707 shares of its par value common stock in a public offering for total gross cash proceeds in the amount of $37,435.  Total offering costs related to this issuance was $500.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2009, there have been no other issuances of common stock.</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22"/>
      <w:bookmarkStart w:id="246" w:name="PGBRK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22"/>
      <w:bookmarkStart w:id="248" w:name="FT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9" w:name="GLFTR22"/>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 w:name="PN22"/>
      <w:bookmarkEnd w:id="250"/>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22"/>
      <w:bookmarkStart w:id="252" w:name="HDR22"/>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3" w:name="GLHDR22"/>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7 – Warrants and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2009, there were no warrants or options outstanding to acquire any additional shares of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8 –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the Company issued 5,000,000 shares of its par value common stock as founders’ shares to an officer and director in exchange for services rendered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the Company issued 100,000 shares of its par value common stock to an affiliated shareholder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a shareholder, officer and director of the Company donated cash to the Company in the amount of $100.  This amount has been donated to the Company, is not expected to be repaid and is considered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9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preparing these financial statements, the Company has evaluated events and transactions for potential recognition or disclosure through March 17, 2010, the date the financial statements were issued.  As of this date, nothing has happened that requires disclosure.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 w:name="PGBRK23"/>
      <w:bookmarkStart w:id="255" w:name="PGBRK23"/>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3"/>
      <w:bookmarkStart w:id="257" w:name="FTR23"/>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8" w:name="GLFTR23"/>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9" w:name="PN23"/>
      <w:bookmarkEnd w:id="259"/>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3"/>
      <w:bookmarkStart w:id="261" w:name="HDR23"/>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2" w:name="GLHDR23"/>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263" w:name="changes"/>
      <w:bookmarkEnd w:id="263"/>
      <w:r>
        <w:rPr>
          <w:rFonts w:ascii="Times New Roman" w:hAnsi="Times New Roman"/>
          <w:sz w:val="20"/>
        </w:rPr>
        <w:t>CHANGES IN AND DISAGREEMENTS WITH ACCOUNTANTS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264" w:name="controls"/>
      <w:bookmarkEnd w:id="264"/>
      <w:r>
        <w:rPr>
          <w:rFonts w:ascii="Times New Roman" w:hAnsi="Times New Roman"/>
          <w:sz w:val="20"/>
        </w:rPr>
        <w:t>CONTROLS AND PROCEDURES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p>
      <w:pPr>
        <w:pStyle w:val="Normal"/>
        <w:spacing w:before="0" w:after="0"/>
        <w:rPr>
          <w:sz w:val="4"/>
          <w:szCs w:val="4"/>
        </w:rPr>
      </w:pPr>
      <w:r>
        <w:rPr>
          <w:sz w:val="4"/>
          <w:szCs w:val="4"/>
        </w:rPr>
      </w:r>
      <w:bookmarkStart w:id="265" w:name="hangingindent13"/>
      <w:bookmarkStart w:id="266" w:name="hangingindent13"/>
      <w:bookmarkEnd w:id="266"/>
    </w:p>
    <w:tbl>
      <w:tblPr>
        <w:tblW w:w="5000" w:type="pct"/>
        <w:jc w:val="center"/>
        <w:tblInd w:w="0" w:type="dxa"/>
        <w:tblCellMar>
          <w:top w:w="0" w:type="dxa"/>
          <w:left w:w="0" w:type="dxa"/>
          <w:bottom w:w="0" w:type="dxa"/>
          <w:right w:w="0" w:type="dxa"/>
        </w:tblCellMar>
      </w:tblPr>
      <w:tblGrid>
        <w:gridCol w:w="106"/>
        <w:gridCol w:w="160"/>
        <w:gridCol w:w="9939"/>
      </w:tblGrid>
      <w:tr>
        <w:trPr/>
        <w:tc>
          <w:tcPr>
            <w:tcW w:w="106"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267" w:name="hangingindent14"/>
      <w:bookmarkStart w:id="268" w:name="hangingindent14"/>
      <w:bookmarkEnd w:id="268"/>
    </w:p>
    <w:tbl>
      <w:tblPr>
        <w:tblW w:w="5000" w:type="pct"/>
        <w:jc w:val="center"/>
        <w:tblInd w:w="0" w:type="dxa"/>
        <w:tblCellMar>
          <w:top w:w="0" w:type="dxa"/>
          <w:left w:w="0" w:type="dxa"/>
          <w:bottom w:w="0" w:type="dxa"/>
          <w:right w:w="0" w:type="dxa"/>
        </w:tblCellMar>
      </w:tblPr>
      <w:tblGrid>
        <w:gridCol w:w="77"/>
        <w:gridCol w:w="138"/>
        <w:gridCol w:w="9990"/>
      </w:tblGrid>
      <w:tr>
        <w:trPr/>
        <w:tc>
          <w:tcPr>
            <w:tcW w:w="77"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69" w:name="hangingindent15"/>
      <w:bookmarkStart w:id="270" w:name="hangingindent15"/>
      <w:bookmarkEnd w:id="270"/>
    </w:p>
    <w:tbl>
      <w:tblPr>
        <w:tblW w:w="5000" w:type="pct"/>
        <w:jc w:val="center"/>
        <w:tblInd w:w="0" w:type="dxa"/>
        <w:tblCellMar>
          <w:top w:w="0" w:type="dxa"/>
          <w:left w:w="0" w:type="dxa"/>
          <w:bottom w:w="0" w:type="dxa"/>
          <w:right w:w="0" w:type="dxa"/>
        </w:tblCellMar>
      </w:tblPr>
      <w:tblGrid>
        <w:gridCol w:w="93"/>
        <w:gridCol w:w="151"/>
        <w:gridCol w:w="9961"/>
      </w:tblGrid>
      <w:tr>
        <w:trPr/>
        <w:tc>
          <w:tcPr>
            <w:tcW w:w="93" w:type="dxa"/>
            <w:tcBorders/>
            <w:shd w:fill="auto" w:val="clear"/>
          </w:tcPr>
          <w:p>
            <w:pPr>
              <w:pStyle w:val="TableContents"/>
              <w:spacing w:before="0" w:after="0"/>
              <w:rPr/>
            </w:pPr>
            <w:r>
              <w:rPr/>
              <w:t xml:space="preserve">  </w:t>
            </w:r>
          </w:p>
        </w:tc>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regarding prevention or timely detection of unauthorized acquisition, use or disposition of the company’s assets that could have a material effect on the financial statements.</w:t>
            </w:r>
          </w:p>
        </w:tc>
      </w:tr>
    </w:tbl>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Because of the inherent limitations of internal control, there is a risk that material misstatements may not be prevented or detected on a timely basis by internal control over financial reporti ng.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of September 30, 2009, management assessed the effectiveness of our internal control over financial reporting based on the criteria for effective internal control over financial reporting established in Internal Control--Integrated Framework issued by the Committee of Sponsoring Organizations of the Treadway Commission ("COSO") and SEC guidance on conducting such assessments.  Based on that evaluation, they concluded that, during the period covered by this report, such internal controls and procedures were not effective to detect the inappropriate application of US GAAP rules as more fully described below.  This was due to deficiencies that existed in the design or operation of our internal controls over financial reporting that adversely affected our internal controls and that may be considered to be material w eaknesses.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matters involving internal controls and procedures that our management considered to be a material weakness under the standards of the Public Company Accounting Oversight Board was a lack of a functioning audit committee due to a lack of a majority of independent members and a lack of a majority of outside directors on our board of directors, resulting in ineffective oversight in the establishment and monitoring of required internal controls and procedures.  The aforementioned material weakness was identified by our Chief Executive Officer in connection with the audit of our financial statements as of December 31, 2009.  Management believes that the lack of a functioning audit committee did not have an effect on our financial results.  However, management believes that the lack of a functioning audit committee and the lack of a majority of outside directors on our board of directors results in ineffective oversight in the establishment and monitoring of required internal controls and procedures, which could result in a material misstatement in our financial statements in future periods.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4"/>
      <w:bookmarkStart w:id="272" w:name="PGBRK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4"/>
      <w:bookmarkStart w:id="274" w:name="FTR24"/>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4"/>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4"/>
      <w:bookmarkEnd w:id="276"/>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4"/>
      <w:bookmarkStart w:id="278" w:name="HDR24"/>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4"/>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p>
      <w:pPr>
        <w:pStyle w:val="Normal"/>
        <w:spacing w:before="0" w:after="0"/>
        <w:rPr>
          <w:sz w:val="4"/>
          <w:szCs w:val="4"/>
        </w:rPr>
      </w:pPr>
      <w:r>
        <w:rPr>
          <w:sz w:val="4"/>
          <w:szCs w:val="4"/>
        </w:rPr>
      </w:r>
      <w:bookmarkStart w:id="280" w:name="hangingindent16"/>
      <w:bookmarkStart w:id="281" w:name="hangingindent16"/>
      <w:bookmarkEnd w:id="281"/>
    </w:p>
    <w:tbl>
      <w:tblPr>
        <w:tblW w:w="5000" w:type="pct"/>
        <w:jc w:val="center"/>
        <w:tblInd w:w="0" w:type="dxa"/>
        <w:tblCellMar>
          <w:top w:w="0" w:type="dxa"/>
          <w:left w:w="0" w:type="dxa"/>
          <w:bottom w:w="0" w:type="dxa"/>
          <w:right w:w="0" w:type="dxa"/>
        </w:tblCellMar>
      </w:tblPr>
      <w:tblGrid>
        <w:gridCol w:w="106"/>
        <w:gridCol w:w="160"/>
        <w:gridCol w:w="9939"/>
      </w:tblGrid>
      <w:tr>
        <w:trPr/>
        <w:tc>
          <w:tcPr>
            <w:tcW w:w="106"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282" w:name="hangingindent17"/>
      <w:bookmarkStart w:id="283" w:name="hangingindent17"/>
      <w:bookmarkEnd w:id="283"/>
    </w:p>
    <w:tbl>
      <w:tblPr>
        <w:tblW w:w="5000" w:type="pct"/>
        <w:jc w:val="center"/>
        <w:tblInd w:w="0" w:type="dxa"/>
        <w:tblCellMar>
          <w:top w:w="0" w:type="dxa"/>
          <w:left w:w="0" w:type="dxa"/>
          <w:bottom w:w="0" w:type="dxa"/>
          <w:right w:w="0" w:type="dxa"/>
        </w:tblCellMar>
      </w:tblPr>
      <w:tblGrid>
        <w:gridCol w:w="77"/>
        <w:gridCol w:w="138"/>
        <w:gridCol w:w="9990"/>
      </w:tblGrid>
      <w:tr>
        <w:trPr/>
        <w:tc>
          <w:tcPr>
            <w:tcW w:w="77"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84" w:name="hangingindent18"/>
      <w:bookmarkStart w:id="285" w:name="hangingindent18"/>
      <w:bookmarkEnd w:id="285"/>
    </w:p>
    <w:tbl>
      <w:tblPr>
        <w:tblW w:w="5000" w:type="pct"/>
        <w:jc w:val="center"/>
        <w:tblInd w:w="0" w:type="dxa"/>
        <w:tblCellMar>
          <w:top w:w="0" w:type="dxa"/>
          <w:left w:w="0" w:type="dxa"/>
          <w:bottom w:w="0" w:type="dxa"/>
          <w:right w:w="0" w:type="dxa"/>
        </w:tblCellMar>
      </w:tblPr>
      <w:tblGrid>
        <w:gridCol w:w="93"/>
        <w:gridCol w:w="151"/>
        <w:gridCol w:w="9961"/>
      </w:tblGrid>
      <w:tr>
        <w:trPr/>
        <w:tc>
          <w:tcPr>
            <w:tcW w:w="93" w:type="dxa"/>
            <w:tcBorders/>
            <w:shd w:fill="auto" w:val="clear"/>
          </w:tcPr>
          <w:p>
            <w:pPr>
              <w:pStyle w:val="TableContents"/>
              <w:spacing w:before="0" w:after="0"/>
              <w:rPr/>
            </w:pPr>
            <w:r>
              <w:rPr/>
              <w:t xml:space="preserve">  </w:t>
            </w:r>
          </w:p>
        </w:tc>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Provide reasonable assurance regarding prevention or timely detection of unauthorized acquisition, use or disposition of the company’s assets that could have a material effect on the financial statements.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Because of the inherent limitations of internal control, there is a risk that material misstatements may not be prevented or detected on a timely basis by internal control over financial reportin 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2008, management assessed the effectiveness of our internal control over financial reporting based on the criteria for effective internal control over financial reporting established in Internal Control--Integrated Framework issued by the Committee of Sponsoring Organizations of the Treadway Commission ("COSO") and SEC guidance on conducting such assessments.  Based on that evaluation, they concluded that, during the period covered by this report, such internal controls and procedures were not effective to detect the inappropriate application of US GAAP rules as more fully described below.  This was due to deficiencies that existed in the design or operation of our internal controls over financial reporting that adversely affected our internal controls and that may be considered to be material wea knesses.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our management considered to be material weaknesses under the standards of the Public Company Accounting Oversight Board were: (1) lack of a functioning audit committee due to a lack of a majority of independent members and a lack of a majority of outside directors on our board of directors, resulting in ineffective oversight in the establishment and monitoring of required internal controls and procedures; (2) inadequate segregation of duties consistent with control objectives; and (3) ineffective controls over period end financial disclosure and reporting processes.  The aforementioned material weaknesses were identified by our Chief Executive Officer in connection with the review of our financial statements as of December 31,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material weaknesses set forth in items (2) and (3) above did not have an effect on our financial results.  However, management believes that the lack of a functioning audit committee and the lack of a majority of outside directors on our board of directors results in ineffective oversight in the establishment and monitoring of required internal controls and procedures, which could result in a material misstatement in our financial statements in future periods.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does not include an attestation report of the Corporation's registered public accounting firm regarding internal control over financial reporting.  Management's report was not subject to attestation by the Corporation's registered public accounting firm pursuant to temporary rules of the SEC that permit the Corporation to provide only the management's report in this annual report.</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25"/>
      <w:bookmarkStart w:id="287" w:name="PGBRK25"/>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FTR25"/>
      <w:bookmarkStart w:id="289" w:name="FTR25"/>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0" w:name="GLFTR25"/>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1" w:name="PN25"/>
      <w:bookmarkEnd w:id="291"/>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HDR25"/>
      <w:bookmarkStart w:id="293" w:name="HDR25"/>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4" w:name="GLHDR25"/>
      <w:bookmarkEnd w:id="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Remediation Initiatives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an effort to remediate the identified material weakness and enhance our internal controls, we plan to establish a formal audit committee of the Board of Directors.  We are also seeking an at least one additional person to serve as an outside Director, as well as sit on the audit committee, thereby providing oversight in the establishment and monitoring of required internal controls and procedures such as reviewing and approving estimates and assumptions made by management when funds are available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controls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was no change in our internal controls over financial reporting that occurred during the period covered by this report, which has materially affected, or is reasonably likely to materially affect, our internal controls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295" w:name="otherinfo"/>
      <w:bookmarkEnd w:id="295"/>
      <w:r>
        <w:rPr>
          <w:rFonts w:ascii="Times New Roman" w:hAnsi="Times New Roman"/>
          <w:sz w:val="20"/>
        </w:rPr>
        <w:t>OTHER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6" w:name="PGBRK26"/>
      <w:bookmarkStart w:id="297" w:name="PGBRK26"/>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8" w:name="FTR26"/>
      <w:bookmarkStart w:id="299" w:name="FTR26"/>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0" w:name="GLFTR26"/>
      <w:bookmarkEnd w:id="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1" w:name="PN26"/>
      <w:bookmarkEnd w:id="30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HDR26"/>
      <w:bookmarkStart w:id="303" w:name="HDR26"/>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4" w:name="GLHDR26"/>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305" w:name="p3"/>
      <w:bookmarkEnd w:id="305"/>
      <w:r>
        <w:rPr>
          <w:rFonts w:ascii="Times New Roman" w:hAnsi="Times New Roman"/>
          <w:b/>
          <w:sz w:val="20"/>
        </w:rPr>
        <w:t>PART III</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06" w:name="direct"/>
      <w:bookmarkEnd w:id="306"/>
      <w:r>
        <w:rPr>
          <w:rFonts w:ascii="Times New Roman" w:hAnsi="Times New Roman"/>
          <w:sz w:val="20"/>
        </w:rPr>
        <w:t>DIRECTORS, EXECUTIVE OFFICERS AND CORPORATE GOVERNANCE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Ltd.'s Directors are elected by the stockholders to a term of one (1) year and serve until their successors are elected and qualified.  The officers are appointed by the Board of Directors to a term of one (1) year and serves until his/her successor is duly elected and qualified, or until he/she is removed from office.  The Board of Directors has no nominating, auditing, or compensation committees.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names and ages of our directors and executive officers and their positions are as follows:</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2824"/>
        <w:gridCol w:w="419"/>
        <w:gridCol w:w="837"/>
        <w:gridCol w:w="419"/>
        <w:gridCol w:w="3665"/>
      </w:tblGrid>
      <w:tr>
        <w:trPr/>
        <w:tc>
          <w:tcPr>
            <w:tcW w:w="282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419" w:type="dxa"/>
            <w:tcBorders/>
            <w:shd w:fill="auto" w:val="clear"/>
            <w:tcMar>
              <w:bottom w:w="0" w:type="dxa"/>
            </w:tcMar>
            <w:vAlign w:val="bottom"/>
          </w:tcPr>
          <w:p>
            <w:pPr>
              <w:pStyle w:val="TableContents"/>
              <w:spacing w:before="0" w:after="283"/>
              <w:rPr/>
            </w:pPr>
            <w:r>
              <w:rPr/>
              <w:t xml:space="preserve">  </w:t>
            </w:r>
          </w:p>
        </w:tc>
        <w:tc>
          <w:tcPr>
            <w:tcW w:w="83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19" w:type="dxa"/>
            <w:tcBorders/>
            <w:shd w:fill="auto" w:val="clear"/>
            <w:tcMar>
              <w:bottom w:w="0" w:type="dxa"/>
            </w:tcMar>
            <w:vAlign w:val="bottom"/>
          </w:tcPr>
          <w:p>
            <w:pPr>
              <w:pStyle w:val="TableContents"/>
              <w:spacing w:before="0" w:after="283"/>
              <w:rPr/>
            </w:pPr>
            <w:r>
              <w:rPr/>
              <w:t xml:space="preserve">  </w:t>
            </w:r>
          </w:p>
        </w:tc>
        <w:tc>
          <w:tcPr>
            <w:tcW w:w="366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Position</w:t>
            </w:r>
          </w:p>
        </w:tc>
      </w:tr>
      <w:tr>
        <w:trPr/>
        <w:tc>
          <w:tcPr>
            <w:tcW w:w="2824" w:type="dxa"/>
            <w:tcBorders/>
            <w:shd w:fill="auto" w:val="clear"/>
            <w:tcMar>
              <w:bottom w:w="0" w:type="dxa"/>
            </w:tcMar>
          </w:tcPr>
          <w:p>
            <w:pPr>
              <w:pStyle w:val="TableContents"/>
              <w:spacing w:before="0" w:after="283"/>
              <w:jc w:val="left"/>
              <w:rPr/>
            </w:pPr>
            <w:r>
              <w:rPr/>
              <w:t xml:space="preserve">  </w:t>
            </w:r>
          </w:p>
        </w:tc>
        <w:tc>
          <w:tcPr>
            <w:tcW w:w="419" w:type="dxa"/>
            <w:tcBorders/>
            <w:shd w:fill="auto" w:val="clear"/>
            <w:tcMar>
              <w:bottom w:w="0" w:type="dxa"/>
            </w:tcMar>
          </w:tcPr>
          <w:p>
            <w:pPr>
              <w:pStyle w:val="TableContents"/>
              <w:spacing w:before="0" w:after="283"/>
              <w:rPr/>
            </w:pPr>
            <w:r>
              <w:rPr/>
              <w:t xml:space="preserve">  </w:t>
            </w:r>
          </w:p>
        </w:tc>
        <w:tc>
          <w:tcPr>
            <w:tcW w:w="837" w:type="dxa"/>
            <w:tcBorders/>
            <w:shd w:fill="auto" w:val="clear"/>
            <w:tcMar>
              <w:bottom w:w="0" w:type="dxa"/>
            </w:tcMar>
          </w:tcPr>
          <w:p>
            <w:pPr>
              <w:pStyle w:val="TableContents"/>
              <w:spacing w:before="0" w:after="283"/>
              <w:jc w:val="left"/>
              <w:rPr/>
            </w:pPr>
            <w:r>
              <w:rPr/>
              <w:t xml:space="preserve">  </w:t>
            </w:r>
          </w:p>
        </w:tc>
        <w:tc>
          <w:tcPr>
            <w:tcW w:w="419" w:type="dxa"/>
            <w:tcBorders/>
            <w:shd w:fill="auto" w:val="clear"/>
            <w:tcMar>
              <w:bottom w:w="0" w:type="dxa"/>
            </w:tcMar>
          </w:tcPr>
          <w:p>
            <w:pPr>
              <w:pStyle w:val="TableContents"/>
              <w:spacing w:before="0" w:after="283"/>
              <w:rPr/>
            </w:pPr>
            <w:r>
              <w:rPr/>
              <w:t xml:space="preserve">  </w:t>
            </w:r>
          </w:p>
        </w:tc>
        <w:tc>
          <w:tcPr>
            <w:tcW w:w="3665" w:type="dxa"/>
            <w:tcBorders/>
            <w:shd w:fill="auto" w:val="clear"/>
            <w:tcMar>
              <w:bottom w:w="0" w:type="dxa"/>
            </w:tcMar>
          </w:tcPr>
          <w:p>
            <w:pPr>
              <w:pStyle w:val="TableContents"/>
              <w:spacing w:before="0" w:after="283"/>
              <w:jc w:val="left"/>
              <w:rPr/>
            </w:pPr>
            <w:r>
              <w:rPr/>
              <w:t xml:space="preserve">  </w:t>
            </w:r>
          </w:p>
        </w:tc>
      </w:tr>
      <w:tr>
        <w:trPr/>
        <w:tc>
          <w:tcPr>
            <w:tcW w:w="2824"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419" w:type="dxa"/>
            <w:tcBorders/>
            <w:shd w:fill="CBDBD1" w:val="clear"/>
            <w:tcMar>
              <w:bottom w:w="0" w:type="dxa"/>
            </w:tcMar>
          </w:tcPr>
          <w:p>
            <w:pPr>
              <w:pStyle w:val="TableContents"/>
              <w:spacing w:before="0" w:after="283"/>
              <w:rPr/>
            </w:pPr>
            <w:r>
              <w:rPr/>
              <w:t xml:space="preserve">  </w:t>
            </w:r>
          </w:p>
        </w:tc>
        <w:tc>
          <w:tcPr>
            <w:tcW w:w="837"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36</w:t>
            </w:r>
          </w:p>
        </w:tc>
        <w:tc>
          <w:tcPr>
            <w:tcW w:w="419" w:type="dxa"/>
            <w:tcBorders/>
            <w:shd w:fill="CBDBD1" w:val="clear"/>
            <w:tcMar>
              <w:bottom w:w="0" w:type="dxa"/>
            </w:tcMar>
          </w:tcPr>
          <w:p>
            <w:pPr>
              <w:pStyle w:val="TableContents"/>
              <w:spacing w:before="0" w:after="283"/>
              <w:rPr/>
            </w:pPr>
            <w:r>
              <w:rPr/>
              <w:t xml:space="preserve">  </w:t>
            </w:r>
          </w:p>
        </w:tc>
        <w:tc>
          <w:tcPr>
            <w:tcW w:w="3665"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President, CEO and Director</w:t>
            </w:r>
          </w:p>
        </w:tc>
      </w:tr>
      <w:tr>
        <w:trPr/>
        <w:tc>
          <w:tcPr>
            <w:tcW w:w="2824" w:type="dxa"/>
            <w:tcBorders/>
            <w:shd w:fill="FFFFFF" w:val="clear"/>
            <w:tcMar>
              <w:bottom w:w="0" w:type="dxa"/>
            </w:tcMar>
          </w:tcPr>
          <w:p>
            <w:pPr>
              <w:pStyle w:val="TableContents"/>
              <w:spacing w:before="0" w:after="283"/>
              <w:rPr/>
            </w:pPr>
            <w:r>
              <w:rPr/>
              <w:t xml:space="preserve">  </w:t>
            </w:r>
          </w:p>
        </w:tc>
        <w:tc>
          <w:tcPr>
            <w:tcW w:w="419" w:type="dxa"/>
            <w:tcBorders/>
            <w:shd w:fill="FFFFFF" w:val="clear"/>
            <w:tcMar>
              <w:bottom w:w="0" w:type="dxa"/>
            </w:tcMar>
          </w:tcPr>
          <w:p>
            <w:pPr>
              <w:pStyle w:val="TableContents"/>
              <w:spacing w:before="0" w:after="283"/>
              <w:rPr/>
            </w:pPr>
            <w:r>
              <w:rPr/>
              <w:t xml:space="preserve">  </w:t>
            </w:r>
          </w:p>
        </w:tc>
        <w:tc>
          <w:tcPr>
            <w:tcW w:w="837" w:type="dxa"/>
            <w:tcBorders/>
            <w:shd w:fill="FFFFFF" w:val="clear"/>
            <w:tcMar>
              <w:bottom w:w="0" w:type="dxa"/>
            </w:tcMar>
          </w:tcPr>
          <w:p>
            <w:pPr>
              <w:pStyle w:val="TableContents"/>
              <w:spacing w:before="0" w:after="283"/>
              <w:rPr/>
            </w:pPr>
            <w:r>
              <w:rPr/>
              <w:t xml:space="preserve">  </w:t>
            </w:r>
          </w:p>
        </w:tc>
        <w:tc>
          <w:tcPr>
            <w:tcW w:w="419" w:type="dxa"/>
            <w:tcBorders/>
            <w:shd w:fill="FFFFFF" w:val="clear"/>
            <w:tcMar>
              <w:bottom w:w="0" w:type="dxa"/>
            </w:tcMar>
          </w:tcPr>
          <w:p>
            <w:pPr>
              <w:pStyle w:val="TableContents"/>
              <w:spacing w:before="0" w:after="283"/>
              <w:rPr/>
            </w:pPr>
            <w:r>
              <w:rPr/>
              <w:t xml:space="preserve">  </w:t>
            </w:r>
          </w:p>
        </w:tc>
        <w:tc>
          <w:tcPr>
            <w:tcW w:w="3665" w:type="dxa"/>
            <w:tcBorders/>
            <w:shd w:fill="FFFFFF" w:val="clear"/>
            <w:tcMar>
              <w:bottom w:w="0" w:type="dxa"/>
            </w:tcMar>
          </w:tcPr>
          <w:p>
            <w:pPr>
              <w:pStyle w:val="TableContents"/>
              <w:spacing w:before="0" w:after="283"/>
              <w:rPr/>
            </w:pPr>
            <w:r>
              <w:rPr/>
              <w:t xml:space="preserve">  </w:t>
            </w:r>
          </w:p>
        </w:tc>
      </w:tr>
      <w:tr>
        <w:trPr/>
        <w:tc>
          <w:tcPr>
            <w:tcW w:w="2824"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419" w:type="dxa"/>
            <w:tcBorders/>
            <w:shd w:fill="CBDBD1" w:val="clear"/>
            <w:tcMar>
              <w:bottom w:w="0" w:type="dxa"/>
            </w:tcMar>
          </w:tcPr>
          <w:p>
            <w:pPr>
              <w:pStyle w:val="TableContents"/>
              <w:spacing w:before="0" w:after="283"/>
              <w:rPr/>
            </w:pPr>
            <w:r>
              <w:rPr/>
              <w:t xml:space="preserve">  </w:t>
            </w:r>
          </w:p>
        </w:tc>
        <w:tc>
          <w:tcPr>
            <w:tcW w:w="837"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41</w:t>
            </w:r>
          </w:p>
        </w:tc>
        <w:tc>
          <w:tcPr>
            <w:tcW w:w="419" w:type="dxa"/>
            <w:tcBorders/>
            <w:shd w:fill="CBDBD1" w:val="clear"/>
            <w:tcMar>
              <w:bottom w:w="0" w:type="dxa"/>
            </w:tcMar>
          </w:tcPr>
          <w:p>
            <w:pPr>
              <w:pStyle w:val="TableContents"/>
              <w:spacing w:before="0" w:after="283"/>
              <w:rPr/>
            </w:pPr>
            <w:r>
              <w:rPr/>
              <w:t xml:space="preserve">  </w:t>
            </w:r>
          </w:p>
        </w:tc>
        <w:tc>
          <w:tcPr>
            <w:tcW w:w="3665"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Secretary, Treasurer and Director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Stephanie Y. Jones, President, Chief Executive Officer and Director:  </w:t>
      </w:r>
      <w:r>
        <w:rPr>
          <w:rFonts w:ascii="Times New Roman" w:hAnsi="Times New Roman"/>
          <w:sz w:val="20"/>
        </w:rPr>
        <w:t>Stephanie Jones is currently a bookkeeper for Finishing Touch Lawn Maintenance in Rathdrum, Idaho.  Her responsibilities include maintaining accounts payable and receivable and managing customer accounts.  She has been in her present position since 2001.  Mrs. Jones was previously an elementary school teacher for four years, between 1998 and 2002, at Falls Christian Academy, a private school located in Rathdrum, Idaho, where she taught kindergarten.  Prior to her teaching position, Mrs. Jones was a stay-at-home mother, where she began creating gift baskets in her spare time.  She attended Northern Idaho College from 1991 to 1993.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Matthew L. Jones, Secretary, Treasurer and Director:  </w:t>
      </w:r>
      <w:r>
        <w:rPr>
          <w:rFonts w:ascii="Times New Roman" w:hAnsi="Times New Roman"/>
          <w:sz w:val="20"/>
        </w:rPr>
        <w:t>From October 2005 to the present, Matthew Jones has been employed by Huntwood Industries in Liberty Lake, Washington as a Sales Representative in the custom cabinetry department.  Mr. Jones was  employed by La Mesa RV in Liberty Lake, Washington from 2004 through 2005, where he was a sales representative for several lines of Recreational Vehicles.  From 2001 to 2004, Mr.  Jones was a department manager at Lowes Home Improvement Center in Rathdrum, Idaho. From 1995 to 2001, he had an active real estate license and was a broker at Coldwell Banker Real Estate in Rathdrum, Idaho.  Mr. Jones attended Northern Idaho College from 1991 to 1993.  He is a disabled vete ran.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Family Relationships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Stephanie Y. Jones and Matthew L. Jones are husband and wife.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Involvement on Certain Material Legal Proceedings During the Last Five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has been convicted in a criminal proceeding, exclusive of traffic violations.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bankruptcy petitions have been filed by or against any business or property of any director, officer, significant employee or consultant of the Company nor has any bankruptcy petition been filed against a partnership or business association where these persons were general partners or executive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has been permanently or temporarily enjoined, barred, suspended or otherwise limited from involvement in any type of business, securities or banking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or significant employee has been convicted of violating a federal or state securities or commodities law.</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Audit Committee and Financial Expert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 Audit Committee. Our directors perform some of the same functions of an Audit Committee, such as: recommending a firm of independent certified public accountants to audit the annual financial statements; reviewing the independent auditors independence, the financial statements and their audit report; and reviewing management's administration of the system of internal accounting controls. The Company does not currently have a written audit committee charter or similar document.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27"/>
      <w:bookmarkStart w:id="308" w:name="PGBRK27"/>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27"/>
      <w:bookmarkStart w:id="310" w:name="FTR27"/>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27"/>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2" w:name="PN27"/>
      <w:bookmarkEnd w:id="312"/>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27"/>
      <w:bookmarkStart w:id="314" w:name="HDR27"/>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27"/>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 financial expert. We believe the cost related to retaining a financial expert at this time is prohibitive. Further, because of our start-up operations, we believe the services of a financial expert are not warranted.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Securities Exchange Act of 1934, as amended, requires our director and executive officers, and persons who beneficially own more than 10% of a registered class of our equity securities, to file reports of beneficial ownership and changes in beneficial ownership of our securities with the SEC on Forms 3 (Initial Statement of Beneficial Ownership), 4 (Statement of Changes of Beneficial Ownership of Securities) and 5 (Annual Statement of Beneficial Ownership of Securities). Directors, executive officers and beneficial owners of more than 10% of our Common Stock are required by SEC regulations to furnish us with copies of all Section 16(a) forms that they file.  As a company with securities registered under Section 15(d) of the Exchange Act, our executive officers and director, and persons who beneficially ow n more than ten percent of our common stock are not required to file Section 16(a) reports.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Code of Ethics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adopted a Code of Business Conduct and Ethics that applies to our principal executive officer, principal financial officer, principal accounting officer or controller, or persons performing similar functions in that our sole officer and director serves in all the above capacities.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Corporate Governance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Nominating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Nominating Committee or Nominating Committee Charter. Our directors perform the functions associated with a Nominating Committee. We have elected not to have a Nominating Committee in that we are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Director Nomination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Nominees for Directors are identified and suggested by the members of the Board or management using their business networks. The Board has not retained any executive search firms or other third parties to identify or evaluate director candidates and does not intend to in the near future. In selecting a nominee for director, the Board or management considers the following criteria:</w:t>
      </w:r>
    </w:p>
    <w:p>
      <w:pPr>
        <w:pStyle w:val="TextBody"/>
        <w:spacing w:before="0" w:after="0"/>
        <w:ind w:left="0" w:right="0" w:hanging="0"/>
        <w:rPr/>
      </w:pPr>
      <w:r>
        <w:rPr/>
      </w:r>
    </w:p>
    <w:p>
      <w:pPr>
        <w:pStyle w:val="Normal"/>
        <w:spacing w:before="0" w:after="0"/>
        <w:rPr>
          <w:sz w:val="4"/>
          <w:szCs w:val="4"/>
        </w:rPr>
      </w:pPr>
      <w:r>
        <w:rPr>
          <w:sz w:val="4"/>
          <w:szCs w:val="4"/>
        </w:rPr>
      </w:r>
      <w:bookmarkStart w:id="316" w:name="hangingindent19"/>
      <w:bookmarkStart w:id="317" w:name="hangingindent19"/>
      <w:bookmarkEnd w:id="317"/>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has the personal attributes for successful service on the Board, such as demonstrated character and integrity; experience at a strategy/policy setting level; managerial experience dealing with complex problems; an ability to work effectively with others; and sufficient time to devote to our affairs;</w:t>
            </w:r>
          </w:p>
        </w:tc>
      </w:tr>
    </w:tbl>
    <w:p>
      <w:pPr>
        <w:pStyle w:val="TextBody"/>
        <w:spacing w:before="0" w:after="0"/>
        <w:ind w:left="0" w:right="0" w:hanging="0"/>
        <w:rPr/>
      </w:pPr>
      <w:r>
        <w:rPr/>
      </w:r>
    </w:p>
    <w:p>
      <w:pPr>
        <w:pStyle w:val="Normal"/>
        <w:spacing w:before="0" w:after="0"/>
        <w:rPr>
          <w:sz w:val="4"/>
          <w:szCs w:val="4"/>
        </w:rPr>
      </w:pPr>
      <w:r>
        <w:rPr>
          <w:sz w:val="4"/>
          <w:szCs w:val="4"/>
        </w:rPr>
      </w:r>
      <w:bookmarkStart w:id="318" w:name="hangingindent20"/>
      <w:bookmarkStart w:id="319" w:name="hangingindent20"/>
      <w:bookmarkEnd w:id="319"/>
    </w:p>
    <w:tbl>
      <w:tblPr>
        <w:tblW w:w="5000" w:type="pct"/>
        <w:jc w:val="center"/>
        <w:tblInd w:w="0" w:type="dxa"/>
        <w:tblCellMar>
          <w:top w:w="0" w:type="dxa"/>
          <w:left w:w="0" w:type="dxa"/>
          <w:bottom w:w="0" w:type="dxa"/>
          <w:right w:w="0" w:type="dxa"/>
        </w:tblCellMar>
      </w:tblPr>
      <w:tblGrid>
        <w:gridCol w:w="92"/>
        <w:gridCol w:w="150"/>
        <w:gridCol w:w="9963"/>
      </w:tblGrid>
      <w:tr>
        <w:trPr/>
        <w:tc>
          <w:tcPr>
            <w:tcW w:w="92" w:type="dxa"/>
            <w:tcBorders/>
            <w:shd w:fill="auto" w:val="clear"/>
          </w:tcPr>
          <w:p>
            <w:pPr>
              <w:pStyle w:val="TableContents"/>
              <w:spacing w:before="0" w:after="0"/>
              <w:rPr/>
            </w:pPr>
            <w:r>
              <w:rPr/>
              <w:t xml:space="preserve">  </w:t>
            </w:r>
          </w:p>
        </w:tc>
        <w:tc>
          <w:tcPr>
            <w:tcW w:w="1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has been the chief executive officer or senior executive of a public company or a leader of a similar organization, including industry groups, universities or governmental organizations;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320" w:name="hangingindent21"/>
      <w:bookmarkStart w:id="321" w:name="hangingindent21"/>
      <w:bookmarkEnd w:id="321"/>
    </w:p>
    <w:tbl>
      <w:tblPr>
        <w:tblW w:w="5000" w:type="pct"/>
        <w:jc w:val="center"/>
        <w:tblInd w:w="0" w:type="dxa"/>
        <w:tblCellMar>
          <w:top w:w="0" w:type="dxa"/>
          <w:left w:w="0" w:type="dxa"/>
          <w:bottom w:w="0" w:type="dxa"/>
          <w:right w:w="0" w:type="dxa"/>
        </w:tblCellMar>
      </w:tblPr>
      <w:tblGrid>
        <w:gridCol w:w="94"/>
        <w:gridCol w:w="151"/>
        <w:gridCol w:w="9960"/>
      </w:tblGrid>
      <w:tr>
        <w:trPr/>
        <w:tc>
          <w:tcPr>
            <w:tcW w:w="94" w:type="dxa"/>
            <w:tcBorders/>
            <w:shd w:fill="auto" w:val="clear"/>
          </w:tcPr>
          <w:p>
            <w:pPr>
              <w:pStyle w:val="TableContents"/>
              <w:spacing w:before="0" w:after="0"/>
              <w:rPr/>
            </w:pPr>
            <w:r>
              <w:rPr/>
              <w:t xml:space="preserve">  </w:t>
            </w:r>
          </w:p>
        </w:tc>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by virtue of particular experience, technical expertise or specialized skills or contacts relevant to our current or future business, will add specific value as a Board member;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22" w:name="hangingindent22"/>
      <w:bookmarkStart w:id="323" w:name="hangingindent22"/>
      <w:bookmarkEnd w:id="323"/>
    </w:p>
    <w:tbl>
      <w:tblPr>
        <w:tblW w:w="5000" w:type="pct"/>
        <w:jc w:val="center"/>
        <w:tblInd w:w="0" w:type="dxa"/>
        <w:tblCellMar>
          <w:top w:w="0" w:type="dxa"/>
          <w:left w:w="0" w:type="dxa"/>
          <w:bottom w:w="0" w:type="dxa"/>
          <w:right w:w="0" w:type="dxa"/>
        </w:tblCellMar>
      </w:tblPr>
      <w:tblGrid>
        <w:gridCol w:w="106"/>
        <w:gridCol w:w="160"/>
        <w:gridCol w:w="9939"/>
      </w:tblGrid>
      <w:tr>
        <w:trPr/>
        <w:tc>
          <w:tcPr>
            <w:tcW w:w="106"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there are any other factors related to the ability and willingness of a new nominee to serve, or an existing Board member to continue his service.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Board or management has not established any specific minimum qualifications that a candidate for director must meet in order to be recommended for Board membership. Rather, the Board or management will evaluate the mix of skills and experience that the candidate offers, consider how a given candidate meets the Board’s current expectations with respect to each such criterion and make a determination regarding whether a candidate should be recommended to the stockholders for election as a Director. During 2008, we received no recommendation for Directors from our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will consider for inclusion in our nominations of new Board of Directors nominees proposed by stockholders who have held at least 1% of our outstanding voting securities for at least one year. Board candidates referred by such stockholders will be considered on the same basis as Board candidates referred from other sources. Any stockholder who wishes to recommend for our consideration a prospective nominee to serve on the Board of Directors may do so by giving the candidate’s name and qualifications in writing to our Secretary at the following address: 13834 W. Hoyt Road, Rathdrum, Idaho.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28"/>
      <w:bookmarkStart w:id="325" w:name="PGBRK28"/>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28"/>
      <w:bookmarkStart w:id="327" w:name="FTR28"/>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8" w:name="GLFTR28"/>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9" w:name="PN28"/>
      <w:bookmarkEnd w:id="329"/>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28"/>
      <w:bookmarkStart w:id="331" w:name="HDR28"/>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2" w:name="GLHDR28"/>
      <w:bookmarkEnd w:id="3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33" w:name="exengl"/>
      <w:bookmarkEnd w:id="333"/>
      <w:r>
        <w:rPr>
          <w:rFonts w:ascii="Times New Roman" w:hAnsi="Times New Roman"/>
          <w:sz w:val="20"/>
        </w:rPr>
        <w:t>EXECUTIVE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for the last completed fiscal years ended December 31, 2009 and 2008 the cash compensation paid by the Company, as well as certain other compensation paid with respect to those years and months, to the Chief Executive Officer and, to the extent applicable, each of the three other most highly compensated executive officers of the Company in all capacities in which they served:</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889"/>
        <w:gridCol w:w="471"/>
        <w:gridCol w:w="63"/>
        <w:gridCol w:w="173"/>
        <w:gridCol w:w="386"/>
        <w:gridCol w:w="63"/>
        <w:gridCol w:w="63"/>
        <w:gridCol w:w="178"/>
        <w:gridCol w:w="396"/>
        <w:gridCol w:w="63"/>
        <w:gridCol w:w="63"/>
        <w:gridCol w:w="202"/>
        <w:gridCol w:w="446"/>
        <w:gridCol w:w="63"/>
        <w:gridCol w:w="63"/>
        <w:gridCol w:w="203"/>
        <w:gridCol w:w="446"/>
        <w:gridCol w:w="63"/>
        <w:gridCol w:w="63"/>
        <w:gridCol w:w="410"/>
        <w:gridCol w:w="877"/>
        <w:gridCol w:w="63"/>
        <w:gridCol w:w="63"/>
        <w:gridCol w:w="409"/>
        <w:gridCol w:w="877"/>
        <w:gridCol w:w="63"/>
        <w:gridCol w:w="63"/>
        <w:gridCol w:w="410"/>
        <w:gridCol w:w="877"/>
        <w:gridCol w:w="63"/>
        <w:gridCol w:w="63"/>
        <w:gridCol w:w="148"/>
        <w:gridCol w:w="336"/>
        <w:gridCol w:w="105"/>
      </w:tblGrid>
      <w:tr>
        <w:trPr/>
        <w:tc>
          <w:tcPr>
            <w:tcW w:w="9079" w:type="dxa"/>
            <w:gridSpan w:val="3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Summary Compensation Table</w:t>
            </w:r>
          </w:p>
        </w:tc>
        <w:tc>
          <w:tcPr>
            <w:tcW w:w="105" w:type="dxa"/>
            <w:tcBorders/>
            <w:shd w:fill="auto" w:val="clear"/>
            <w:tcMar>
              <w:bottom w:w="0" w:type="dxa"/>
            </w:tcMar>
            <w:vAlign w:val="bottom"/>
          </w:tcPr>
          <w:p>
            <w:pPr>
              <w:pStyle w:val="TableContents"/>
              <w:spacing w:before="0" w:after="283"/>
              <w:jc w:val="left"/>
              <w:rPr/>
            </w:pPr>
            <w:r>
              <w:rPr/>
              <w:t> </w:t>
            </w:r>
          </w:p>
        </w:tc>
      </w:tr>
      <w:tr>
        <w:trPr/>
        <w:tc>
          <w:tcPr>
            <w:tcW w:w="9079" w:type="dxa"/>
            <w:gridSpan w:val="33"/>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Name and</w:t>
            </w:r>
          </w:p>
          <w:p>
            <w:pPr>
              <w:pStyle w:val="TableContents"/>
              <w:spacing w:before="0" w:after="0"/>
              <w:ind w:left="0" w:right="0" w:hanging="0"/>
              <w:jc w:val="center"/>
              <w:rPr>
                <w:rFonts w:ascii="times new roman" w:hAnsi="times new roman"/>
                <w:sz w:val="20"/>
              </w:rPr>
            </w:pPr>
            <w:r>
              <w:rPr>
                <w:rFonts w:ascii="times new roman" w:hAnsi="times new roman"/>
                <w:sz w:val="20"/>
              </w:rPr>
              <w:t>Principal Position</w:t>
            </w:r>
          </w:p>
        </w:tc>
        <w:tc>
          <w:tcPr>
            <w:tcW w:w="47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w:t>
            </w:r>
          </w:p>
        </w:tc>
        <w:tc>
          <w:tcPr>
            <w:tcW w:w="63" w:type="dxa"/>
            <w:tcBorders/>
            <w:shd w:fill="auto" w:val="clear"/>
            <w:tcMar>
              <w:bottom w:w="0" w:type="dxa"/>
            </w:tcMar>
            <w:vAlign w:val="bottom"/>
          </w:tcPr>
          <w:p>
            <w:pPr>
              <w:pStyle w:val="TableContents"/>
              <w:spacing w:before="0" w:after="283"/>
              <w:rPr/>
            </w:pPr>
            <w:r>
              <w:rPr/>
              <w:t> </w:t>
            </w:r>
          </w:p>
        </w:tc>
        <w:tc>
          <w:tcPr>
            <w:tcW w:w="5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Salary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57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Bonus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Stock Awards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 Awards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Non-Equity Incentive Plan Compen-sation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Non-qualified Deferred Compen-sation Earnings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All Other Compen-sation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4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shd w:fill="auto" w:val="clear"/>
            <w:tcMar>
              <w:bottom w:w="0" w:type="dxa"/>
            </w:tcMar>
            <w:vAlign w:val="bottom"/>
          </w:tcPr>
          <w:p>
            <w:pPr>
              <w:pStyle w:val="TableContents"/>
              <w:spacing w:before="0" w:after="283"/>
              <w:rPr/>
            </w:pPr>
            <w:r>
              <w:rPr/>
              <w:t xml:space="preserve">  </w:t>
            </w:r>
          </w:p>
        </w:tc>
        <w:tc>
          <w:tcPr>
            <w:tcW w:w="471" w:type="dxa"/>
            <w:tcBorders/>
            <w:shd w:fill="auto" w:val="clear"/>
            <w:tcMar>
              <w:bottom w:w="0" w:type="dxa"/>
            </w:tcMar>
            <w:vAlign w:val="bottom"/>
          </w:tcPr>
          <w:p>
            <w:pPr>
              <w:pStyle w:val="TableContents"/>
              <w:spacing w:before="0" w:after="283"/>
              <w:rPr/>
            </w:pPr>
            <w:r>
              <w:rPr/>
              <w:t xml:space="preserve">  </w:t>
            </w:r>
          </w:p>
        </w:tc>
        <w:tc>
          <w:tcPr>
            <w:tcW w:w="63" w:type="dxa"/>
            <w:tcBorders/>
            <w:shd w:fill="auto" w:val="clear"/>
            <w:tcMar>
              <w:bottom w:w="0" w:type="dxa"/>
            </w:tcMar>
            <w:vAlign w:val="bottom"/>
          </w:tcPr>
          <w:p>
            <w:pPr>
              <w:pStyle w:val="TableContents"/>
              <w:spacing w:before="0" w:after="283"/>
              <w:rPr/>
            </w:pPr>
            <w:r>
              <w:rPr/>
              <w:t> </w:t>
            </w:r>
          </w:p>
        </w:tc>
        <w:tc>
          <w:tcPr>
            <w:tcW w:w="559"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574"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8"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9"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6"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484"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Jones</w:t>
            </w:r>
          </w:p>
        </w:tc>
        <w:tc>
          <w:tcPr>
            <w:tcW w:w="471"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2009</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CBDBD1" w:val="clear"/>
            <w:tcMar>
              <w:bottom w:w="0" w:type="dxa"/>
            </w:tcMar>
            <w:vAlign w:val="bottom"/>
          </w:tcPr>
          <w:p>
            <w:pPr>
              <w:pStyle w:val="TableContents"/>
              <w:spacing w:before="0" w:after="283"/>
              <w:jc w:val="left"/>
              <w:rPr/>
            </w:pPr>
            <w:r>
              <w:rPr/>
              <w:t> </w:t>
            </w:r>
          </w:p>
        </w:tc>
      </w:tr>
      <w:tr>
        <w:trPr/>
        <w:tc>
          <w:tcPr>
            <w:tcW w:w="88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President</w:t>
            </w:r>
          </w:p>
        </w:tc>
        <w:tc>
          <w:tcPr>
            <w:tcW w:w="471"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2008</w:t>
            </w:r>
          </w:p>
        </w:tc>
        <w:tc>
          <w:tcPr>
            <w:tcW w:w="63" w:type="dxa"/>
            <w:tcBorders/>
            <w:shd w:fill="FFFFFF" w:val="clear"/>
            <w:tcMar>
              <w:bottom w:w="0" w:type="dxa"/>
            </w:tcMar>
            <w:vAlign w:val="bottom"/>
          </w:tcPr>
          <w:p>
            <w:pPr>
              <w:pStyle w:val="TableContents"/>
              <w:spacing w:before="0" w:after="283"/>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3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3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2"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09"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3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FFFFFF"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283"/>
              <w:rPr/>
            </w:pPr>
            <w:r>
              <w:rPr/>
              <w:t xml:space="preserve">  </w:t>
            </w:r>
          </w:p>
        </w:tc>
        <w:tc>
          <w:tcPr>
            <w:tcW w:w="471" w:type="dxa"/>
            <w:tcBorders/>
            <w:shd w:fill="CBDBD1" w:val="clear"/>
            <w:tcMar>
              <w:bottom w:w="0" w:type="dxa"/>
            </w:tcMar>
            <w:vAlign w:val="bottom"/>
          </w:tcPr>
          <w:p>
            <w:pPr>
              <w:pStyle w:val="TableContents"/>
              <w:spacing w:before="0" w:after="283"/>
              <w:rPr/>
            </w:pPr>
            <w:r>
              <w:rPr/>
              <w:t xml:space="preserve">  </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pPr>
            <w:r>
              <w:rPr/>
              <w:t> </w:t>
            </w:r>
          </w:p>
        </w:tc>
        <w:tc>
          <w:tcPr>
            <w:tcW w:w="105" w:type="dxa"/>
            <w:tcBorders/>
            <w:shd w:fill="CBDBD1" w:val="clear"/>
            <w:tcMar>
              <w:bottom w:w="0" w:type="dxa"/>
            </w:tcMar>
            <w:vAlign w:val="bottom"/>
          </w:tcPr>
          <w:p>
            <w:pPr>
              <w:pStyle w:val="TableContents"/>
              <w:spacing w:before="0" w:after="283"/>
              <w:jc w:val="left"/>
              <w:rPr/>
            </w:pPr>
            <w:r>
              <w:rPr/>
              <w:t> </w:t>
            </w:r>
          </w:p>
        </w:tc>
      </w:tr>
      <w:tr>
        <w:trPr/>
        <w:tc>
          <w:tcPr>
            <w:tcW w:w="88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Jones</w:t>
            </w:r>
          </w:p>
        </w:tc>
        <w:tc>
          <w:tcPr>
            <w:tcW w:w="471"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2009</w:t>
            </w:r>
          </w:p>
        </w:tc>
        <w:tc>
          <w:tcPr>
            <w:tcW w:w="63" w:type="dxa"/>
            <w:tcBorders/>
            <w:shd w:fill="FFFFFF" w:val="clear"/>
            <w:tcMar>
              <w:bottom w:w="0" w:type="dxa"/>
            </w:tcMar>
            <w:vAlign w:val="bottom"/>
          </w:tcPr>
          <w:p>
            <w:pPr>
              <w:pStyle w:val="TableContents"/>
              <w:spacing w:before="0" w:after="283"/>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3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3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2"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09"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3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FFFFFF"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Secretary/Treasurer</w:t>
            </w:r>
          </w:p>
        </w:tc>
        <w:tc>
          <w:tcPr>
            <w:tcW w:w="471"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2008</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CBDBD1"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Directors'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directors are not entitled to receive compensation for services rendered to us, or for each meeting attended except for reimbursement of out-of-pocket expenses.  We have no formal or informal arrangements or agreements to compensate our director for services she provides as a director of our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Employment Contracts and Officers'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incorporation, we have not paid any compensation to our officers, director and employees.  We do not have employment agreements.  Any future compensation to be paid will be determined by our Board of Directors, and an employment agreement will be executed.  We do not currently have plans to pay any compensation until such time as we are cash flow positive.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Option Plan And Other Long-term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currently do not have existing or proposed option/SAR grants.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29"/>
      <w:bookmarkStart w:id="335" w:name="PGBRK29"/>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29"/>
      <w:bookmarkStart w:id="337" w:name="FTR29"/>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29"/>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29"/>
      <w:bookmarkEnd w:id="33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29"/>
      <w:bookmarkStart w:id="341" w:name="HDR29"/>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29"/>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43" w:name="securityownership"/>
      <w:bookmarkEnd w:id="343"/>
      <w:r>
        <w:rPr>
          <w:rFonts w:ascii="Times New Roman" w:hAnsi="Times New Roman"/>
          <w:sz w:val="20"/>
        </w:rPr>
        <w:t>SECURITY OWNERSHIP OF CERTAIN BENEFICIAL OWNERS AND MANAGEMENT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Security Ownership of Certain Beneficial Owners and Management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information as of the date of this offering with respect to the beneficial ownership of Excaliber Enterprises, Ltd.’s common stock by all persons known by Excaliber Enterprises to be beneficial owners of more than 5% of any such outstanding classes, and by each director and executive officer, and by all officers and directors as a group.  Unless otherwise specified, the named beneficial owner has, to our knowledge, either sole or majority voting and investment power.</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2015"/>
        <w:gridCol w:w="4223"/>
        <w:gridCol w:w="108"/>
        <w:gridCol w:w="109"/>
        <w:gridCol w:w="1211"/>
        <w:gridCol w:w="108"/>
        <w:gridCol w:w="108"/>
        <w:gridCol w:w="113"/>
        <w:gridCol w:w="982"/>
        <w:gridCol w:w="207"/>
      </w:tblGrid>
      <w:tr>
        <w:trPr/>
        <w:tc>
          <w:tcPr>
            <w:tcW w:w="201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c>
          <w:tcPr>
            <w:tcW w:w="422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Name, Title and Address of Beneficial Owner of Shares(1)</w:t>
            </w:r>
          </w:p>
        </w:tc>
        <w:tc>
          <w:tcPr>
            <w:tcW w:w="108" w:type="dxa"/>
            <w:tcBorders/>
            <w:shd w:fill="auto" w:val="clear"/>
            <w:tcMar>
              <w:bottom w:w="0" w:type="dxa"/>
            </w:tcMar>
            <w:vAlign w:val="bottom"/>
          </w:tcPr>
          <w:p>
            <w:pPr>
              <w:pStyle w:val="TableContents"/>
              <w:spacing w:before="0" w:after="283"/>
              <w:rPr/>
            </w:pPr>
            <w:r>
              <w:rPr/>
              <w:t> </w:t>
            </w:r>
          </w:p>
        </w:tc>
        <w:tc>
          <w:tcPr>
            <w:tcW w:w="13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 of Beneficial Ownership(2)</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Percent of Class</w:t>
            </w:r>
          </w:p>
        </w:tc>
        <w:tc>
          <w:tcPr>
            <w:tcW w:w="207" w:type="dxa"/>
            <w:tcBorders/>
            <w:shd w:fill="auto" w:val="clear"/>
            <w:tcMar>
              <w:bottom w:w="0" w:type="dxa"/>
            </w:tcMar>
            <w:vAlign w:val="bottom"/>
          </w:tcPr>
          <w:p>
            <w:pPr>
              <w:pStyle w:val="TableContents"/>
              <w:spacing w:before="0" w:after="283"/>
              <w:jc w:val="left"/>
              <w:rPr/>
            </w:pPr>
            <w:r>
              <w:rPr/>
              <w:t> </w:t>
            </w:r>
          </w:p>
        </w:tc>
      </w:tr>
      <w:tr>
        <w:trPr/>
        <w:tc>
          <w:tcPr>
            <w:tcW w:w="2015" w:type="dxa"/>
            <w:tcBorders/>
            <w:shd w:fill="auto" w:val="clear"/>
            <w:tcMar>
              <w:bottom w:w="0" w:type="dxa"/>
            </w:tcMar>
            <w:vAlign w:val="bottom"/>
          </w:tcPr>
          <w:p>
            <w:pPr>
              <w:pStyle w:val="TableContents"/>
              <w:spacing w:before="0" w:after="283"/>
              <w:rPr/>
            </w:pPr>
            <w:r>
              <w:rPr/>
              <w:t xml:space="preserve">  </w:t>
            </w:r>
          </w:p>
        </w:tc>
        <w:tc>
          <w:tcPr>
            <w:tcW w:w="4223" w:type="dxa"/>
            <w:tcBorders/>
            <w:shd w:fill="auto" w:val="clear"/>
            <w:tcMar>
              <w:bottom w:w="0" w:type="dxa"/>
            </w:tcMar>
            <w:vAlign w:val="bottom"/>
          </w:tcPr>
          <w:p>
            <w:pPr>
              <w:pStyle w:val="TableContents"/>
              <w:spacing w:before="0" w:after="283"/>
              <w:rPr/>
            </w:pPr>
            <w:r>
              <w:rPr/>
              <w:t xml:space="preserve">  </w:t>
            </w:r>
          </w:p>
        </w:tc>
        <w:tc>
          <w:tcPr>
            <w:tcW w:w="108" w:type="dxa"/>
            <w:tcBorders/>
            <w:shd w:fill="auto" w:val="clear"/>
            <w:tcMar>
              <w:bottom w:w="0" w:type="dxa"/>
            </w:tcMar>
            <w:vAlign w:val="bottom"/>
          </w:tcPr>
          <w:p>
            <w:pPr>
              <w:pStyle w:val="TableContents"/>
              <w:spacing w:before="0" w:after="283"/>
              <w:rPr/>
            </w:pPr>
            <w:r>
              <w:rPr/>
              <w:t> </w:t>
            </w:r>
          </w:p>
        </w:tc>
        <w:tc>
          <w:tcPr>
            <w:tcW w:w="1320"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95" w:type="dxa"/>
            <w:gridSpan w:val="2"/>
            <w:tcBorders/>
            <w:shd w:fill="auto" w:val="clear"/>
            <w:tcMar>
              <w:bottom w:w="0" w:type="dxa"/>
            </w:tcMar>
            <w:vAlign w:val="bottom"/>
          </w:tcPr>
          <w:p>
            <w:pPr>
              <w:pStyle w:val="TableContents"/>
              <w:spacing w:before="0" w:after="283"/>
              <w:rPr/>
            </w:pPr>
            <w:r>
              <w:rPr/>
              <w:t> </w:t>
            </w:r>
          </w:p>
        </w:tc>
        <w:tc>
          <w:tcPr>
            <w:tcW w:w="207" w:type="dxa"/>
            <w:tcBorders/>
            <w:shd w:fill="auto" w:val="clear"/>
            <w:tcMar>
              <w:bottom w:w="0" w:type="dxa"/>
            </w:tcMar>
            <w:vAlign w:val="bottom"/>
          </w:tcPr>
          <w:p>
            <w:pPr>
              <w:pStyle w:val="TableContents"/>
              <w:spacing w:before="0" w:after="283"/>
              <w:jc w:val="left"/>
              <w:rPr/>
            </w:pPr>
            <w:r>
              <w:rPr/>
              <w:t> </w:t>
            </w:r>
          </w:p>
        </w:tc>
      </w:tr>
      <w:tr>
        <w:trPr/>
        <w:tc>
          <w:tcPr>
            <w:tcW w:w="2015" w:type="dxa"/>
            <w:tcBorders/>
            <w:shd w:fill="CBDBD1"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4223"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President and CEO</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shd w:fill="CBDBD1" w:val="clear"/>
            <w:tcMar>
              <w:bottom w:w="0" w:type="dxa"/>
            </w:tcMar>
            <w:vAlign w:val="bottom"/>
          </w:tcPr>
          <w:p>
            <w:pPr>
              <w:pStyle w:val="TableContents"/>
              <w:spacing w:before="0" w:after="283"/>
              <w:jc w:val="left"/>
              <w:rPr/>
            </w:pPr>
            <w:r>
              <w:rPr/>
              <w:t> </w:t>
            </w:r>
          </w:p>
        </w:tc>
        <w:tc>
          <w:tcPr>
            <w:tcW w:w="1211"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shd w:fill="CBDBD1" w:val="clear"/>
            <w:tcMar>
              <w:bottom w:w="0" w:type="dxa"/>
            </w:tcMar>
            <w:vAlign w:val="bottom"/>
          </w:tcPr>
          <w:p>
            <w:pPr>
              <w:pStyle w:val="TableContents"/>
              <w:spacing w:before="0" w:after="283"/>
              <w:jc w:val="left"/>
              <w:rPr/>
            </w:pPr>
            <w:r>
              <w:rPr/>
              <w:t> </w:t>
            </w:r>
          </w:p>
        </w:tc>
        <w:tc>
          <w:tcPr>
            <w:tcW w:w="982"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98.04</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015" w:type="dxa"/>
            <w:tcBorders/>
            <w:shd w:fill="FFFFFF" w:val="clear"/>
            <w:tcMar>
              <w:bottom w:w="0" w:type="dxa"/>
            </w:tcMar>
            <w:vAlign w:val="bottom"/>
          </w:tcPr>
          <w:p>
            <w:pPr>
              <w:pStyle w:val="TableContents"/>
              <w:spacing w:before="0" w:after="283"/>
              <w:rPr/>
            </w:pPr>
            <w:r>
              <w:rPr/>
              <w:t xml:space="preserve">  </w:t>
            </w:r>
          </w:p>
        </w:tc>
        <w:tc>
          <w:tcPr>
            <w:tcW w:w="4223"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2015" w:type="dxa"/>
            <w:tcBorders>
              <w:bottom w:val="single" w:sz="12" w:space="0" w:color="000000"/>
            </w:tcBorders>
            <w:shd w:fill="CBDBD1" w:val="clear"/>
            <w:vAlign w:val="bottom"/>
          </w:tcPr>
          <w:p>
            <w:pPr>
              <w:pStyle w:val="TableContents"/>
              <w:spacing w:before="0" w:after="283"/>
              <w:rPr/>
            </w:pPr>
            <w:r>
              <w:rPr/>
              <w:t xml:space="preserve">  </w:t>
            </w:r>
          </w:p>
        </w:tc>
        <w:tc>
          <w:tcPr>
            <w:tcW w:w="4223"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Directors and Officers as a group (1 person)</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bottom w:val="single" w:sz="12" w:space="0" w:color="000000"/>
            </w:tcBorders>
            <w:shd w:fill="CBDBD1" w:val="clear"/>
            <w:vAlign w:val="bottom"/>
          </w:tcPr>
          <w:p>
            <w:pPr>
              <w:pStyle w:val="TableContents"/>
              <w:spacing w:before="0" w:after="283"/>
              <w:jc w:val="left"/>
              <w:rPr/>
            </w:pPr>
            <w:r>
              <w:rPr/>
              <w:t> </w:t>
            </w:r>
          </w:p>
        </w:tc>
        <w:tc>
          <w:tcPr>
            <w:tcW w:w="1211"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CBDBD1" w:val="clear"/>
            <w:vAlign w:val="bottom"/>
          </w:tcPr>
          <w:p>
            <w:pPr>
              <w:pStyle w:val="TableContents"/>
              <w:spacing w:before="0" w:after="283"/>
              <w:jc w:val="left"/>
              <w:rPr/>
            </w:pPr>
            <w:r>
              <w:rPr/>
              <w:t> </w:t>
            </w:r>
          </w:p>
        </w:tc>
        <w:tc>
          <w:tcPr>
            <w:tcW w:w="982"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98.04</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015" w:type="dxa"/>
            <w:tcBorders/>
            <w:shd w:fill="FFFFFF" w:val="clear"/>
            <w:tcMar>
              <w:bottom w:w="0" w:type="dxa"/>
            </w:tcMar>
            <w:vAlign w:val="bottom"/>
          </w:tcPr>
          <w:p>
            <w:pPr>
              <w:pStyle w:val="TableContents"/>
              <w:spacing w:before="0" w:after="283"/>
              <w:rPr/>
            </w:pPr>
            <w:r>
              <w:rPr/>
              <w:t xml:space="preserve">  </w:t>
            </w:r>
          </w:p>
        </w:tc>
        <w:tc>
          <w:tcPr>
            <w:tcW w:w="4223"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2015"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4223"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Nicole Jones(3)</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bottom w:val="single" w:sz="12" w:space="0" w:color="000000"/>
            </w:tcBorders>
            <w:shd w:fill="CBDBD1" w:val="clear"/>
            <w:vAlign w:val="bottom"/>
          </w:tcPr>
          <w:p>
            <w:pPr>
              <w:pStyle w:val="TableContents"/>
              <w:spacing w:before="0" w:after="283"/>
              <w:jc w:val="left"/>
              <w:rPr/>
            </w:pPr>
            <w:r>
              <w:rPr/>
              <w:t> </w:t>
            </w:r>
          </w:p>
        </w:tc>
        <w:tc>
          <w:tcPr>
            <w:tcW w:w="1211"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CBDBD1" w:val="clear"/>
            <w:vAlign w:val="bottom"/>
          </w:tcPr>
          <w:p>
            <w:pPr>
              <w:pStyle w:val="TableContents"/>
              <w:spacing w:before="0" w:after="283"/>
              <w:jc w:val="left"/>
              <w:rPr/>
            </w:pPr>
            <w:r>
              <w:rPr/>
              <w:t> </w:t>
            </w:r>
          </w:p>
        </w:tc>
        <w:tc>
          <w:tcPr>
            <w:tcW w:w="982"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Notes:</w:t>
      </w:r>
    </w:p>
    <w:p>
      <w:pPr>
        <w:pStyle w:val="TextBody"/>
        <w:spacing w:before="0" w:after="0"/>
        <w:ind w:left="0" w:right="0" w:hanging="0"/>
        <w:rPr/>
      </w:pPr>
      <w:r>
        <w:rPr/>
      </w:r>
    </w:p>
    <w:p>
      <w:pPr>
        <w:pStyle w:val="Normal"/>
        <w:spacing w:before="0" w:after="0"/>
        <w:rPr>
          <w:sz w:val="4"/>
          <w:szCs w:val="4"/>
        </w:rPr>
      </w:pPr>
      <w:r>
        <w:rPr>
          <w:sz w:val="4"/>
          <w:szCs w:val="4"/>
        </w:rPr>
      </w:r>
      <w:bookmarkStart w:id="344" w:name="hangingindent23"/>
      <w:bookmarkStart w:id="345" w:name="hangingindent23"/>
      <w:bookmarkEnd w:id="345"/>
    </w:p>
    <w:tbl>
      <w:tblPr>
        <w:tblW w:w="5000" w:type="pct"/>
        <w:jc w:val="center"/>
        <w:tblInd w:w="0" w:type="dxa"/>
        <w:tblCellMar>
          <w:top w:w="0" w:type="dxa"/>
          <w:left w:w="0" w:type="dxa"/>
          <w:bottom w:w="0" w:type="dxa"/>
          <w:right w:w="0" w:type="dxa"/>
        </w:tblCellMar>
      </w:tblPr>
      <w:tblGrid>
        <w:gridCol w:w="130"/>
        <w:gridCol w:w="184"/>
        <w:gridCol w:w="9891"/>
      </w:tblGrid>
      <w:tr>
        <w:trPr/>
        <w:tc>
          <w:tcPr>
            <w:tcW w:w="130" w:type="dxa"/>
            <w:tcBorders/>
            <w:shd w:fill="auto" w:val="clear"/>
          </w:tcPr>
          <w:p>
            <w:pPr>
              <w:pStyle w:val="TableContents"/>
              <w:spacing w:before="0" w:after="0"/>
              <w:rPr/>
            </w:pPr>
            <w:r>
              <w:rPr/>
              <w:t xml:space="preserve">  </w:t>
            </w:r>
          </w:p>
        </w:tc>
        <w:tc>
          <w:tcPr>
            <w:tcW w:w="1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address for Stephanie Y. Jones is c/o Excaliber Enterprises, Ltd., 13834 W. Hoyt Road, Rathdrum, ID 83858.</w:t>
            </w:r>
          </w:p>
        </w:tc>
      </w:tr>
    </w:tbl>
    <w:p>
      <w:pPr>
        <w:pStyle w:val="TextBody"/>
        <w:spacing w:before="0" w:after="0"/>
        <w:ind w:left="0" w:right="0" w:hanging="0"/>
        <w:rPr/>
      </w:pPr>
      <w:r>
        <w:rPr/>
      </w:r>
    </w:p>
    <w:p>
      <w:pPr>
        <w:pStyle w:val="Normal"/>
        <w:spacing w:before="0" w:after="0"/>
        <w:rPr>
          <w:sz w:val="4"/>
          <w:szCs w:val="4"/>
        </w:rPr>
      </w:pPr>
      <w:r>
        <w:rPr>
          <w:sz w:val="4"/>
          <w:szCs w:val="4"/>
        </w:rPr>
      </w:r>
      <w:bookmarkStart w:id="346" w:name="hangingindent24"/>
      <w:bookmarkStart w:id="347" w:name="hangingindent24"/>
      <w:bookmarkEnd w:id="347"/>
    </w:p>
    <w:tbl>
      <w:tblPr>
        <w:tblW w:w="5000" w:type="pct"/>
        <w:jc w:val="center"/>
        <w:tblInd w:w="0" w:type="dxa"/>
        <w:tblCellMar>
          <w:top w:w="0" w:type="dxa"/>
          <w:left w:w="0" w:type="dxa"/>
          <w:bottom w:w="0" w:type="dxa"/>
          <w:right w:w="0" w:type="dxa"/>
        </w:tblCellMar>
      </w:tblPr>
      <w:tblGrid>
        <w:gridCol w:w="86"/>
        <w:gridCol w:w="145"/>
        <w:gridCol w:w="9974"/>
      </w:tblGrid>
      <w:tr>
        <w:trPr/>
        <w:tc>
          <w:tcPr>
            <w:tcW w:w="86" w:type="dxa"/>
            <w:tcBorders/>
            <w:shd w:fill="auto" w:val="clear"/>
          </w:tcPr>
          <w:p>
            <w:pPr>
              <w:pStyle w:val="TableContents"/>
              <w:spacing w:before="0" w:after="0"/>
              <w:rPr/>
            </w:pPr>
            <w:r>
              <w:rPr/>
              <w:t xml:space="preserve">  </w:t>
            </w:r>
          </w:p>
        </w:tc>
        <w:tc>
          <w:tcPr>
            <w:tcW w:w="1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 used in this table, “beneficial ownership” means the sole or shared power to vote, or to direct the voting of, a security, or the sole or share investment power with respect to a security (i.e., the power to dispose of, or to direct the disposition of a security).</w:t>
            </w:r>
          </w:p>
        </w:tc>
      </w:tr>
    </w:tbl>
    <w:p>
      <w:pPr>
        <w:pStyle w:val="TextBody"/>
        <w:spacing w:before="0" w:after="0"/>
        <w:ind w:left="0" w:right="0" w:hanging="0"/>
        <w:rPr/>
      </w:pPr>
      <w:r>
        <w:rPr/>
      </w:r>
    </w:p>
    <w:p>
      <w:pPr>
        <w:pStyle w:val="Normal"/>
        <w:spacing w:before="0" w:after="0"/>
        <w:rPr>
          <w:sz w:val="4"/>
          <w:szCs w:val="4"/>
        </w:rPr>
      </w:pPr>
      <w:r>
        <w:rPr>
          <w:sz w:val="4"/>
          <w:szCs w:val="4"/>
        </w:rPr>
      </w:r>
      <w:bookmarkStart w:id="348" w:name="hangingindent25"/>
      <w:bookmarkStart w:id="349" w:name="hangingindent25"/>
      <w:bookmarkEnd w:id="349"/>
    </w:p>
    <w:tbl>
      <w:tblPr>
        <w:tblW w:w="5000" w:type="pct"/>
        <w:jc w:val="center"/>
        <w:tblInd w:w="0" w:type="dxa"/>
        <w:tblCellMar>
          <w:top w:w="0" w:type="dxa"/>
          <w:left w:w="0" w:type="dxa"/>
          <w:bottom w:w="0" w:type="dxa"/>
          <w:right w:w="0" w:type="dxa"/>
        </w:tblCellMar>
      </w:tblPr>
      <w:tblGrid>
        <w:gridCol w:w="149"/>
        <w:gridCol w:w="213"/>
        <w:gridCol w:w="9843"/>
      </w:tblGrid>
      <w:tr>
        <w:trPr/>
        <w:tc>
          <w:tcPr>
            <w:tcW w:w="149" w:type="dxa"/>
            <w:tcBorders/>
            <w:shd w:fill="auto" w:val="clear"/>
          </w:tcPr>
          <w:p>
            <w:pPr>
              <w:pStyle w:val="TableContents"/>
              <w:spacing w:before="0" w:after="0"/>
              <w:rPr/>
            </w:pPr>
            <w:r>
              <w:rPr/>
              <w:t xml:space="preserve">  </w:t>
            </w:r>
          </w:p>
        </w:tc>
        <w:tc>
          <w:tcPr>
            <w:tcW w:w="2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Nicole Jones is the sister-in-law of Stephanie Jones and Matthew Jones, our officers and directors.</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50" w:name="certainrelat"/>
      <w:bookmarkEnd w:id="350"/>
      <w:r>
        <w:rPr>
          <w:rFonts w:ascii="Times New Roman" w:hAnsi="Times New Roman"/>
          <w:sz w:val="20"/>
        </w:rPr>
        <w:t>CERTAIN RELATIONSHIPS AND RELATED TRANSACTIONS, AND DIRECTOR INDEPENDENCE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2006, we issued 5,000,000 shares of $0.001 par value common stock to Stephanie Jones, an officer and director, in exchange for services performed valued at $5,000, related specifically to the formation and organization of our corporation, as well as setting forth a business plan and operational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2006, Stephanie Jones donated cash in the amount of $100.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September 2006, we issued 100,000 shares of $0.001 par value common stock to Nicole Jones, the sister-in-law of our officers and directors,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we use office space and services provided without charge by Mr. and Mrs. Jones, our directors and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has concluded that our directors, Stephanie Jones and Matthew Jones, are not independent in accordance with the director independence standards.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 w:name="PGBRK30"/>
      <w:bookmarkStart w:id="352" w:name="PGBRK30"/>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 w:name="FTR30"/>
      <w:bookmarkStart w:id="354" w:name="FTR30"/>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5" w:name="GLFTR30"/>
      <w:bookmarkEnd w:id="3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6" w:name="PN30"/>
      <w:bookmarkEnd w:id="356"/>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HDR30"/>
      <w:bookmarkStart w:id="358" w:name="HDR30"/>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9" w:name="GLHDR30"/>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60" w:name="principal"/>
      <w:bookmarkEnd w:id="360"/>
      <w:r>
        <w:rPr>
          <w:rFonts w:ascii="Times New Roman" w:hAnsi="Times New Roman"/>
          <w:sz w:val="20"/>
        </w:rPr>
        <w:t>PRINCIPAL ACCOUNTING FEES AND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fees billed to us by our independent auditors for the years ended 2009 and 2008 for (i) services rendered for the audit of our annual financial statements and the review of our quarterly financial statements, (ii) services rendered that are reasonably related to the performance of the audit or review of our financial statements that are not reported as Audit Fees, and (iii) services rendered in connection with tax preparation, compliance, advice and assistance.</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6670"/>
        <w:gridCol w:w="103"/>
        <w:gridCol w:w="127"/>
        <w:gridCol w:w="917"/>
        <w:gridCol w:w="103"/>
        <w:gridCol w:w="103"/>
        <w:gridCol w:w="127"/>
        <w:gridCol w:w="917"/>
        <w:gridCol w:w="117"/>
      </w:tblGrid>
      <w:tr>
        <w:trPr/>
        <w:tc>
          <w:tcPr>
            <w:tcW w:w="667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SERVICES</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7" w:type="dxa"/>
            <w:tcBorders/>
            <w:shd w:fill="auto" w:val="clear"/>
            <w:tcMar>
              <w:bottom w:w="0" w:type="dxa"/>
            </w:tcMar>
            <w:vAlign w:val="bottom"/>
          </w:tcPr>
          <w:p>
            <w:pPr>
              <w:pStyle w:val="TableContents"/>
              <w:spacing w:before="0" w:after="283"/>
              <w:jc w:val="left"/>
              <w:rPr/>
            </w:pPr>
            <w:r>
              <w:rPr/>
              <w:t> </w:t>
            </w:r>
          </w:p>
        </w:tc>
      </w:tr>
      <w:tr>
        <w:trPr/>
        <w:tc>
          <w:tcPr>
            <w:tcW w:w="6670" w:type="dxa"/>
            <w:tcBorders/>
            <w:shd w:fill="auto" w:val="clear"/>
            <w:tcMar>
              <w:bottom w:w="0" w:type="dxa"/>
            </w:tcMar>
            <w:vAlign w:val="bottom"/>
          </w:tcPr>
          <w:p>
            <w:pPr>
              <w:pStyle w:val="TableContents"/>
              <w:spacing w:before="0" w:after="283"/>
              <w:rPr/>
            </w:pPr>
            <w:r>
              <w:rPr/>
              <w:t xml:space="preserve">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shd w:fill="auto" w:val="clear"/>
            <w:tcMar>
              <w:bottom w:w="0" w:type="dxa"/>
            </w:tcMar>
            <w:vAlign w:val="bottom"/>
          </w:tcPr>
          <w:p>
            <w:pPr>
              <w:pStyle w:val="TableContents"/>
              <w:spacing w:before="0" w:after="283"/>
              <w:rPr/>
            </w:pPr>
            <w:r>
              <w:rPr/>
              <w:t> </w:t>
            </w:r>
          </w:p>
        </w:tc>
        <w:tc>
          <w:tcPr>
            <w:tcW w:w="117" w:type="dxa"/>
            <w:tcBorders/>
            <w:shd w:fill="auto"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Audit fees</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Audit-related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Tax fees</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All other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9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9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283"/>
              <w:rPr/>
            </w:pPr>
            <w:r>
              <w:rPr/>
              <w:t xml:space="preserve">  </w:t>
            </w:r>
          </w:p>
        </w:tc>
        <w:tc>
          <w:tcPr>
            <w:tcW w:w="103" w:type="dxa"/>
            <w:tcBorders/>
            <w:shd w:fill="CBDBD1" w:val="clear"/>
            <w:tcMar>
              <w:bottom w:w="0" w:type="dxa"/>
            </w:tcMar>
            <w:vAlign w:val="bottom"/>
          </w:tcPr>
          <w:p>
            <w:pPr>
              <w:pStyle w:val="TableContents"/>
              <w:spacing w:before="0" w:after="283"/>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pPr>
            <w:r>
              <w:rPr/>
              <w:t> </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pPr>
            <w:r>
              <w:rPr/>
              <w:t> </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Total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1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61" w:name="exhi"/>
      <w:bookmarkEnd w:id="361"/>
      <w:r>
        <w:rPr>
          <w:rFonts w:ascii="Times New Roman" w:hAnsi="Times New Roman"/>
          <w:sz w:val="20"/>
        </w:rPr>
        <w:t>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Exhibit Number</w:t>
            </w:r>
          </w:p>
        </w:tc>
        <w:tc>
          <w:tcPr>
            <w:tcW w:w="8947"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Name and/or Identification of Exhibit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Articles of Incorporation &amp; By-Laws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Articles of Incorporation (1)</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By-Laws (1)</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under Section 906 of the Sarbanes-Oxley Act (18 U.S.C. Section 1350)</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bl>
    <w:p>
      <w:pPr>
        <w:pStyle w:val="Normal"/>
        <w:spacing w:before="0" w:after="0"/>
        <w:rPr>
          <w:sz w:val="4"/>
          <w:szCs w:val="4"/>
        </w:rPr>
      </w:pPr>
      <w:r>
        <w:rPr>
          <w:sz w:val="4"/>
          <w:szCs w:val="4"/>
        </w:rPr>
      </w:r>
      <w:bookmarkStart w:id="362" w:name="hangingindent26"/>
      <w:bookmarkStart w:id="363" w:name="hangingindent26"/>
      <w:bookmarkEnd w:id="363"/>
    </w:p>
    <w:tbl>
      <w:tblPr>
        <w:tblW w:w="5000" w:type="pct"/>
        <w:jc w:val="center"/>
        <w:tblInd w:w="0" w:type="dxa"/>
        <w:tblCellMar>
          <w:top w:w="0" w:type="dxa"/>
          <w:left w:w="0" w:type="dxa"/>
          <w:bottom w:w="0" w:type="dxa"/>
          <w:right w:w="0" w:type="dxa"/>
        </w:tblCellMar>
      </w:tblPr>
      <w:tblGrid>
        <w:gridCol w:w="117"/>
        <w:gridCol w:w="243"/>
        <w:gridCol w:w="9845"/>
      </w:tblGrid>
      <w:tr>
        <w:trPr/>
        <w:tc>
          <w:tcPr>
            <w:tcW w:w="117" w:type="dxa"/>
            <w:tcBorders/>
            <w:shd w:fill="auto" w:val="clear"/>
          </w:tcPr>
          <w:p>
            <w:pPr>
              <w:pStyle w:val="TableContents"/>
              <w:spacing w:before="0" w:after="0"/>
              <w:rPr/>
            </w:pPr>
            <w:r>
              <w:rPr/>
              <w:t xml:space="preserve">  </w:t>
            </w:r>
          </w:p>
        </w:tc>
        <w:tc>
          <w:tcPr>
            <w:tcW w:w="2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Incorporated by reference to the Registration Statement on Form SB-2, previously filed with the SEC on September 11, 2007.</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 w:name="PGBRK31"/>
      <w:bookmarkStart w:id="365" w:name="PGBRK31"/>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FTR31"/>
      <w:bookmarkStart w:id="367" w:name="FTR31"/>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8" w:name="GLFTR31"/>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9" w:name="PN31"/>
      <w:bookmarkEnd w:id="369"/>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HDR31"/>
      <w:bookmarkStart w:id="371" w:name="HDR31"/>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2" w:name="GLHDR31"/>
      <w:bookmarkEnd w:id="3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373" w:name="signs"/>
      <w:bookmarkEnd w:id="373"/>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Section 13 or 15(d) of the Exchange Act, the registrant caused this report to be signed on its behalf by the undersigned, thereto duly authorized.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8164"/>
      </w:tblGrid>
      <w:tr>
        <w:trPr/>
        <w:tc>
          <w:tcPr>
            <w:tcW w:w="8164"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EXCALIBER ENTERPRISES, LTD.</w:t>
            </w:r>
          </w:p>
        </w:tc>
      </w:tr>
      <w:tr>
        <w:trPr/>
        <w:tc>
          <w:tcPr>
            <w:tcW w:w="816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w:t>
            </w:r>
          </w:p>
        </w:tc>
      </w:tr>
      <w:tr>
        <w:trPr/>
        <w:tc>
          <w:tcPr>
            <w:tcW w:w="8164" w:type="dxa"/>
            <w:tcBorders/>
            <w:shd w:fill="auto" w:val="clear"/>
          </w:tcPr>
          <w:p>
            <w:pPr>
              <w:pStyle w:val="TableContents"/>
              <w:spacing w:before="0" w:after="283"/>
              <w:rPr/>
            </w:pPr>
            <w:r>
              <w:rPr/>
              <w:t xml:space="preserve">  </w:t>
            </w:r>
          </w:p>
        </w:tc>
      </w:tr>
      <w:tr>
        <w:trPr/>
        <w:tc>
          <w:tcPr>
            <w:tcW w:w="816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Stephanie Y. Jones</w:t>
            </w:r>
            <w:r>
              <w:rPr>
                <w:rFonts w:ascii="times new roman" w:hAnsi="times new roman"/>
                <w:sz w:val="20"/>
              </w:rPr>
              <w:t>, President &amp; CEO</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Securities Act of 1933, this Registration Statement was signed by the following persons in the capacities and on the dates stated: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654"/>
        <w:gridCol w:w="2755"/>
        <w:gridCol w:w="2755"/>
      </w:tblGrid>
      <w:tr>
        <w:trPr/>
        <w:tc>
          <w:tcPr>
            <w:tcW w:w="2654"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2755"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2755"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2654"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r>
        <w:trPr/>
        <w:tc>
          <w:tcPr>
            <w:tcW w:w="2654"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President, CEO and Director</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March 17, 2010</w:t>
            </w:r>
          </w:p>
        </w:tc>
      </w:tr>
      <w:tr>
        <w:trPr/>
        <w:tc>
          <w:tcPr>
            <w:tcW w:w="265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r>
        <w:trPr/>
        <w:tc>
          <w:tcPr>
            <w:tcW w:w="2654"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r>
        <w:trPr/>
        <w:tc>
          <w:tcPr>
            <w:tcW w:w="2654"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March 17, 2010</w:t>
            </w:r>
          </w:p>
        </w:tc>
      </w:tr>
      <w:tr>
        <w:trPr/>
        <w:tc>
          <w:tcPr>
            <w:tcW w:w="265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r>
        <w:trPr/>
        <w:tc>
          <w:tcPr>
            <w:tcW w:w="2654"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r>
        <w:trPr/>
        <w:tc>
          <w:tcPr>
            <w:tcW w:w="2654"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Chief Accounting Officer</w:t>
            </w:r>
          </w:p>
        </w:tc>
        <w:tc>
          <w:tcPr>
            <w:tcW w:w="275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March 17, 2010</w:t>
            </w:r>
          </w:p>
        </w:tc>
      </w:tr>
      <w:tr>
        <w:trPr/>
        <w:tc>
          <w:tcPr>
            <w:tcW w:w="265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55" w:type="dxa"/>
            <w:tcBorders/>
            <w:shd w:fill="auto" w:val="clear"/>
          </w:tcPr>
          <w:p>
            <w:pPr>
              <w:pStyle w:val="TableContents"/>
              <w:spacing w:before="0" w:after="283"/>
              <w:rPr/>
            </w:pPr>
            <w:r>
              <w:rPr/>
              <w:t xml:space="preserve">  </w:t>
            </w:r>
          </w:p>
        </w:tc>
        <w:tc>
          <w:tcPr>
            <w:tcW w:w="275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4" w:name="PGBRK32"/>
      <w:bookmarkStart w:id="375" w:name="PGBRK32"/>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FTR32"/>
      <w:bookmarkStart w:id="377" w:name="FTR32"/>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8" w:name="GLFTR32"/>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9" w:name="PN32"/>
      <w:bookmarkEnd w:id="379"/>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32"/>
      <w:bookmarkStart w:id="381" w:name="HDR32"/>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2" w:name="GLHDR32"/>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bookmarkStart w:id="383" w:name="excb_ex31-1.htm"/>
      <w:bookmarkStart w:id="384" w:name="ksexcb_ex311"/>
      <w:bookmarkStart w:id="385" w:name="excb_ex31-1.htm"/>
      <w:bookmarkStart w:id="386" w:name="ksexcb_ex311"/>
      <w:bookmarkEnd w:id="385"/>
      <w:bookmarkEnd w:id="386"/>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 Stephanie Y.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387" w:name="hangingindent27"/>
      <w:bookmarkStart w:id="388" w:name="hangingindent27"/>
      <w:bookmarkEnd w:id="388"/>
    </w:p>
    <w:tbl>
      <w:tblPr>
        <w:tblW w:w="5000" w:type="pct"/>
        <w:jc w:val="center"/>
        <w:tblInd w:w="0" w:type="dxa"/>
        <w:tblCellMar>
          <w:top w:w="0" w:type="dxa"/>
          <w:left w:w="0" w:type="dxa"/>
          <w:bottom w:w="0" w:type="dxa"/>
          <w:right w:w="0" w:type="dxa"/>
        </w:tblCellMar>
      </w:tblPr>
      <w:tblGrid>
        <w:gridCol w:w="220"/>
        <w:gridCol w:w="312"/>
        <w:gridCol w:w="9673"/>
      </w:tblGrid>
      <w:tr>
        <w:trPr/>
        <w:tc>
          <w:tcPr>
            <w:tcW w:w="220"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of Excaliber Enterprises, Ltd..;</w:t>
            </w:r>
          </w:p>
        </w:tc>
      </w:tr>
    </w:tbl>
    <w:p>
      <w:pPr>
        <w:pStyle w:val="TextBody"/>
        <w:spacing w:before="0" w:after="0"/>
        <w:ind w:left="360" w:right="0" w:hanging="0"/>
        <w:jc w:val="both"/>
        <w:rPr/>
      </w:pPr>
      <w:r>
        <w:rPr/>
      </w:r>
      <w:bookmarkStart w:id="389" w:name="b.31.2"/>
      <w:bookmarkStart w:id="390" w:name="b.31.2"/>
      <w:bookmarkEnd w:id="390"/>
    </w:p>
    <w:p>
      <w:pPr>
        <w:pStyle w:val="Normal"/>
        <w:spacing w:before="0" w:after="0"/>
        <w:rPr>
          <w:sz w:val="4"/>
          <w:szCs w:val="4"/>
        </w:rPr>
      </w:pPr>
      <w:r>
        <w:rPr>
          <w:sz w:val="4"/>
          <w:szCs w:val="4"/>
        </w:rPr>
      </w:r>
      <w:bookmarkStart w:id="391" w:name="hangingindent28"/>
      <w:bookmarkStart w:id="392" w:name="hangingindent28"/>
      <w:bookmarkEnd w:id="392"/>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393" w:name="hangingindent29"/>
      <w:bookmarkStart w:id="394" w:name="hangingindent29"/>
      <w:bookmarkEnd w:id="394"/>
    </w:p>
    <w:tbl>
      <w:tblPr>
        <w:tblW w:w="5000" w:type="pct"/>
        <w:jc w:val="center"/>
        <w:tblInd w:w="0" w:type="dxa"/>
        <w:tblCellMar>
          <w:top w:w="0" w:type="dxa"/>
          <w:left w:w="0" w:type="dxa"/>
          <w:bottom w:w="0" w:type="dxa"/>
          <w:right w:w="0" w:type="dxa"/>
        </w:tblCellMar>
      </w:tblPr>
      <w:tblGrid>
        <w:gridCol w:w="83"/>
        <w:gridCol w:w="143"/>
        <w:gridCol w:w="9979"/>
      </w:tblGrid>
      <w:tr>
        <w:trPr/>
        <w:tc>
          <w:tcPr>
            <w:tcW w:w="83"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bookmarkStart w:id="395" w:name="b.31.3"/>
            <w:bookmarkEnd w:id="395"/>
            <w:r>
              <w:rPr>
                <w:rFonts w:ascii="Times New Roman" w:hAnsi="Times New Roman"/>
                <w:sz w:val="20"/>
              </w:rPr>
              <w:t>3.</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396" w:name="hangingindent30"/>
      <w:bookmarkStart w:id="397" w:name="hangingindent30"/>
      <w:bookmarkEnd w:id="397"/>
    </w:p>
    <w:tbl>
      <w:tblPr>
        <w:tblW w:w="5000" w:type="pct"/>
        <w:jc w:val="center"/>
        <w:tblInd w:w="0" w:type="dxa"/>
        <w:tblCellMar>
          <w:top w:w="0" w:type="dxa"/>
          <w:left w:w="0" w:type="dxa"/>
          <w:bottom w:w="0" w:type="dxa"/>
          <w:right w:w="0" w:type="dxa"/>
        </w:tblCellMar>
      </w:tblPr>
      <w:tblGrid>
        <w:gridCol w:w="78"/>
        <w:gridCol w:w="139"/>
        <w:gridCol w:w="9988"/>
      </w:tblGrid>
      <w:tr>
        <w:trPr/>
        <w:tc>
          <w:tcPr>
            <w:tcW w:w="78"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 w:name="hangingindent31"/>
      <w:bookmarkStart w:id="399" w:name="hangingindent31"/>
      <w:bookmarkEnd w:id="399"/>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bookmarkStart w:id="400" w:name="b.31.4.a"/>
            <w:bookmarkEnd w:id="400"/>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tc>
      </w:tr>
    </w:tbl>
    <w:p>
      <w:pPr>
        <w:pStyle w:val="TextBody"/>
        <w:spacing w:before="0" w:after="0"/>
        <w:ind w:left="720" w:right="0" w:hanging="0"/>
        <w:jc w:val="both"/>
        <w:rPr/>
      </w:pPr>
      <w:r>
        <w:rPr/>
      </w:r>
      <w:bookmarkStart w:id="401" w:name="b.31.4.b"/>
      <w:bookmarkStart w:id="402" w:name="b.31.4.b"/>
      <w:bookmarkEnd w:id="402"/>
    </w:p>
    <w:p>
      <w:pPr>
        <w:pStyle w:val="Normal"/>
        <w:spacing w:before="0" w:after="0"/>
        <w:rPr>
          <w:sz w:val="4"/>
          <w:szCs w:val="4"/>
        </w:rPr>
      </w:pPr>
      <w:r>
        <w:rPr>
          <w:sz w:val="4"/>
          <w:szCs w:val="4"/>
        </w:rPr>
      </w:r>
      <w:bookmarkStart w:id="403" w:name="hangingindent32"/>
      <w:bookmarkStart w:id="404" w:name="hangingindent32"/>
      <w:bookmarkEnd w:id="404"/>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r>
      <w:bookmarkStart w:id="405" w:name="b.31.4.c"/>
      <w:bookmarkStart w:id="406" w:name="b.31.4.c"/>
      <w:bookmarkEnd w:id="406"/>
    </w:p>
    <w:p>
      <w:pPr>
        <w:pStyle w:val="Normal"/>
        <w:spacing w:before="0" w:after="0"/>
        <w:rPr>
          <w:sz w:val="4"/>
          <w:szCs w:val="4"/>
        </w:rPr>
      </w:pPr>
      <w:r>
        <w:rPr>
          <w:sz w:val="4"/>
          <w:szCs w:val="4"/>
        </w:rPr>
      </w:r>
      <w:bookmarkStart w:id="407" w:name="hangingindent33"/>
      <w:bookmarkStart w:id="408" w:name="hangingindent33"/>
      <w:bookmarkEnd w:id="408"/>
    </w:p>
    <w:tbl>
      <w:tblPr>
        <w:tblW w:w="5000" w:type="pct"/>
        <w:jc w:val="center"/>
        <w:tblInd w:w="0" w:type="dxa"/>
        <w:tblCellMar>
          <w:top w:w="0" w:type="dxa"/>
          <w:left w:w="0" w:type="dxa"/>
          <w:bottom w:w="0" w:type="dxa"/>
          <w:right w:w="0" w:type="dxa"/>
        </w:tblCellMar>
      </w:tblPr>
      <w:tblGrid>
        <w:gridCol w:w="83"/>
        <w:gridCol w:w="155"/>
        <w:gridCol w:w="9967"/>
      </w:tblGrid>
      <w:tr>
        <w:trPr/>
        <w:tc>
          <w:tcPr>
            <w:tcW w:w="83"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r>
      <w:bookmarkStart w:id="409" w:name="b.31.4.d"/>
      <w:bookmarkStart w:id="410" w:name="b.31.4.d"/>
      <w:bookmarkEnd w:id="410"/>
    </w:p>
    <w:p>
      <w:pPr>
        <w:pStyle w:val="Normal"/>
        <w:spacing w:before="0" w:after="0"/>
        <w:rPr>
          <w:sz w:val="4"/>
          <w:szCs w:val="4"/>
        </w:rPr>
      </w:pPr>
      <w:r>
        <w:rPr>
          <w:sz w:val="4"/>
          <w:szCs w:val="4"/>
        </w:rPr>
      </w:r>
      <w:bookmarkStart w:id="411" w:name="hangingindent34"/>
      <w:bookmarkStart w:id="412" w:name="hangingindent34"/>
      <w:bookmarkEnd w:id="412"/>
    </w:p>
    <w:tbl>
      <w:tblPr>
        <w:tblW w:w="5000" w:type="pct"/>
        <w:jc w:val="center"/>
        <w:tblInd w:w="0" w:type="dxa"/>
        <w:tblCellMar>
          <w:top w:w="0" w:type="dxa"/>
          <w:left w:w="0" w:type="dxa"/>
          <w:bottom w:w="0" w:type="dxa"/>
          <w:right w:w="0" w:type="dxa"/>
        </w:tblCellMar>
      </w:tblPr>
      <w:tblGrid>
        <w:gridCol w:w="76"/>
        <w:gridCol w:w="170"/>
        <w:gridCol w:w="9959"/>
      </w:tblGrid>
      <w:tr>
        <w:trPr/>
        <w:tc>
          <w:tcPr>
            <w:tcW w:w="7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tc>
      </w:tr>
    </w:tbl>
    <w:p>
      <w:pPr>
        <w:pStyle w:val="TextBody"/>
        <w:spacing w:before="0" w:after="0"/>
        <w:ind w:left="1800" w:right="0" w:hanging="0"/>
        <w:jc w:val="both"/>
        <w:rPr/>
      </w:pPr>
      <w:r>
        <w:rPr/>
      </w:r>
      <w:bookmarkStart w:id="413" w:name="b.31.5"/>
      <w:bookmarkStart w:id="414" w:name="b.31.5"/>
      <w:bookmarkEnd w:id="414"/>
    </w:p>
    <w:p>
      <w:pPr>
        <w:pStyle w:val="Normal"/>
        <w:spacing w:before="0" w:after="0"/>
        <w:rPr>
          <w:sz w:val="4"/>
          <w:szCs w:val="4"/>
        </w:rPr>
      </w:pPr>
      <w:r>
        <w:rPr>
          <w:sz w:val="4"/>
          <w:szCs w:val="4"/>
        </w:rPr>
      </w:r>
      <w:bookmarkStart w:id="415" w:name="hangingindent35"/>
      <w:bookmarkStart w:id="416" w:name="hangingindent35"/>
      <w:bookmarkEnd w:id="416"/>
    </w:p>
    <w:tbl>
      <w:tblPr>
        <w:tblW w:w="5000" w:type="pct"/>
        <w:jc w:val="center"/>
        <w:tblInd w:w="0" w:type="dxa"/>
        <w:tblCellMar>
          <w:top w:w="0" w:type="dxa"/>
          <w:left w:w="0" w:type="dxa"/>
          <w:bottom w:w="0" w:type="dxa"/>
          <w:right w:w="0" w:type="dxa"/>
        </w:tblCellMar>
      </w:tblPr>
      <w:tblGrid>
        <w:gridCol w:w="81"/>
        <w:gridCol w:w="141"/>
        <w:gridCol w:w="9983"/>
      </w:tblGrid>
      <w:tr>
        <w:trPr/>
        <w:tc>
          <w:tcPr>
            <w:tcW w:w="81"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tc>
      </w:tr>
    </w:tbl>
    <w:p>
      <w:pPr>
        <w:pStyle w:val="TextBody"/>
        <w:spacing w:before="0" w:after="0"/>
        <w:ind w:left="720" w:right="0" w:hanging="0"/>
        <w:jc w:val="both"/>
        <w:rPr/>
      </w:pPr>
      <w:r>
        <w:rPr/>
      </w:r>
      <w:bookmarkStart w:id="417" w:name="b.31.5.a"/>
      <w:bookmarkStart w:id="418" w:name="b.31.5.a"/>
      <w:bookmarkEnd w:id="418"/>
    </w:p>
    <w:p>
      <w:pPr>
        <w:pStyle w:val="Normal"/>
        <w:spacing w:before="0" w:after="0"/>
        <w:rPr>
          <w:sz w:val="4"/>
          <w:szCs w:val="4"/>
        </w:rPr>
      </w:pPr>
      <w:r>
        <w:rPr>
          <w:sz w:val="4"/>
          <w:szCs w:val="4"/>
        </w:rPr>
      </w:r>
      <w:bookmarkStart w:id="419" w:name="hangingindent36"/>
      <w:bookmarkStart w:id="420" w:name="hangingindent36"/>
      <w:bookmarkEnd w:id="420"/>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tc>
      </w:tr>
    </w:tbl>
    <w:p>
      <w:pPr>
        <w:pStyle w:val="TextBody"/>
        <w:spacing w:before="0" w:after="0"/>
        <w:ind w:left="720" w:right="0" w:hanging="0"/>
        <w:jc w:val="both"/>
        <w:rPr/>
      </w:pPr>
      <w:r>
        <w:rPr/>
      </w:r>
      <w:bookmarkStart w:id="421" w:name="b.31.5.b"/>
      <w:bookmarkStart w:id="422" w:name="b.31.5.b"/>
      <w:bookmarkEnd w:id="422"/>
    </w:p>
    <w:p>
      <w:pPr>
        <w:pStyle w:val="Normal"/>
        <w:spacing w:before="0" w:after="0"/>
        <w:rPr>
          <w:sz w:val="4"/>
          <w:szCs w:val="4"/>
        </w:rPr>
      </w:pPr>
      <w:r>
        <w:rPr>
          <w:sz w:val="4"/>
          <w:szCs w:val="4"/>
        </w:rPr>
      </w:r>
      <w:bookmarkStart w:id="423" w:name="hangingindent37"/>
      <w:bookmarkStart w:id="424" w:name="hangingindent37"/>
      <w:bookmarkEnd w:id="424"/>
    </w:p>
    <w:tbl>
      <w:tblPr>
        <w:tblW w:w="5000" w:type="pct"/>
        <w:jc w:val="center"/>
        <w:tblInd w:w="0" w:type="dxa"/>
        <w:tblCellMar>
          <w:top w:w="0" w:type="dxa"/>
          <w:left w:w="0" w:type="dxa"/>
          <w:bottom w:w="0" w:type="dxa"/>
          <w:right w:w="0" w:type="dxa"/>
        </w:tblCellMar>
      </w:tblPr>
      <w:tblGrid>
        <w:gridCol w:w="98"/>
        <w:gridCol w:w="170"/>
        <w:gridCol w:w="9937"/>
      </w:tblGrid>
      <w:tr>
        <w:trPr/>
        <w:tc>
          <w:tcPr>
            <w:tcW w:w="9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small business issuer's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Date:  March 17, 2010</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both"/>
        <w:rPr/>
      </w:pPr>
      <w:r>
        <w:rPr/>
        <w:t>     </w:t>
      </w:r>
      <w:r>
        <w:rPr>
          <w:rFonts w:ascii="Times New Roman" w:hAnsi="Times New Roman"/>
          <w:sz w:val="20"/>
        </w:rPr>
        <w:t>President</w:t>
      </w:r>
    </w:p>
    <w:p>
      <w:pPr>
        <w:pStyle w:val="TextBody"/>
        <w:rPr/>
      </w:pPr>
      <w:r>
        <w:rPr/>
      </w:r>
      <w:r>
        <w:br w:type="page"/>
      </w:r>
    </w:p>
    <w:p>
      <w:pPr>
        <w:pStyle w:val="TextBody"/>
        <w:spacing w:before="0" w:after="0"/>
        <w:rPr/>
      </w:pPr>
      <w:r>
        <w:rPr/>
      </w:r>
      <w:bookmarkStart w:id="425" w:name="excb_ex31-2.htm"/>
      <w:bookmarkStart w:id="426" w:name="ksexcb_ex312"/>
      <w:bookmarkStart w:id="427" w:name="excb_ex31-2.htm"/>
      <w:bookmarkStart w:id="428" w:name="ksexcb_ex312"/>
      <w:bookmarkEnd w:id="427"/>
      <w:bookmarkEnd w:id="428"/>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 Matthew L.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429" w:name="hangingindent38"/>
      <w:bookmarkStart w:id="430" w:name="hangingindent38"/>
      <w:bookmarkEnd w:id="430"/>
    </w:p>
    <w:tbl>
      <w:tblPr>
        <w:tblW w:w="5000" w:type="pct"/>
        <w:jc w:val="center"/>
        <w:tblInd w:w="0" w:type="dxa"/>
        <w:tblCellMar>
          <w:top w:w="0" w:type="dxa"/>
          <w:left w:w="0" w:type="dxa"/>
          <w:bottom w:w="0" w:type="dxa"/>
          <w:right w:w="0" w:type="dxa"/>
        </w:tblCellMar>
      </w:tblPr>
      <w:tblGrid>
        <w:gridCol w:w="220"/>
        <w:gridCol w:w="312"/>
        <w:gridCol w:w="9673"/>
      </w:tblGrid>
      <w:tr>
        <w:trPr/>
        <w:tc>
          <w:tcPr>
            <w:tcW w:w="220"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of Excaliber Enterprises, Ltd..;</w:t>
            </w:r>
          </w:p>
        </w:tc>
      </w:tr>
    </w:tbl>
    <w:p>
      <w:pPr>
        <w:pStyle w:val="TextBody"/>
        <w:spacing w:before="0" w:after="0"/>
        <w:ind w:left="360" w:right="0" w:hanging="0"/>
        <w:jc w:val="both"/>
        <w:rPr/>
      </w:pPr>
      <w:r>
        <w:rPr/>
      </w:r>
      <w:bookmarkStart w:id="431" w:name="b.31.21"/>
      <w:bookmarkStart w:id="432" w:name="b.31.21"/>
      <w:bookmarkEnd w:id="432"/>
    </w:p>
    <w:p>
      <w:pPr>
        <w:pStyle w:val="Normal"/>
        <w:spacing w:before="0" w:after="0"/>
        <w:rPr>
          <w:sz w:val="4"/>
          <w:szCs w:val="4"/>
        </w:rPr>
      </w:pPr>
      <w:r>
        <w:rPr>
          <w:sz w:val="4"/>
          <w:szCs w:val="4"/>
        </w:rPr>
      </w:r>
      <w:bookmarkStart w:id="433" w:name="hangingindent39"/>
      <w:bookmarkStart w:id="434" w:name="hangingindent39"/>
      <w:bookmarkEnd w:id="434"/>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35" w:name="hangingindent40"/>
      <w:bookmarkStart w:id="436" w:name="hangingindent40"/>
      <w:bookmarkEnd w:id="436"/>
    </w:p>
    <w:tbl>
      <w:tblPr>
        <w:tblW w:w="5000" w:type="pct"/>
        <w:jc w:val="center"/>
        <w:tblInd w:w="0" w:type="dxa"/>
        <w:tblCellMar>
          <w:top w:w="0" w:type="dxa"/>
          <w:left w:w="0" w:type="dxa"/>
          <w:bottom w:w="0" w:type="dxa"/>
          <w:right w:w="0" w:type="dxa"/>
        </w:tblCellMar>
      </w:tblPr>
      <w:tblGrid>
        <w:gridCol w:w="83"/>
        <w:gridCol w:w="143"/>
        <w:gridCol w:w="9979"/>
      </w:tblGrid>
      <w:tr>
        <w:trPr/>
        <w:tc>
          <w:tcPr>
            <w:tcW w:w="83"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bookmarkStart w:id="437" w:name="b.31.31"/>
            <w:bookmarkEnd w:id="437"/>
            <w:r>
              <w:rPr>
                <w:rFonts w:ascii="Times New Roman" w:hAnsi="Times New Roman"/>
                <w:sz w:val="20"/>
              </w:rPr>
              <w:t>3.</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38" w:name="hangingindent41"/>
      <w:bookmarkStart w:id="439" w:name="hangingindent41"/>
      <w:bookmarkEnd w:id="439"/>
    </w:p>
    <w:tbl>
      <w:tblPr>
        <w:tblW w:w="5000" w:type="pct"/>
        <w:jc w:val="center"/>
        <w:tblInd w:w="0" w:type="dxa"/>
        <w:tblCellMar>
          <w:top w:w="0" w:type="dxa"/>
          <w:left w:w="0" w:type="dxa"/>
          <w:bottom w:w="0" w:type="dxa"/>
          <w:right w:w="0" w:type="dxa"/>
        </w:tblCellMar>
      </w:tblPr>
      <w:tblGrid>
        <w:gridCol w:w="78"/>
        <w:gridCol w:w="139"/>
        <w:gridCol w:w="9988"/>
      </w:tblGrid>
      <w:tr>
        <w:trPr/>
        <w:tc>
          <w:tcPr>
            <w:tcW w:w="78"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40" w:name="hangingindent42"/>
      <w:bookmarkStart w:id="441" w:name="hangingindent42"/>
      <w:bookmarkEnd w:id="441"/>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bookmarkStart w:id="442" w:name="b.31.4.a1"/>
            <w:bookmarkEnd w:id="442"/>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tc>
      </w:tr>
    </w:tbl>
    <w:p>
      <w:pPr>
        <w:pStyle w:val="TextBody"/>
        <w:spacing w:before="0" w:after="0"/>
        <w:ind w:left="720" w:right="0" w:hanging="0"/>
        <w:jc w:val="both"/>
        <w:rPr/>
      </w:pPr>
      <w:r>
        <w:rPr/>
      </w:r>
      <w:bookmarkStart w:id="443" w:name="b.31.4.b1"/>
      <w:bookmarkStart w:id="444" w:name="b.31.4.b1"/>
      <w:bookmarkEnd w:id="444"/>
    </w:p>
    <w:p>
      <w:pPr>
        <w:pStyle w:val="Normal"/>
        <w:spacing w:before="0" w:after="0"/>
        <w:rPr>
          <w:sz w:val="4"/>
          <w:szCs w:val="4"/>
        </w:rPr>
      </w:pPr>
      <w:r>
        <w:rPr>
          <w:sz w:val="4"/>
          <w:szCs w:val="4"/>
        </w:rPr>
      </w:r>
      <w:bookmarkStart w:id="445" w:name="hangingindent43"/>
      <w:bookmarkStart w:id="446" w:name="hangingindent43"/>
      <w:bookmarkEnd w:id="446"/>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r>
      <w:bookmarkStart w:id="447" w:name="b.31.4.c1"/>
      <w:bookmarkStart w:id="448" w:name="b.31.4.c1"/>
      <w:bookmarkEnd w:id="448"/>
    </w:p>
    <w:p>
      <w:pPr>
        <w:pStyle w:val="Normal"/>
        <w:spacing w:before="0" w:after="0"/>
        <w:rPr>
          <w:sz w:val="4"/>
          <w:szCs w:val="4"/>
        </w:rPr>
      </w:pPr>
      <w:r>
        <w:rPr>
          <w:sz w:val="4"/>
          <w:szCs w:val="4"/>
        </w:rPr>
      </w:r>
      <w:bookmarkStart w:id="449" w:name="hangingindent44"/>
      <w:bookmarkStart w:id="450" w:name="hangingindent44"/>
      <w:bookmarkEnd w:id="450"/>
    </w:p>
    <w:tbl>
      <w:tblPr>
        <w:tblW w:w="5000" w:type="pct"/>
        <w:jc w:val="center"/>
        <w:tblInd w:w="0" w:type="dxa"/>
        <w:tblCellMar>
          <w:top w:w="0" w:type="dxa"/>
          <w:left w:w="0" w:type="dxa"/>
          <w:bottom w:w="0" w:type="dxa"/>
          <w:right w:w="0" w:type="dxa"/>
        </w:tblCellMar>
      </w:tblPr>
      <w:tblGrid>
        <w:gridCol w:w="83"/>
        <w:gridCol w:w="155"/>
        <w:gridCol w:w="9967"/>
      </w:tblGrid>
      <w:tr>
        <w:trPr/>
        <w:tc>
          <w:tcPr>
            <w:tcW w:w="83"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r>
      <w:bookmarkStart w:id="451" w:name="b.31.4.d1"/>
      <w:bookmarkStart w:id="452" w:name="b.31.4.d1"/>
      <w:bookmarkEnd w:id="452"/>
    </w:p>
    <w:p>
      <w:pPr>
        <w:pStyle w:val="Normal"/>
        <w:spacing w:before="0" w:after="0"/>
        <w:rPr>
          <w:sz w:val="4"/>
          <w:szCs w:val="4"/>
        </w:rPr>
      </w:pPr>
      <w:r>
        <w:rPr>
          <w:sz w:val="4"/>
          <w:szCs w:val="4"/>
        </w:rPr>
      </w:r>
      <w:bookmarkStart w:id="453" w:name="hangingindent45"/>
      <w:bookmarkStart w:id="454" w:name="hangingindent45"/>
      <w:bookmarkEnd w:id="454"/>
    </w:p>
    <w:tbl>
      <w:tblPr>
        <w:tblW w:w="5000" w:type="pct"/>
        <w:jc w:val="center"/>
        <w:tblInd w:w="0" w:type="dxa"/>
        <w:tblCellMar>
          <w:top w:w="0" w:type="dxa"/>
          <w:left w:w="0" w:type="dxa"/>
          <w:bottom w:w="0" w:type="dxa"/>
          <w:right w:w="0" w:type="dxa"/>
        </w:tblCellMar>
      </w:tblPr>
      <w:tblGrid>
        <w:gridCol w:w="76"/>
        <w:gridCol w:w="170"/>
        <w:gridCol w:w="9959"/>
      </w:tblGrid>
      <w:tr>
        <w:trPr/>
        <w:tc>
          <w:tcPr>
            <w:tcW w:w="7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tc>
      </w:tr>
    </w:tbl>
    <w:p>
      <w:pPr>
        <w:pStyle w:val="TextBody"/>
        <w:spacing w:before="0" w:after="0"/>
        <w:ind w:left="1800" w:right="0" w:hanging="0"/>
        <w:jc w:val="both"/>
        <w:rPr/>
      </w:pPr>
      <w:r>
        <w:rPr/>
      </w:r>
      <w:bookmarkStart w:id="455" w:name="b.31.51"/>
      <w:bookmarkStart w:id="456" w:name="b.31.51"/>
      <w:bookmarkEnd w:id="456"/>
    </w:p>
    <w:p>
      <w:pPr>
        <w:pStyle w:val="Normal"/>
        <w:spacing w:before="0" w:after="0"/>
        <w:rPr>
          <w:sz w:val="4"/>
          <w:szCs w:val="4"/>
        </w:rPr>
      </w:pPr>
      <w:r>
        <w:rPr>
          <w:sz w:val="4"/>
          <w:szCs w:val="4"/>
        </w:rPr>
      </w:r>
      <w:bookmarkStart w:id="457" w:name="hangingindent46"/>
      <w:bookmarkStart w:id="458" w:name="hangingindent46"/>
      <w:bookmarkEnd w:id="458"/>
    </w:p>
    <w:tbl>
      <w:tblPr>
        <w:tblW w:w="5000" w:type="pct"/>
        <w:jc w:val="center"/>
        <w:tblInd w:w="0" w:type="dxa"/>
        <w:tblCellMar>
          <w:top w:w="0" w:type="dxa"/>
          <w:left w:w="0" w:type="dxa"/>
          <w:bottom w:w="0" w:type="dxa"/>
          <w:right w:w="0" w:type="dxa"/>
        </w:tblCellMar>
      </w:tblPr>
      <w:tblGrid>
        <w:gridCol w:w="81"/>
        <w:gridCol w:w="141"/>
        <w:gridCol w:w="9983"/>
      </w:tblGrid>
      <w:tr>
        <w:trPr/>
        <w:tc>
          <w:tcPr>
            <w:tcW w:w="81"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tc>
      </w:tr>
    </w:tbl>
    <w:p>
      <w:pPr>
        <w:pStyle w:val="TextBody"/>
        <w:spacing w:before="0" w:after="0"/>
        <w:ind w:left="720" w:right="0" w:hanging="0"/>
        <w:jc w:val="both"/>
        <w:rPr/>
      </w:pPr>
      <w:r>
        <w:rPr/>
      </w:r>
      <w:bookmarkStart w:id="459" w:name="b.31.5.a1"/>
      <w:bookmarkStart w:id="460" w:name="b.31.5.a1"/>
      <w:bookmarkEnd w:id="460"/>
    </w:p>
    <w:p>
      <w:pPr>
        <w:pStyle w:val="Normal"/>
        <w:spacing w:before="0" w:after="0"/>
        <w:rPr>
          <w:sz w:val="4"/>
          <w:szCs w:val="4"/>
        </w:rPr>
      </w:pPr>
      <w:r>
        <w:rPr>
          <w:sz w:val="4"/>
          <w:szCs w:val="4"/>
        </w:rPr>
      </w:r>
      <w:bookmarkStart w:id="461" w:name="hangingindent47"/>
      <w:bookmarkStart w:id="462" w:name="hangingindent47"/>
      <w:bookmarkEnd w:id="462"/>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tc>
      </w:tr>
    </w:tbl>
    <w:p>
      <w:pPr>
        <w:pStyle w:val="TextBody"/>
        <w:spacing w:before="0" w:after="0"/>
        <w:ind w:left="720" w:right="0" w:hanging="0"/>
        <w:jc w:val="both"/>
        <w:rPr/>
      </w:pPr>
      <w:r>
        <w:rPr/>
      </w:r>
      <w:bookmarkStart w:id="463" w:name="b.31.5.b1"/>
      <w:bookmarkStart w:id="464" w:name="b.31.5.b1"/>
      <w:bookmarkEnd w:id="464"/>
    </w:p>
    <w:p>
      <w:pPr>
        <w:pStyle w:val="Normal"/>
        <w:spacing w:before="0" w:after="0"/>
        <w:rPr>
          <w:sz w:val="4"/>
          <w:szCs w:val="4"/>
        </w:rPr>
      </w:pPr>
      <w:r>
        <w:rPr>
          <w:sz w:val="4"/>
          <w:szCs w:val="4"/>
        </w:rPr>
      </w:r>
      <w:bookmarkStart w:id="465" w:name="hangingindent48"/>
      <w:bookmarkStart w:id="466" w:name="hangingindent48"/>
      <w:bookmarkEnd w:id="466"/>
    </w:p>
    <w:tbl>
      <w:tblPr>
        <w:tblW w:w="5000" w:type="pct"/>
        <w:jc w:val="center"/>
        <w:tblInd w:w="0" w:type="dxa"/>
        <w:tblCellMar>
          <w:top w:w="0" w:type="dxa"/>
          <w:left w:w="0" w:type="dxa"/>
          <w:bottom w:w="0" w:type="dxa"/>
          <w:right w:w="0" w:type="dxa"/>
        </w:tblCellMar>
      </w:tblPr>
      <w:tblGrid>
        <w:gridCol w:w="98"/>
        <w:gridCol w:w="170"/>
        <w:gridCol w:w="9937"/>
      </w:tblGrid>
      <w:tr>
        <w:trPr/>
        <w:tc>
          <w:tcPr>
            <w:tcW w:w="9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small business issuer's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Date:  March 17, 2010</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 and Treasurer</w:t>
      </w:r>
    </w:p>
    <w:p>
      <w:pPr>
        <w:pStyle w:val="TextBody"/>
        <w:rPr/>
      </w:pPr>
      <w:r>
        <w:rPr/>
      </w:r>
      <w:r>
        <w:br w:type="page"/>
      </w:r>
    </w:p>
    <w:p>
      <w:pPr>
        <w:pStyle w:val="TextBody"/>
        <w:spacing w:before="0" w:after="0"/>
        <w:rPr/>
      </w:pPr>
      <w:r>
        <w:rPr/>
      </w:r>
      <w:bookmarkStart w:id="467" w:name="excb_ex32.htm"/>
      <w:bookmarkStart w:id="468" w:name="ksexcb_ex32"/>
      <w:bookmarkStart w:id="469" w:name="excb_ex32.htm"/>
      <w:bookmarkStart w:id="470" w:name="ksexcb_ex32"/>
      <w:bookmarkEnd w:id="469"/>
      <w:bookmarkEnd w:id="470"/>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w:t>
      </w:r>
    </w:p>
    <w:p>
      <w:pPr>
        <w:pStyle w:val="TextBody"/>
        <w:spacing w:before="0" w:after="0"/>
        <w:ind w:left="0" w:right="0" w:hanging="0"/>
        <w:jc w:val="center"/>
        <w:rPr>
          <w:rFonts w:ascii="Times New Roman" w:hAnsi="Times New Roman"/>
          <w:sz w:val="20"/>
        </w:rPr>
      </w:pPr>
      <w:r>
        <w:rPr>
          <w:rFonts w:ascii="Times New Roman" w:hAnsi="Times New Roman"/>
          <w:sz w:val="20"/>
        </w:rPr>
        <w:t>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w:t>
      </w:r>
    </w:p>
    <w:p>
      <w:pPr>
        <w:pStyle w:val="TextBody"/>
        <w:spacing w:before="0" w:after="0"/>
        <w:ind w:left="0" w:right="0" w:hanging="0"/>
        <w:jc w:val="center"/>
        <w:rPr>
          <w:rFonts w:ascii="Times New Roman" w:hAnsi="Times New Roman"/>
          <w:sz w:val="20"/>
        </w:rPr>
      </w:pPr>
      <w:r>
        <w:rPr>
          <w:rFonts w:ascii="Times New Roman" w:hAnsi="Times New Roman"/>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annual report of Excaliber Enterprises, Ltd. (the "Company") on Form 10-K for the year ended December 31, 2009,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my knowledge, pursuant to 18 U.S.C. Section 1350, as adopted pursuant to Section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471" w:name="hangingindent49"/>
      <w:bookmarkStart w:id="472" w:name="hangingindent49"/>
      <w:bookmarkEnd w:id="472"/>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3" w:name="hangingindent50"/>
      <w:bookmarkStart w:id="474" w:name="hangingindent50"/>
      <w:bookmarkEnd w:id="474"/>
    </w:p>
    <w:tbl>
      <w:tblPr>
        <w:tblW w:w="5000" w:type="pct"/>
        <w:jc w:val="center"/>
        <w:tblInd w:w="0" w:type="dxa"/>
        <w:tblCellMar>
          <w:top w:w="0" w:type="dxa"/>
          <w:left w:w="0" w:type="dxa"/>
          <w:bottom w:w="0" w:type="dxa"/>
          <w:right w:w="0" w:type="dxa"/>
        </w:tblCellMar>
      </w:tblPr>
      <w:tblGrid>
        <w:gridCol w:w="108"/>
        <w:gridCol w:w="234"/>
        <w:gridCol w:w="9863"/>
      </w:tblGrid>
      <w:tr>
        <w:trPr/>
        <w:tc>
          <w:tcPr>
            <w:tcW w:w="108"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left"/>
        <w:rPr/>
      </w:pPr>
      <w:r>
        <w:rPr/>
        <w:t>     </w:t>
      </w:r>
      <w:r>
        <w:rPr>
          <w:rFonts w:ascii="Times New Roman" w:hAnsi="Times New Roman"/>
          <w:sz w:val="20"/>
        </w:rPr>
        <w:t>Stephanie Y. Jones</w:t>
      </w:r>
    </w:p>
    <w:p>
      <w:pPr>
        <w:pStyle w:val="TextBody"/>
        <w:spacing w:before="0" w:after="0"/>
        <w:ind w:left="0" w:right="0" w:hanging="0"/>
        <w:jc w:val="left"/>
        <w:rPr/>
      </w:pPr>
      <w:r>
        <w:rPr/>
        <w:t>     </w:t>
      </w:r>
      <w:r>
        <w:rPr>
          <w:rFonts w:ascii="Times New Roman" w:hAnsi="Times New Roman"/>
          <w:sz w:val="20"/>
        </w:rPr>
        <w:t>Chief Executive Officer</w:t>
      </w:r>
    </w:p>
    <w:p>
      <w:pPr>
        <w:pStyle w:val="TextBody"/>
        <w:spacing w:before="0" w:after="0"/>
        <w:ind w:left="0" w:right="0" w:hanging="0"/>
        <w:jc w:val="left"/>
        <w:rPr/>
      </w:pPr>
      <w:r>
        <w:rPr/>
        <w:t>     </w:t>
      </w:r>
      <w:r>
        <w:rPr>
          <w:rFonts w:ascii="Times New Roman" w:hAnsi="Times New Roman"/>
          <w:sz w:val="20"/>
        </w:rPr>
        <w:t>March 17,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w:t>
      </w:r>
    </w:p>
    <w:p>
      <w:pPr>
        <w:pStyle w:val="TextBody"/>
        <w:spacing w:before="0" w:after="0"/>
        <w:ind w:left="0" w:right="0" w:hanging="0"/>
        <w:jc w:val="left"/>
        <w:rPr/>
      </w:pPr>
      <w:r>
        <w:rPr/>
        <w:t>     </w:t>
      </w:r>
      <w:r>
        <w:rPr>
          <w:rFonts w:ascii="Times New Roman" w:hAnsi="Times New Roman"/>
          <w:sz w:val="20"/>
        </w:rPr>
        <w:t>March 17, 2010</w:t>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15721</Words>
  <CharactersWithSpaces>102661</CharactersWithSpaces>
  <Paragraphs>2905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