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3096895</wp:posOffset>
            </wp:positionH>
            <wp:positionV relativeFrom="page">
              <wp:posOffset>431800</wp:posOffset>
            </wp:positionV>
            <wp:extent cx="1362710" cy="9512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10,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United States Securities and Exchange Commission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Jeffrey Gabor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Registration Statement on Form S-1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(File No. 333-237514)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" w:space="340"/>
            <w:col w:w="1058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Gabor,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461 of the General Rules and Regulations under the Securities Act of 1933, as amended, the undersigned, VistaGen Therapeutics, Inc., a Nevada corporation (the “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6"/>
          <w:szCs w:val="16"/>
          <w:color w:val="auto"/>
        </w:rPr>
        <w:t>”), hereby requests acceleration of the effective date of the Registration Statement referred to above so that it may become effective at 10:00 a.m. Eastern Standard Time on April 14, 2020, or as soon as practicable thereafter.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Upon grant of our request to accelerate effectiveness, we would appreciate your communicating with our counsel, Disclosure Law Group, a Professional Corporation, by calling Ms. Jessica R. Sudweeks at (619) 272-7063, to confirm the exact time at which the Registration Statement was declared effective.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VISTAGEN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Shawn K. Singh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Shawn K. Singh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660" w:right="9140" w:hanging="652"/>
        <w:spacing w:after="0" w:line="285" w:lineRule="auto"/>
        <w:tabs>
          <w:tab w:leader="none" w:pos="655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Jessica R. Sudweeks Partner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66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Disclosure Law Group, a Professional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418465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2020-05-12T23:02:55Z</dcterms:created>
  <dcterms:modified xsi:type="dcterms:W3CDTF">2020-05-12T23:02:55Z</dcterms:modified>
</cp:coreProperties>
</file>