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September 5, 2019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7"/>
              </w:rPr>
              <w:t>NEVADA</w:t>
            </w:r>
          </w:p>
        </w:tc>
        <w:tc>
          <w:tcPr>
            <w:tcW w:w="4220" w:type="dxa"/>
            <w:vAlign w:val="bottom"/>
            <w:tcBorders>
              <w:bottom w:val="single" w:sz="8" w:color="auto"/>
            </w:tcBorders>
          </w:tcPr>
          <w:p>
            <w:pPr>
              <w:jc w:val="right"/>
              <w:ind w:right="1692"/>
              <w:spacing w:after="0"/>
              <w:rPr>
                <w:sz w:val="20"/>
                <w:szCs w:val="20"/>
                <w:color w:val="auto"/>
              </w:rPr>
            </w:pPr>
            <w:r>
              <w:rPr>
                <w:rFonts w:ascii="Arial" w:cs="Arial" w:eastAsia="Arial" w:hAnsi="Arial"/>
                <w:sz w:val="18"/>
                <w:szCs w:val="18"/>
                <w:b w:val="1"/>
                <w:bCs w:val="1"/>
                <w:color w:val="auto"/>
              </w:rPr>
              <w:t>000-54014</w:t>
            </w:r>
          </w:p>
        </w:tc>
        <w:tc>
          <w:tcPr>
            <w:tcW w:w="3540" w:type="dxa"/>
            <w:vAlign w:val="bottom"/>
            <w:tcBorders>
              <w:bottom w:val="single" w:sz="8" w:color="auto"/>
            </w:tcBorders>
          </w:tcPr>
          <w:p>
            <w:pPr>
              <w:jc w:val="right"/>
              <w:ind w:right="1372"/>
              <w:spacing w:after="0"/>
              <w:rPr>
                <w:sz w:val="20"/>
                <w:szCs w:val="20"/>
                <w:color w:val="auto"/>
              </w:rPr>
            </w:pPr>
            <w:r>
              <w:rPr>
                <w:rFonts w:ascii="Arial" w:cs="Arial" w:eastAsia="Arial" w:hAnsi="Arial"/>
                <w:sz w:val="18"/>
                <w:szCs w:val="18"/>
                <w:b w:val="1"/>
                <w:bCs w:val="1"/>
                <w:color w:val="auto"/>
              </w:rPr>
              <w:t>20-5093315</w:t>
            </w:r>
          </w:p>
        </w:tc>
      </w:tr>
      <w:tr>
        <w:trPr>
          <w:trHeight w:val="222"/>
        </w:trPr>
        <w:tc>
          <w:tcPr>
            <w:tcW w:w="3660" w:type="dxa"/>
            <w:vAlign w:val="bottom"/>
          </w:tcPr>
          <w:p>
            <w:pPr>
              <w:jc w:val="center"/>
              <w:ind w:left="32"/>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4220" w:type="dxa"/>
            <w:vAlign w:val="bottom"/>
          </w:tcPr>
          <w:p>
            <w:pPr>
              <w:jc w:val="center"/>
              <w:ind w:right="12"/>
              <w:spacing w:after="0"/>
              <w:rPr>
                <w:sz w:val="20"/>
                <w:szCs w:val="20"/>
                <w:color w:val="auto"/>
              </w:rPr>
            </w:pPr>
            <w:r>
              <w:rPr>
                <w:rFonts w:ascii="Arial" w:cs="Arial" w:eastAsia="Arial" w:hAnsi="Arial"/>
                <w:sz w:val="18"/>
                <w:szCs w:val="18"/>
                <w:i w:val="1"/>
                <w:iCs w:val="1"/>
                <w:color w:val="auto"/>
                <w:w w:val="89"/>
              </w:rPr>
              <w:t>(Commission File Number)</w:t>
            </w:r>
          </w:p>
        </w:tc>
        <w:tc>
          <w:tcPr>
            <w:tcW w:w="3540" w:type="dxa"/>
            <w:vAlign w:val="bottom"/>
          </w:tcPr>
          <w:p>
            <w:pPr>
              <w:jc w:val="center"/>
              <w:ind w:right="15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11"/>
        </w:trPr>
        <w:tc>
          <w:tcPr>
            <w:tcW w:w="3660" w:type="dxa"/>
            <w:vAlign w:val="bottom"/>
          </w:tcPr>
          <w:p>
            <w:pPr>
              <w:spacing w:after="0"/>
              <w:rPr>
                <w:sz w:val="24"/>
                <w:szCs w:val="24"/>
                <w:color w:val="auto"/>
              </w:rPr>
            </w:pPr>
          </w:p>
        </w:tc>
        <w:tc>
          <w:tcPr>
            <w:tcW w:w="422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343 Allerton Ave.</w:t>
            </w:r>
          </w:p>
        </w:tc>
        <w:tc>
          <w:tcPr>
            <w:tcW w:w="3540" w:type="dxa"/>
            <w:vAlign w:val="bottom"/>
          </w:tcPr>
          <w:p>
            <w:pPr>
              <w:spacing w:after="0"/>
              <w:rPr>
                <w:sz w:val="24"/>
                <w:szCs w:val="24"/>
                <w:color w:val="auto"/>
              </w:rPr>
            </w:pPr>
          </w:p>
        </w:tc>
      </w:tr>
      <w:tr>
        <w:trPr>
          <w:trHeight w:val="222"/>
        </w:trPr>
        <w:tc>
          <w:tcPr>
            <w:tcW w:w="3660" w:type="dxa"/>
            <w:vAlign w:val="bottom"/>
          </w:tcPr>
          <w:p>
            <w:pPr>
              <w:spacing w:after="0"/>
              <w:rPr>
                <w:sz w:val="19"/>
                <w:szCs w:val="19"/>
                <w:color w:val="auto"/>
              </w:rPr>
            </w:pPr>
          </w:p>
        </w:tc>
        <w:tc>
          <w:tcPr>
            <w:tcW w:w="422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South San Francisco, California 94090</w:t>
            </w:r>
          </w:p>
        </w:tc>
        <w:tc>
          <w:tcPr>
            <w:tcW w:w="3540" w:type="dxa"/>
            <w:vAlign w:val="bottom"/>
          </w:tcPr>
          <w:p>
            <w:pPr>
              <w:spacing w:after="0"/>
              <w:rPr>
                <w:sz w:val="19"/>
                <w:szCs w:val="19"/>
                <w:color w:val="auto"/>
              </w:rPr>
            </w:pPr>
          </w:p>
        </w:tc>
      </w:tr>
      <w:tr>
        <w:trPr>
          <w:trHeight w:val="222"/>
        </w:trPr>
        <w:tc>
          <w:tcPr>
            <w:tcW w:w="3660" w:type="dxa"/>
            <w:vAlign w:val="bottom"/>
          </w:tcPr>
          <w:p>
            <w:pPr>
              <w:spacing w:after="0"/>
              <w:rPr>
                <w:sz w:val="19"/>
                <w:szCs w:val="19"/>
                <w:color w:val="auto"/>
              </w:rPr>
            </w:pPr>
          </w:p>
        </w:tc>
        <w:tc>
          <w:tcPr>
            <w:tcW w:w="4220" w:type="dxa"/>
            <w:vAlign w:val="bottom"/>
          </w:tcPr>
          <w:p>
            <w:pPr>
              <w:jc w:val="center"/>
              <w:ind w:right="3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3540" w:type="dxa"/>
            <w:vAlign w:val="bottom"/>
          </w:tcPr>
          <w:p>
            <w:pPr>
              <w:spacing w:after="0"/>
              <w:rPr>
                <w:sz w:val="19"/>
                <w:szCs w:val="19"/>
                <w:color w:val="auto"/>
              </w:rPr>
            </w:pPr>
          </w:p>
        </w:tc>
      </w:tr>
      <w:tr>
        <w:trPr>
          <w:trHeight w:val="426"/>
        </w:trPr>
        <w:tc>
          <w:tcPr>
            <w:tcW w:w="3660" w:type="dxa"/>
            <w:vAlign w:val="bottom"/>
          </w:tcPr>
          <w:p>
            <w:pPr>
              <w:spacing w:after="0"/>
              <w:rPr>
                <w:sz w:val="24"/>
                <w:szCs w:val="24"/>
                <w:color w:val="auto"/>
              </w:rPr>
            </w:pPr>
          </w:p>
        </w:tc>
        <w:tc>
          <w:tcPr>
            <w:tcW w:w="4220" w:type="dxa"/>
            <w:vAlign w:val="bottom"/>
          </w:tcPr>
          <w:p>
            <w:pPr>
              <w:jc w:val="right"/>
              <w:ind w:right="1532"/>
              <w:spacing w:after="0"/>
              <w:rPr>
                <w:sz w:val="20"/>
                <w:szCs w:val="20"/>
                <w:color w:val="auto"/>
              </w:rPr>
            </w:pPr>
            <w:r>
              <w:rPr>
                <w:rFonts w:ascii="Arial" w:cs="Arial" w:eastAsia="Arial" w:hAnsi="Arial"/>
                <w:sz w:val="18"/>
                <w:szCs w:val="18"/>
                <w:b w:val="1"/>
                <w:bCs w:val="1"/>
                <w:color w:val="auto"/>
              </w:rPr>
              <w:t>(650) 577-3600</w:t>
            </w:r>
          </w:p>
        </w:tc>
        <w:tc>
          <w:tcPr>
            <w:tcW w:w="3540" w:type="dxa"/>
            <w:vAlign w:val="bottom"/>
          </w:tcPr>
          <w:p>
            <w:pPr>
              <w:spacing w:after="0"/>
              <w:rPr>
                <w:sz w:val="24"/>
                <w:szCs w:val="24"/>
                <w:color w:val="auto"/>
              </w:rPr>
            </w:pPr>
          </w:p>
        </w:tc>
      </w:tr>
      <w:tr>
        <w:trPr>
          <w:trHeight w:val="222"/>
        </w:trPr>
        <w:tc>
          <w:tcPr>
            <w:tcW w:w="3660" w:type="dxa"/>
            <w:vAlign w:val="bottom"/>
          </w:tcPr>
          <w:p>
            <w:pPr>
              <w:spacing w:after="0"/>
              <w:rPr>
                <w:sz w:val="19"/>
                <w:szCs w:val="19"/>
                <w:color w:val="auto"/>
              </w:rPr>
            </w:pPr>
          </w:p>
        </w:tc>
        <w:tc>
          <w:tcPr>
            <w:tcW w:w="4220" w:type="dxa"/>
            <w:vAlign w:val="bottom"/>
          </w:tcPr>
          <w:p>
            <w:pPr>
              <w:jc w:val="center"/>
              <w:ind w:right="12"/>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3540" w:type="dxa"/>
            <w:vAlign w:val="bottom"/>
          </w:tcPr>
          <w:p>
            <w:pPr>
              <w:spacing w:after="0"/>
              <w:rPr>
                <w:sz w:val="19"/>
                <w:szCs w:val="19"/>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60" w:type="dxa"/>
            <w:vAlign w:val="bottom"/>
          </w:tcPr>
          <w:p>
            <w:pPr>
              <w:jc w:val="center"/>
              <w:ind w:right="132"/>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226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8"/>
              </w:rPr>
              <w:t>Title of each class</w:t>
            </w:r>
          </w:p>
        </w:tc>
        <w:tc>
          <w:tcPr>
            <w:tcW w:w="2260" w:type="dxa"/>
            <w:vAlign w:val="bottom"/>
            <w:tcBorders>
              <w:bottom w:val="single" w:sz="8" w:color="auto"/>
            </w:tcBorders>
          </w:tcPr>
          <w:p>
            <w:pPr>
              <w:jc w:val="center"/>
              <w:ind w:right="452"/>
              <w:spacing w:after="0"/>
              <w:rPr>
                <w:sz w:val="20"/>
                <w:szCs w:val="20"/>
                <w:color w:val="auto"/>
              </w:rPr>
            </w:pPr>
            <w:r>
              <w:rPr>
                <w:rFonts w:ascii="Arial" w:cs="Arial" w:eastAsia="Arial" w:hAnsi="Arial"/>
                <w:sz w:val="18"/>
                <w:szCs w:val="18"/>
                <w:color w:val="auto"/>
                <w:w w:val="89"/>
              </w:rPr>
              <w:t>Trading Symbol(s)</w:t>
            </w:r>
          </w:p>
        </w:tc>
        <w:tc>
          <w:tcPr>
            <w:tcW w:w="490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87"/>
              </w:rPr>
              <w:t>Name of each exchange on which registered</w:t>
            </w:r>
          </w:p>
        </w:tc>
      </w:tr>
      <w:tr>
        <w:trPr>
          <w:trHeight w:val="222"/>
        </w:trPr>
        <w:tc>
          <w:tcPr>
            <w:tcW w:w="4260" w:type="dxa"/>
            <w:vAlign w:val="bottom"/>
          </w:tcPr>
          <w:p>
            <w:pPr>
              <w:jc w:val="center"/>
              <w:ind w:right="132"/>
              <w:spacing w:after="0"/>
              <w:rPr>
                <w:sz w:val="20"/>
                <w:szCs w:val="20"/>
                <w:color w:val="auto"/>
              </w:rPr>
            </w:pPr>
            <w:r>
              <w:rPr>
                <w:rFonts w:ascii="Arial" w:cs="Arial" w:eastAsia="Arial" w:hAnsi="Arial"/>
                <w:sz w:val="18"/>
                <w:szCs w:val="18"/>
                <w:color w:val="auto"/>
                <w:w w:val="87"/>
              </w:rPr>
              <w:t>Common Stock, par value $0.001 per share</w:t>
            </w:r>
          </w:p>
        </w:tc>
        <w:tc>
          <w:tcPr>
            <w:tcW w:w="2260" w:type="dxa"/>
            <w:vAlign w:val="bottom"/>
          </w:tcPr>
          <w:p>
            <w:pPr>
              <w:jc w:val="center"/>
              <w:ind w:right="432"/>
              <w:spacing w:after="0"/>
              <w:rPr>
                <w:sz w:val="20"/>
                <w:szCs w:val="20"/>
                <w:color w:val="auto"/>
              </w:rPr>
            </w:pPr>
            <w:r>
              <w:rPr>
                <w:rFonts w:ascii="Arial" w:cs="Arial" w:eastAsia="Arial" w:hAnsi="Arial"/>
                <w:sz w:val="18"/>
                <w:szCs w:val="18"/>
                <w:color w:val="auto"/>
                <w:w w:val="99"/>
              </w:rPr>
              <w:t>VTGN</w:t>
            </w:r>
          </w:p>
        </w:tc>
        <w:tc>
          <w:tcPr>
            <w:tcW w:w="4900" w:type="dxa"/>
            <w:vAlign w:val="bottom"/>
          </w:tcPr>
          <w:p>
            <w:pPr>
              <w:jc w:val="center"/>
              <w:ind w:right="212"/>
              <w:spacing w:after="0"/>
              <w:rPr>
                <w:sz w:val="20"/>
                <w:szCs w:val="20"/>
                <w:color w:val="auto"/>
              </w:rPr>
            </w:pPr>
            <w:r>
              <w:rPr>
                <w:rFonts w:ascii="Arial" w:cs="Arial" w:eastAsia="Arial" w:hAnsi="Arial"/>
                <w:sz w:val="18"/>
                <w:szCs w:val="18"/>
                <w:color w:val="auto"/>
                <w:w w:val="89"/>
              </w:rPr>
              <w:t>Nasdaq Capital Market</w:t>
            </w:r>
          </w:p>
        </w:tc>
      </w:tr>
    </w:tbl>
    <w:p>
      <w:pPr>
        <w:spacing w:after="0" w:line="201"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2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 w:name="page2"/>
    <w:bookmarkEnd w:id="1"/>
    <w:p>
      <w:pPr>
        <w:spacing w:after="0"/>
        <w:tabs>
          <w:tab w:leader="none" w:pos="8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5"/>
          <w:szCs w:val="15"/>
          <w:b w:val="1"/>
          <w:bCs w:val="1"/>
          <w:color w:val="auto"/>
        </w:rPr>
        <w:t>Amendments to the Articles of Incorporation or Bylaws; Change in Fiscal Year.</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5.07 below.</w:t>
      </w: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5, 2019,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held its 2019 Annual Meeting of Stockholders (the “</w:t>
      </w:r>
      <w:r>
        <w:rPr>
          <w:rFonts w:ascii="Arial" w:cs="Arial" w:eastAsia="Arial" w:hAnsi="Arial"/>
          <w:sz w:val="18"/>
          <w:szCs w:val="18"/>
          <w:i w:val="1"/>
          <w:iCs w:val="1"/>
          <w:color w:val="auto"/>
        </w:rPr>
        <w:t>Annual Meeting</w:t>
      </w:r>
      <w:r>
        <w:rPr>
          <w:rFonts w:ascii="Arial" w:cs="Arial" w:eastAsia="Arial" w:hAnsi="Arial"/>
          <w:sz w:val="18"/>
          <w:szCs w:val="18"/>
          <w:color w:val="auto"/>
        </w:rPr>
        <w:t>”). All proposals were approved by the Company’s stockholders. The matters voted upon at the Annual Meeting and the detailed results of the stockholder voting approving all such matters are set forth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No. 1 – Election of Directors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380" w:type="dxa"/>
            <w:vAlign w:val="bottom"/>
            <w:tcBorders>
              <w:bottom w:val="single" w:sz="8" w:color="auto"/>
            </w:tcBorders>
            <w:gridSpan w:val="2"/>
          </w:tcPr>
          <w:p>
            <w:pPr>
              <w:ind w:left="1080"/>
              <w:spacing w:after="0"/>
              <w:rPr>
                <w:sz w:val="20"/>
                <w:szCs w:val="20"/>
                <w:color w:val="auto"/>
              </w:rPr>
            </w:pPr>
            <w:r>
              <w:rPr>
                <w:rFonts w:ascii="Arial" w:cs="Arial" w:eastAsia="Arial" w:hAnsi="Arial"/>
                <w:sz w:val="15"/>
                <w:szCs w:val="15"/>
                <w:b w:val="1"/>
                <w:bCs w:val="1"/>
                <w:color w:val="auto"/>
              </w:rPr>
              <w:t>For</w:t>
            </w:r>
          </w:p>
        </w:tc>
        <w:tc>
          <w:tcPr>
            <w:tcW w:w="1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Borders>
              <w:bottom w:val="single" w:sz="8" w:color="auto"/>
            </w:tcBorders>
            <w:gridSpan w:val="3"/>
          </w:tcPr>
          <w:p>
            <w:pPr>
              <w:ind w:left="960"/>
              <w:spacing w:after="0"/>
              <w:rPr>
                <w:sz w:val="20"/>
                <w:szCs w:val="20"/>
                <w:color w:val="auto"/>
              </w:rPr>
            </w:pPr>
            <w:r>
              <w:rPr>
                <w:rFonts w:ascii="Arial" w:cs="Arial" w:eastAsia="Arial" w:hAnsi="Arial"/>
                <w:sz w:val="15"/>
                <w:szCs w:val="15"/>
                <w:b w:val="1"/>
                <w:bCs w:val="1"/>
                <w:color w:val="auto"/>
                <w:w w:val="98"/>
              </w:rPr>
              <w:t>Against</w:t>
            </w: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Votes</w:t>
            </w:r>
          </w:p>
        </w:tc>
        <w:tc>
          <w:tcPr>
            <w:tcW w:w="260" w:type="dxa"/>
            <w:vAlign w:val="bottom"/>
          </w:tcPr>
          <w:p>
            <w:pPr>
              <w:spacing w:after="0"/>
              <w:rPr>
                <w:sz w:val="19"/>
                <w:szCs w:val="19"/>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 Voted</w:t>
            </w:r>
          </w:p>
        </w:tc>
        <w:tc>
          <w:tcPr>
            <w:tcW w:w="260" w:type="dxa"/>
            <w:vAlign w:val="bottom"/>
          </w:tcPr>
          <w:p>
            <w:pPr>
              <w:spacing w:after="0"/>
              <w:rPr>
                <w:sz w:val="19"/>
                <w:szCs w:val="19"/>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Votes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 Voted</w:t>
            </w:r>
          </w:p>
        </w:tc>
        <w:tc>
          <w:tcPr>
            <w:tcW w:w="160" w:type="dxa"/>
            <w:vAlign w:val="bottom"/>
            <w:gridSpan w:val="2"/>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14,657,935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91.91%</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1,290,719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 Ralph Snodgrass</w:t>
            </w:r>
          </w:p>
        </w:tc>
        <w:tc>
          <w:tcPr>
            <w:tcW w:w="1120" w:type="dxa"/>
            <w:vAlign w:val="bottom"/>
          </w:tcPr>
          <w:p>
            <w:pPr>
              <w:jc w:val="right"/>
              <w:spacing w:after="0"/>
              <w:rPr>
                <w:sz w:val="20"/>
                <w:szCs w:val="20"/>
                <w:color w:val="auto"/>
              </w:rPr>
            </w:pPr>
            <w:r>
              <w:rPr>
                <w:rFonts w:ascii="Arial" w:cs="Arial" w:eastAsia="Arial" w:hAnsi="Arial"/>
                <w:sz w:val="18"/>
                <w:szCs w:val="18"/>
                <w:color w:val="auto"/>
              </w:rPr>
              <w:t>14,711,550</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92.24%</w:t>
            </w:r>
          </w:p>
        </w:tc>
        <w:tc>
          <w:tcPr>
            <w:tcW w:w="1100" w:type="dxa"/>
            <w:vAlign w:val="bottom"/>
          </w:tcPr>
          <w:p>
            <w:pPr>
              <w:ind w:left="400"/>
              <w:spacing w:after="0"/>
              <w:rPr>
                <w:sz w:val="20"/>
                <w:szCs w:val="20"/>
                <w:color w:val="auto"/>
              </w:rPr>
            </w:pPr>
            <w:r>
              <w:rPr>
                <w:rFonts w:ascii="Arial" w:cs="Arial" w:eastAsia="Arial" w:hAnsi="Arial"/>
                <w:sz w:val="18"/>
                <w:szCs w:val="18"/>
                <w:color w:val="auto"/>
                <w:w w:val="84"/>
              </w:rPr>
              <w:t>1,237,104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Jon S. Saxe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13,312,707</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83.47%</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2,635,947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Brian J. Underdown</w:t>
            </w:r>
          </w:p>
        </w:tc>
        <w:tc>
          <w:tcPr>
            <w:tcW w:w="1120" w:type="dxa"/>
            <w:vAlign w:val="bottom"/>
          </w:tcPr>
          <w:p>
            <w:pPr>
              <w:jc w:val="right"/>
              <w:spacing w:after="0"/>
              <w:rPr>
                <w:sz w:val="20"/>
                <w:szCs w:val="20"/>
                <w:color w:val="auto"/>
              </w:rPr>
            </w:pPr>
            <w:r>
              <w:rPr>
                <w:rFonts w:ascii="Arial" w:cs="Arial" w:eastAsia="Arial" w:hAnsi="Arial"/>
                <w:sz w:val="18"/>
                <w:szCs w:val="18"/>
                <w:color w:val="auto"/>
              </w:rPr>
              <w:t>13,306,184</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83.43%</w:t>
            </w:r>
          </w:p>
        </w:tc>
        <w:tc>
          <w:tcPr>
            <w:tcW w:w="1100" w:type="dxa"/>
            <w:vAlign w:val="bottom"/>
          </w:tcPr>
          <w:p>
            <w:pPr>
              <w:ind w:left="400"/>
              <w:spacing w:after="0"/>
              <w:rPr>
                <w:sz w:val="20"/>
                <w:szCs w:val="20"/>
                <w:color w:val="auto"/>
              </w:rPr>
            </w:pPr>
            <w:r>
              <w:rPr>
                <w:rFonts w:ascii="Arial" w:cs="Arial" w:eastAsia="Arial" w:hAnsi="Arial"/>
                <w:sz w:val="18"/>
                <w:szCs w:val="18"/>
                <w:color w:val="auto"/>
                <w:w w:val="84"/>
              </w:rPr>
              <w:t>2,642,470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Jerry B. Gin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13,318,049</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83.51%</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2,630,605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Ann M. Cunningham</w:t>
            </w:r>
          </w:p>
        </w:tc>
        <w:tc>
          <w:tcPr>
            <w:tcW w:w="1120" w:type="dxa"/>
            <w:vAlign w:val="bottom"/>
          </w:tcPr>
          <w:p>
            <w:pPr>
              <w:jc w:val="right"/>
              <w:spacing w:after="0"/>
              <w:rPr>
                <w:sz w:val="20"/>
                <w:szCs w:val="20"/>
                <w:color w:val="auto"/>
              </w:rPr>
            </w:pPr>
            <w:r>
              <w:rPr>
                <w:rFonts w:ascii="Arial" w:cs="Arial" w:eastAsia="Arial" w:hAnsi="Arial"/>
                <w:sz w:val="18"/>
                <w:szCs w:val="18"/>
                <w:color w:val="auto"/>
              </w:rPr>
              <w:t>14,727,093</w:t>
            </w: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92.34%</w:t>
            </w:r>
          </w:p>
        </w:tc>
        <w:tc>
          <w:tcPr>
            <w:tcW w:w="1100" w:type="dxa"/>
            <w:vAlign w:val="bottom"/>
          </w:tcPr>
          <w:p>
            <w:pPr>
              <w:ind w:left="400"/>
              <w:spacing w:after="0"/>
              <w:rPr>
                <w:sz w:val="20"/>
                <w:szCs w:val="20"/>
                <w:color w:val="auto"/>
              </w:rPr>
            </w:pPr>
            <w:r>
              <w:rPr>
                <w:rFonts w:ascii="Arial" w:cs="Arial" w:eastAsia="Arial" w:hAnsi="Arial"/>
                <w:sz w:val="18"/>
                <w:szCs w:val="18"/>
                <w:color w:val="auto"/>
                <w:w w:val="84"/>
              </w:rPr>
              <w:t>1,221,561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9"/>
                <w:szCs w:val="19"/>
                <w:color w:val="auto"/>
              </w:rPr>
            </w:pPr>
          </w:p>
        </w:tc>
      </w:tr>
    </w:tbl>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members of the Company’s Board of Directors is elected by a plurality of the votes cast. Accordingly, each of the directors named above was re-elected to serve on the Company’s Board of Directors until the Company’s 2020 Annual Meeting of Stockholders, or until his or her successor is qualified and elected.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No. 2 – Approval of an Amendment to the Company’s Restated Articles of Incorporation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5"/>
                <w:szCs w:val="15"/>
                <w:b w:val="1"/>
                <w:bCs w:val="1"/>
                <w:color w:val="auto"/>
              </w:rPr>
              <w:t>For</w:t>
            </w:r>
          </w:p>
        </w:tc>
        <w:tc>
          <w:tcPr>
            <w:tcW w:w="138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Against</w:t>
            </w:r>
          </w:p>
        </w:tc>
        <w:tc>
          <w:tcPr>
            <w:tcW w:w="12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Abstained</w:t>
            </w:r>
          </w:p>
        </w:tc>
      </w:tr>
      <w:tr>
        <w:trPr>
          <w:trHeight w:val="216"/>
        </w:trPr>
        <w:tc>
          <w:tcPr>
            <w:tcW w:w="7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Votes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26,509,066</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4,963,523</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470,091</w:t>
            </w:r>
          </w:p>
        </w:tc>
        <w:tc>
          <w:tcPr>
            <w:tcW w:w="140" w:type="dxa"/>
            <w:vAlign w:val="bottom"/>
            <w:shd w:val="clear" w:color="auto" w:fill="CCEEFF"/>
          </w:tcPr>
          <w:p>
            <w:pPr>
              <w:spacing w:after="0"/>
              <w:rPr>
                <w:sz w:val="18"/>
                <w:szCs w:val="18"/>
                <w:color w:val="auto"/>
              </w:rPr>
            </w:pPr>
          </w:p>
        </w:tc>
      </w:tr>
      <w:tr>
        <w:trPr>
          <w:trHeight w:val="222"/>
        </w:trPr>
        <w:tc>
          <w:tcPr>
            <w:tcW w:w="7440" w:type="dxa"/>
            <w:vAlign w:val="bottom"/>
          </w:tcPr>
          <w:p>
            <w:pPr>
              <w:jc w:val="right"/>
              <w:ind w:right="32"/>
              <w:spacing w:after="0"/>
              <w:rPr>
                <w:sz w:val="20"/>
                <w:szCs w:val="20"/>
                <w:color w:val="auto"/>
              </w:rPr>
            </w:pPr>
            <w:r>
              <w:rPr>
                <w:rFonts w:ascii="Arial" w:cs="Arial" w:eastAsia="Arial" w:hAnsi="Arial"/>
                <w:sz w:val="18"/>
                <w:szCs w:val="18"/>
                <w:color w:val="auto"/>
              </w:rPr>
              <w:t>% Voted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82.99%</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15.54%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1.47%</w:t>
            </w:r>
          </w:p>
        </w:tc>
      </w:tr>
    </w:tbl>
    <w:p>
      <w:pPr>
        <w:spacing w:after="0" w:line="2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vote required to approve Proposal No. 2 was the affirmative vote of a majority of the outstanding shares of the Company’s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entitled to vote as of July 12, 2019, the record date for the Annual Meeting (the “</w:t>
      </w:r>
      <w:r>
        <w:rPr>
          <w:rFonts w:ascii="Arial" w:cs="Arial" w:eastAsia="Arial" w:hAnsi="Arial"/>
          <w:sz w:val="18"/>
          <w:szCs w:val="18"/>
          <w:i w:val="1"/>
          <w:iCs w:val="1"/>
          <w:color w:val="auto"/>
        </w:rPr>
        <w:t>Record Date</w:t>
      </w:r>
      <w:r>
        <w:rPr>
          <w:rFonts w:ascii="Arial" w:cs="Arial" w:eastAsia="Arial" w:hAnsi="Arial"/>
          <w:sz w:val="18"/>
          <w:szCs w:val="18"/>
          <w:color w:val="auto"/>
        </w:rPr>
        <w:t>”). Accordingly, the amendment to increase the number of authorized shares of Common Stock under the Company’s Restated Articles of Incorporation from 100.0 million to 175.0 million (the “</w:t>
      </w:r>
      <w:r>
        <w:rPr>
          <w:rFonts w:ascii="Arial" w:cs="Arial" w:eastAsia="Arial" w:hAnsi="Arial"/>
          <w:sz w:val="18"/>
          <w:szCs w:val="18"/>
          <w:i w:val="1"/>
          <w:iCs w:val="1"/>
          <w:color w:val="auto"/>
        </w:rPr>
        <w:t>Charter Amendment</w:t>
      </w:r>
      <w:r>
        <w:rPr>
          <w:rFonts w:ascii="Arial" w:cs="Arial" w:eastAsia="Arial" w:hAnsi="Arial"/>
          <w:sz w:val="18"/>
          <w:szCs w:val="18"/>
          <w:color w:val="auto"/>
        </w:rPr>
        <w:t>”) was approved.</w:t>
      </w:r>
    </w:p>
    <w:p>
      <w:pPr>
        <w:spacing w:after="0" w:line="13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As approved at the Annual Meeting, the Charter Amendment will be filed with the Nevada Secretary of State on or about September 6, 2019. A copy of the Charter Amendment is attached to this Current Report on Form 8-K as Exhibit 3.1.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No. 3 – Approval of the Adoption of the Company’s 2019 Omnibus Equity Incentive Plan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5"/>
                <w:szCs w:val="15"/>
                <w:b w:val="1"/>
                <w:bCs w:val="1"/>
                <w:color w:val="auto"/>
              </w:rPr>
              <w:t>For</w:t>
            </w:r>
          </w:p>
        </w:tc>
        <w:tc>
          <w:tcPr>
            <w:tcW w:w="138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Against</w:t>
            </w:r>
          </w:p>
        </w:tc>
        <w:tc>
          <w:tcPr>
            <w:tcW w:w="12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Abstained</w:t>
            </w:r>
          </w:p>
        </w:tc>
      </w:tr>
      <w:tr>
        <w:trPr>
          <w:trHeight w:val="216"/>
        </w:trPr>
        <w:tc>
          <w:tcPr>
            <w:tcW w:w="7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Votes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12,884,874</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2,992,767</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71,013</w:t>
            </w:r>
          </w:p>
        </w:tc>
        <w:tc>
          <w:tcPr>
            <w:tcW w:w="140" w:type="dxa"/>
            <w:vAlign w:val="bottom"/>
            <w:shd w:val="clear" w:color="auto" w:fill="CCEEFF"/>
          </w:tcPr>
          <w:p>
            <w:pPr>
              <w:spacing w:after="0"/>
              <w:rPr>
                <w:sz w:val="18"/>
                <w:szCs w:val="18"/>
                <w:color w:val="auto"/>
              </w:rPr>
            </w:pPr>
          </w:p>
        </w:tc>
      </w:tr>
      <w:tr>
        <w:trPr>
          <w:trHeight w:val="222"/>
        </w:trPr>
        <w:tc>
          <w:tcPr>
            <w:tcW w:w="7440" w:type="dxa"/>
            <w:vAlign w:val="bottom"/>
          </w:tcPr>
          <w:p>
            <w:pPr>
              <w:jc w:val="right"/>
              <w:ind w:right="32"/>
              <w:spacing w:after="0"/>
              <w:rPr>
                <w:sz w:val="20"/>
                <w:szCs w:val="20"/>
                <w:color w:val="auto"/>
              </w:rPr>
            </w:pPr>
            <w:r>
              <w:rPr>
                <w:rFonts w:ascii="Arial" w:cs="Arial" w:eastAsia="Arial" w:hAnsi="Arial"/>
                <w:sz w:val="18"/>
                <w:szCs w:val="18"/>
                <w:color w:val="auto"/>
              </w:rPr>
              <w:t>% Voted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80.79%</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18.77%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0.44%</w:t>
            </w:r>
          </w:p>
        </w:tc>
      </w:tr>
    </w:tbl>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vote required to approve Proposal No. 3 was the affirmative vote of a majority of the votes cast on the proposal. Accordingly, the Company’s stockholders approved the 2019 Omnibus Equity Incentive Plan and ratification of all issuances thereunder to date, as described in the Company’s definitive proxy statement, filed with the Securities and Exchange Commission on July 23, 2019 (the “</w:t>
      </w:r>
      <w:r>
        <w:rPr>
          <w:rFonts w:ascii="Arial" w:cs="Arial" w:eastAsia="Arial" w:hAnsi="Arial"/>
          <w:sz w:val="18"/>
          <w:szCs w:val="18"/>
          <w:i w:val="1"/>
          <w:iCs w:val="1"/>
          <w:color w:val="auto"/>
        </w:rPr>
        <w:t>Proxy Statement</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No. 4 – Approval of the Adoption of the Company’s 2019 Employee Stock Purchase Plan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5"/>
                <w:szCs w:val="15"/>
                <w:b w:val="1"/>
                <w:bCs w:val="1"/>
                <w:color w:val="auto"/>
              </w:rPr>
              <w:t>For</w:t>
            </w:r>
          </w:p>
        </w:tc>
        <w:tc>
          <w:tcPr>
            <w:tcW w:w="138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Against</w:t>
            </w:r>
          </w:p>
        </w:tc>
        <w:tc>
          <w:tcPr>
            <w:tcW w:w="12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Abstained</w:t>
            </w:r>
          </w:p>
        </w:tc>
      </w:tr>
      <w:tr>
        <w:trPr>
          <w:trHeight w:val="243"/>
        </w:trPr>
        <w:tc>
          <w:tcPr>
            <w:tcW w:w="7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Votes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14,572,422</w:t>
            </w:r>
          </w:p>
        </w:tc>
        <w:tc>
          <w:tcPr>
            <w:tcW w:w="26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1,315,128</w:t>
            </w:r>
          </w:p>
        </w:tc>
        <w:tc>
          <w:tcPr>
            <w:tcW w:w="280" w:type="dxa"/>
            <w:vAlign w:val="bottom"/>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61,104</w:t>
            </w:r>
          </w:p>
        </w:tc>
        <w:tc>
          <w:tcPr>
            <w:tcW w:w="140" w:type="dxa"/>
            <w:vAlign w:val="bottom"/>
            <w:shd w:val="clear" w:color="auto" w:fill="CCEEFF"/>
          </w:tcPr>
          <w:p>
            <w:pPr>
              <w:spacing w:after="0"/>
              <w:rPr>
                <w:sz w:val="21"/>
                <w:szCs w:val="21"/>
                <w:color w:val="auto"/>
              </w:rPr>
            </w:pPr>
          </w:p>
        </w:tc>
      </w:tr>
      <w:tr>
        <w:trPr>
          <w:trHeight w:val="241"/>
        </w:trPr>
        <w:tc>
          <w:tcPr>
            <w:tcW w:w="7440" w:type="dxa"/>
            <w:vAlign w:val="bottom"/>
          </w:tcPr>
          <w:p>
            <w:pPr>
              <w:jc w:val="right"/>
              <w:ind w:right="92"/>
              <w:spacing w:after="0"/>
              <w:rPr>
                <w:sz w:val="20"/>
                <w:szCs w:val="20"/>
                <w:color w:val="auto"/>
              </w:rPr>
            </w:pPr>
            <w:r>
              <w:rPr>
                <w:rFonts w:ascii="Arial" w:cs="Arial" w:eastAsia="Arial" w:hAnsi="Arial"/>
                <w:sz w:val="18"/>
                <w:szCs w:val="18"/>
                <w:color w:val="auto"/>
              </w:rPr>
              <w:t>% Voted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91.37%</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0.38%</w:t>
            </w:r>
          </w:p>
        </w:tc>
      </w:tr>
    </w:tbl>
    <w:p>
      <w:pPr>
        <w:spacing w:after="0" w:line="21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vote required to approve Proposal No. 4 was the affirmative vote of a majority of the votes cast on the proposal. Accordingly, the Company’s stockholders approved the 2019 Employee Stock Purchase Plan, as described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Proposal No. 5 – Advisory Vote to Approve Executive Compensation (Say-on-Pay Proposal)</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5"/>
                <w:szCs w:val="15"/>
                <w:b w:val="1"/>
                <w:bCs w:val="1"/>
                <w:color w:val="auto"/>
              </w:rPr>
              <w:t>For</w:t>
            </w:r>
          </w:p>
        </w:tc>
        <w:tc>
          <w:tcPr>
            <w:tcW w:w="138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Against</w:t>
            </w:r>
          </w:p>
        </w:tc>
        <w:tc>
          <w:tcPr>
            <w:tcW w:w="12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Abstained</w:t>
            </w:r>
          </w:p>
        </w:tc>
      </w:tr>
      <w:tr>
        <w:trPr>
          <w:trHeight w:val="216"/>
        </w:trPr>
        <w:tc>
          <w:tcPr>
            <w:tcW w:w="7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Votes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13,883,367</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1,965,028</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100,259</w:t>
            </w:r>
          </w:p>
        </w:tc>
        <w:tc>
          <w:tcPr>
            <w:tcW w:w="140" w:type="dxa"/>
            <w:vAlign w:val="bottom"/>
            <w:shd w:val="clear" w:color="auto" w:fill="CCEEFF"/>
          </w:tcPr>
          <w:p>
            <w:pPr>
              <w:spacing w:after="0"/>
              <w:rPr>
                <w:sz w:val="18"/>
                <w:szCs w:val="18"/>
                <w:color w:val="auto"/>
              </w:rPr>
            </w:pPr>
          </w:p>
        </w:tc>
      </w:tr>
      <w:tr>
        <w:trPr>
          <w:trHeight w:val="222"/>
        </w:trPr>
        <w:tc>
          <w:tcPr>
            <w:tcW w:w="7440" w:type="dxa"/>
            <w:vAlign w:val="bottom"/>
          </w:tcPr>
          <w:p>
            <w:pPr>
              <w:jc w:val="right"/>
              <w:ind w:right="32"/>
              <w:spacing w:after="0"/>
              <w:rPr>
                <w:sz w:val="20"/>
                <w:szCs w:val="20"/>
                <w:color w:val="auto"/>
              </w:rPr>
            </w:pPr>
            <w:r>
              <w:rPr>
                <w:rFonts w:ascii="Arial" w:cs="Arial" w:eastAsia="Arial" w:hAnsi="Arial"/>
                <w:sz w:val="18"/>
                <w:szCs w:val="18"/>
                <w:color w:val="auto"/>
              </w:rPr>
              <w:t>% Voted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87.05%</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12.32%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0.63%</w:t>
            </w: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vote required to approve this non-binding advisory Proposal No. 5 was the affirmative vote of a majority of the votes cast on the proposal.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Company’s stockholders approved the compensation paid to the Company’s named executive officers, as disclosed in the Proxy Statement.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No. 6 – Ratification of Appointment of Auditors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5"/>
                <w:szCs w:val="15"/>
                <w:b w:val="1"/>
                <w:bCs w:val="1"/>
                <w:color w:val="auto"/>
              </w:rPr>
              <w:t>For</w:t>
            </w:r>
          </w:p>
        </w:tc>
        <w:tc>
          <w:tcPr>
            <w:tcW w:w="138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Against</w:t>
            </w:r>
          </w:p>
        </w:tc>
        <w:tc>
          <w:tcPr>
            <w:tcW w:w="12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Abstained</w:t>
            </w:r>
          </w:p>
        </w:tc>
      </w:tr>
      <w:tr>
        <w:trPr>
          <w:trHeight w:val="216"/>
        </w:trPr>
        <w:tc>
          <w:tcPr>
            <w:tcW w:w="7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Votes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30,257,040</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849,405</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836,235</w:t>
            </w:r>
          </w:p>
        </w:tc>
        <w:tc>
          <w:tcPr>
            <w:tcW w:w="140" w:type="dxa"/>
            <w:vAlign w:val="bottom"/>
            <w:shd w:val="clear" w:color="auto" w:fill="CCEEFF"/>
          </w:tcPr>
          <w:p>
            <w:pPr>
              <w:spacing w:after="0"/>
              <w:rPr>
                <w:sz w:val="18"/>
                <w:szCs w:val="18"/>
                <w:color w:val="auto"/>
              </w:rPr>
            </w:pPr>
          </w:p>
        </w:tc>
      </w:tr>
      <w:tr>
        <w:trPr>
          <w:trHeight w:val="222"/>
        </w:trPr>
        <w:tc>
          <w:tcPr>
            <w:tcW w:w="7440" w:type="dxa"/>
            <w:vAlign w:val="bottom"/>
          </w:tcPr>
          <w:p>
            <w:pPr>
              <w:jc w:val="right"/>
              <w:ind w:right="32"/>
              <w:spacing w:after="0"/>
              <w:rPr>
                <w:sz w:val="20"/>
                <w:szCs w:val="20"/>
                <w:color w:val="auto"/>
              </w:rPr>
            </w:pPr>
            <w:r>
              <w:rPr>
                <w:rFonts w:ascii="Arial" w:cs="Arial" w:eastAsia="Arial" w:hAnsi="Arial"/>
                <w:sz w:val="18"/>
                <w:szCs w:val="18"/>
                <w:color w:val="auto"/>
              </w:rPr>
              <w:t>% Voted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94.72%</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2.62%</w:t>
            </w:r>
          </w:p>
        </w:tc>
      </w:tr>
    </w:tbl>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vote required to approve Proposal No. 6 was the affirmative vote of a majority of the votes cast on the proposal. Accordingly, stockholders ratified the appointment of OUM &amp; Co. LLP as the Company’s independent auditors for the fiscal year ending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0" w:type="dxa"/>
            <w:vAlign w:val="bottom"/>
          </w:tcPr>
          <w:p>
            <w:pPr>
              <w:spacing w:after="0"/>
              <w:rPr>
                <w:sz w:val="19"/>
                <w:szCs w:val="19"/>
                <w:color w:val="auto"/>
              </w:rPr>
            </w:pPr>
          </w:p>
        </w:tc>
        <w:tc>
          <w:tcPr>
            <w:tcW w:w="1740" w:type="dxa"/>
            <w:vAlign w:val="bottom"/>
            <w:gridSpan w:val="2"/>
          </w:tcPr>
          <w:p>
            <w:pPr>
              <w:ind w:left="440"/>
              <w:spacing w:after="0"/>
              <w:rPr>
                <w:sz w:val="20"/>
                <w:szCs w:val="20"/>
                <w:color w:val="auto"/>
              </w:rPr>
            </w:pPr>
            <w:r>
              <w:rPr>
                <w:rFonts w:ascii="Arial" w:cs="Arial" w:eastAsia="Arial" w:hAnsi="Arial"/>
                <w:sz w:val="18"/>
                <w:szCs w:val="18"/>
                <w:color w:val="auto"/>
              </w:rPr>
              <w:t>(d) Exhibits.</w:t>
            </w:r>
          </w:p>
        </w:tc>
        <w:tc>
          <w:tcPr>
            <w:tcW w:w="9460" w:type="dxa"/>
            <w:vAlign w:val="bottom"/>
          </w:tcPr>
          <w:p>
            <w:pPr>
              <w:spacing w:after="0"/>
              <w:rPr>
                <w:sz w:val="19"/>
                <w:szCs w:val="19"/>
                <w:color w:val="auto"/>
              </w:rPr>
            </w:pPr>
          </w:p>
        </w:tc>
      </w:tr>
      <w:tr>
        <w:trPr>
          <w:trHeight w:val="441"/>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4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50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8"/>
                <w:szCs w:val="18"/>
                <w:color w:val="0000EE"/>
              </w:rPr>
              <w:t>3.</w:t>
            </w:r>
            <w:r>
              <w:rPr>
                <w:rFonts w:ascii="Arial" w:cs="Arial" w:eastAsia="Arial" w:hAnsi="Arial"/>
                <w:sz w:val="18"/>
                <w:szCs w:val="18"/>
                <w:u w:val="single" w:color="auto"/>
                <w:color w:val="0000EE"/>
              </w:rPr>
              <w:t>1</w:t>
            </w:r>
          </w:p>
        </w:tc>
        <w:tc>
          <w:tcPr>
            <w:tcW w:w="460" w:type="dxa"/>
            <w:vAlign w:val="bottom"/>
          </w:tcPr>
          <w:p>
            <w:pPr>
              <w:spacing w:after="0"/>
              <w:rPr>
                <w:sz w:val="15"/>
                <w:szCs w:val="15"/>
                <w:color w:val="auto"/>
              </w:rPr>
            </w:pPr>
          </w:p>
        </w:tc>
        <w:tc>
          <w:tcPr>
            <w:tcW w:w="94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89"/>
              </w:rPr>
              <w:t>Certificate of Amendment to the Restated and Amended Articles of Incorporation, as amended, of VistaGen Therapeutics, Inc., dated</w:t>
            </w:r>
          </w:p>
        </w:tc>
      </w:tr>
      <w:tr>
        <w:trPr>
          <w:trHeight w:val="235"/>
        </w:trPr>
        <w:tc>
          <w:tcPr>
            <w:tcW w:w="220" w:type="dxa"/>
            <w:vAlign w:val="bottom"/>
            <w:tcBorders>
              <w:top w:val="single" w:sz="8" w:color="0000EE"/>
            </w:tcBorders>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September 6, 2019.</w:t>
            </w:r>
          </w:p>
        </w:tc>
      </w:tr>
      <w:tr>
        <w:trPr>
          <w:trHeight w:val="1143"/>
        </w:trPr>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9" w:right="239" w:bottom="1440" w:gutter="0" w:footer="0" w:header="0"/>
        </w:sectPr>
      </w:pPr>
    </w:p>
    <w:bookmarkStart w:id="3" w:name="page4"/>
    <w:bookmarkEnd w:id="3"/>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6, 2019</w:t>
      </w:r>
      <w:r>
        <w:rPr>
          <w:sz w:val="20"/>
          <w:szCs w:val="20"/>
          <w:color w:val="auto"/>
        </w:rPr>
        <w:tab/>
      </w:r>
      <w:r>
        <w:rPr>
          <w:rFonts w:ascii="Arial" w:cs="Arial" w:eastAsia="Arial" w:hAnsi="Arial"/>
          <w:sz w:val="16"/>
          <w:szCs w:val="16"/>
          <w:color w:val="auto"/>
        </w:rPr>
        <w:t>By: /s/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AND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VistaGen Therapeutics, Inc., a Nevada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certify that:</w:t>
      </w:r>
    </w:p>
    <w:p>
      <w:pPr>
        <w:spacing w:after="0" w:line="225" w:lineRule="exact"/>
        <w:rPr>
          <w:sz w:val="20"/>
          <w:szCs w:val="20"/>
          <w:color w:val="auto"/>
        </w:rPr>
      </w:pPr>
    </w:p>
    <w:p>
      <w:pPr>
        <w:jc w:val="both"/>
        <w:ind w:right="20" w:firstLine="556"/>
        <w:spacing w:after="0" w:line="268" w:lineRule="auto"/>
        <w:rPr>
          <w:sz w:val="20"/>
          <w:szCs w:val="20"/>
          <w:color w:val="auto"/>
        </w:rPr>
      </w:pPr>
      <w:r>
        <w:rPr>
          <w:rFonts w:ascii="Arial" w:cs="Arial" w:eastAsia="Arial" w:hAnsi="Arial"/>
          <w:sz w:val="18"/>
          <w:szCs w:val="18"/>
          <w:color w:val="auto"/>
        </w:rPr>
        <w:t>FIRST: This Certificate of Amendment amends the provisions of the Corporation's Restated and Amended Articles of Incorporation, as amended (the "</w:t>
      </w:r>
      <w:r>
        <w:rPr>
          <w:rFonts w:ascii="Arial" w:cs="Arial" w:eastAsia="Arial" w:hAnsi="Arial"/>
          <w:sz w:val="18"/>
          <w:szCs w:val="18"/>
          <w:i w:val="1"/>
          <w:iCs w:val="1"/>
          <w:color w:val="auto"/>
        </w:rPr>
        <w:t>Articles of Incorporation</w:t>
      </w:r>
      <w:r>
        <w:rPr>
          <w:rFonts w:ascii="Arial" w:cs="Arial" w:eastAsia="Arial" w:hAnsi="Arial"/>
          <w:sz w:val="18"/>
          <w:szCs w:val="18"/>
          <w:color w:val="auto"/>
        </w:rPr>
        <w:t>").</w:t>
      </w:r>
    </w:p>
    <w:p>
      <w:pPr>
        <w:spacing w:after="0" w:line="186"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8"/>
          <w:szCs w:val="18"/>
          <w:color w:val="auto"/>
        </w:rPr>
        <w:t>SECOND: The terms and provisions of this Certificate of Amendment have been duly adopted in accordance with Section 78.380 of the Nevada Revised Statutes and shall become effective immediately upon filing this Certificate of Amendment.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THIRD: The first paragraph of Article V of the Articles of Incorporation is hereby amended in its entirety and replaced with the following:</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corporation is authorized to issue two classes of capital stock, to be designated “Common Stock” and “Preferred Stock.” The total number of shares of Common Stock which this corporation is authorized to issue is One Hundred Seventy Five Million (175,000,000), each having a par value of $0.001. The total number of shares of Preferred Stock which this corporation is authorized to issue is Ten Million (10,000,000), each having a par value of $0.001. 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170" w:lineRule="exact"/>
        <w:rPr>
          <w:sz w:val="20"/>
          <w:szCs w:val="20"/>
          <w:color w:val="auto"/>
        </w:rPr>
      </w:pPr>
    </w:p>
    <w:p>
      <w:pPr>
        <w:jc w:val="both"/>
        <w:ind w:right="20" w:firstLine="441"/>
        <w:spacing w:after="0" w:line="268" w:lineRule="auto"/>
        <w:rPr>
          <w:sz w:val="20"/>
          <w:szCs w:val="20"/>
          <w:color w:val="auto"/>
        </w:rPr>
      </w:pPr>
      <w:r>
        <w:rPr>
          <w:rFonts w:ascii="Arial" w:cs="Arial" w:eastAsia="Arial" w:hAnsi="Arial"/>
          <w:sz w:val="18"/>
          <w:szCs w:val="18"/>
          <w:color w:val="auto"/>
        </w:rPr>
        <w:t>IN WITNESS WHEREOF, the Corporation has caused this Certificate of Amendment to be signed by its officers thereunto duly authorized this 5th day of September, 2019.</w:t>
      </w:r>
    </w:p>
    <w:p>
      <w:pPr>
        <w:spacing w:after="0" w:line="18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Name: Jerrold D. Dotson</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2019-11-29T11:09:31Z</dcterms:created>
  <dcterms:modified xsi:type="dcterms:W3CDTF">2019-11-29T11:09:31Z</dcterms:modified>
</cp:coreProperties>
</file>