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1260" w:hanging="989"/>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3" w:lineRule="exact"/>
        <w:rPr>
          <w:sz w:val="24"/>
          <w:szCs w:val="24"/>
          <w:color w:val="auto"/>
        </w:rPr>
      </w:pPr>
    </w:p>
    <w:p>
      <w:pPr>
        <w:ind w:left="1260" w:hanging="989"/>
        <w:spacing w:after="0"/>
        <w:tabs>
          <w:tab w:leader="none" w:pos="1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8" w:lineRule="exact"/>
        <w:rPr>
          <w:sz w:val="24"/>
          <w:szCs w:val="24"/>
          <w:color w:val="auto"/>
        </w:rPr>
      </w:pPr>
    </w:p>
    <w:tbl>
      <w:tblPr>
        <w:tblLayout w:type="fixed"/>
        <w:tblInd w:w="1660" w:type="dxa"/>
        <w:tblCellMar>
          <w:top w:w="0" w:type="dxa"/>
          <w:left w:w="0" w:type="dxa"/>
          <w:bottom w:w="0" w:type="dxa"/>
          <w:right w:w="0" w:type="dxa"/>
        </w:tblCellMar>
      </w:tblPr>
      <w:tr>
        <w:trPr>
          <w:trHeight w:val="207"/>
        </w:trPr>
        <w:tc>
          <w:tcPr>
            <w:tcW w:w="4140" w:type="dxa"/>
            <w:vAlign w:val="bottom"/>
          </w:tcPr>
          <w:p>
            <w:pPr>
              <w:ind w:left="1840"/>
              <w:spacing w:after="0"/>
              <w:rPr>
                <w:sz w:val="20"/>
                <w:szCs w:val="20"/>
                <w:color w:val="auto"/>
              </w:rPr>
            </w:pPr>
            <w:r>
              <w:rPr>
                <w:rFonts w:ascii="Arial" w:cs="Arial" w:eastAsia="Arial" w:hAnsi="Arial"/>
                <w:sz w:val="18"/>
                <w:szCs w:val="18"/>
                <w:b w:val="1"/>
                <w:bCs w:val="1"/>
                <w:color w:val="auto"/>
                <w:w w:val="90"/>
              </w:rPr>
              <w:t>For the transition period from</w:t>
            </w:r>
          </w:p>
        </w:tc>
        <w:tc>
          <w:tcPr>
            <w:tcW w:w="88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880" w:type="dxa"/>
            <w:vAlign w:val="bottom"/>
            <w:tcBorders>
              <w:bottom w:val="single" w:sz="8" w:color="auto"/>
            </w:tcBorders>
          </w:tcPr>
          <w:p>
            <w:pPr>
              <w:spacing w:after="0"/>
              <w:rPr>
                <w:sz w:val="17"/>
                <w:szCs w:val="17"/>
                <w:color w:val="auto"/>
              </w:rPr>
            </w:pPr>
          </w:p>
        </w:tc>
        <w:tc>
          <w:tcPr>
            <w:tcW w:w="1760" w:type="dxa"/>
            <w:vAlign w:val="bottom"/>
          </w:tcPr>
          <w:p>
            <w:pPr>
              <w:jc w:val="right"/>
              <w:ind w:right="1532"/>
              <w:spacing w:after="0"/>
              <w:rPr>
                <w:sz w:val="20"/>
                <w:szCs w:val="20"/>
                <w:color w:val="auto"/>
              </w:rPr>
            </w:pPr>
            <w:r>
              <w:rPr>
                <w:rFonts w:ascii="Arial" w:cs="Arial" w:eastAsia="Arial" w:hAnsi="Arial"/>
                <w:sz w:val="18"/>
                <w:szCs w:val="18"/>
                <w:b w:val="1"/>
                <w:bCs w:val="1"/>
                <w:color w:val="auto"/>
              </w:rPr>
              <w:t>..</w:t>
            </w:r>
          </w:p>
        </w:tc>
      </w:tr>
      <w:tr>
        <w:trPr>
          <w:trHeight w:val="451"/>
        </w:trPr>
        <w:tc>
          <w:tcPr>
            <w:tcW w:w="6140" w:type="dxa"/>
            <w:vAlign w:val="bottom"/>
            <w:gridSpan w:val="4"/>
          </w:tcPr>
          <w:p>
            <w:pPr>
              <w:jc w:val="center"/>
              <w:ind w:left="1862"/>
              <w:spacing w:after="0"/>
              <w:rPr>
                <w:sz w:val="20"/>
                <w:szCs w:val="20"/>
                <w:color w:val="auto"/>
              </w:rPr>
            </w:pPr>
            <w:r>
              <w:rPr>
                <w:rFonts w:ascii="Arial" w:cs="Arial" w:eastAsia="Arial" w:hAnsi="Arial"/>
                <w:sz w:val="18"/>
                <w:szCs w:val="18"/>
                <w:b w:val="1"/>
                <w:bCs w:val="1"/>
                <w:color w:val="auto"/>
                <w:w w:val="88"/>
              </w:rPr>
              <w:t>Commission File Number: 001-37761</w:t>
            </w:r>
          </w:p>
        </w:tc>
        <w:tc>
          <w:tcPr>
            <w:tcW w:w="1760" w:type="dxa"/>
            <w:vAlign w:val="bottom"/>
          </w:tcPr>
          <w:p>
            <w:pPr>
              <w:spacing w:after="0"/>
              <w:rPr>
                <w:sz w:val="24"/>
                <w:szCs w:val="24"/>
                <w:color w:val="auto"/>
              </w:rPr>
            </w:pPr>
          </w:p>
        </w:tc>
      </w:tr>
      <w:tr>
        <w:trPr>
          <w:trHeight w:val="574"/>
        </w:trPr>
        <w:tc>
          <w:tcPr>
            <w:tcW w:w="6140" w:type="dxa"/>
            <w:vAlign w:val="bottom"/>
            <w:gridSpan w:val="4"/>
          </w:tcPr>
          <w:p>
            <w:pPr>
              <w:jc w:val="center"/>
              <w:ind w:left="1882"/>
              <w:spacing w:after="0"/>
              <w:rPr>
                <w:sz w:val="20"/>
                <w:szCs w:val="20"/>
                <w:color w:val="auto"/>
              </w:rPr>
            </w:pPr>
            <w:r>
              <w:rPr>
                <w:rFonts w:ascii="Arial" w:cs="Arial" w:eastAsia="Arial" w:hAnsi="Arial"/>
                <w:sz w:val="32"/>
                <w:szCs w:val="32"/>
                <w:b w:val="1"/>
                <w:bCs w:val="1"/>
                <w:color w:val="auto"/>
                <w:w w:val="92"/>
              </w:rPr>
              <w:t>VistaGen Therapeutics, Inc.</w:t>
            </w:r>
          </w:p>
        </w:tc>
        <w:tc>
          <w:tcPr>
            <w:tcW w:w="1760" w:type="dxa"/>
            <w:vAlign w:val="bottom"/>
          </w:tcPr>
          <w:p>
            <w:pPr>
              <w:spacing w:after="0"/>
              <w:rPr>
                <w:sz w:val="24"/>
                <w:szCs w:val="24"/>
                <w:color w:val="auto"/>
              </w:rPr>
            </w:pPr>
          </w:p>
        </w:tc>
      </w:tr>
      <w:tr>
        <w:trPr>
          <w:trHeight w:val="222"/>
        </w:trPr>
        <w:tc>
          <w:tcPr>
            <w:tcW w:w="6140" w:type="dxa"/>
            <w:vAlign w:val="bottom"/>
            <w:gridSpan w:val="4"/>
          </w:tcPr>
          <w:p>
            <w:pPr>
              <w:jc w:val="center"/>
              <w:ind w:left="1862"/>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c>
          <w:tcPr>
            <w:tcW w:w="1760" w:type="dxa"/>
            <w:vAlign w:val="bottom"/>
          </w:tcPr>
          <w:p>
            <w:pPr>
              <w:spacing w:after="0"/>
              <w:rPr>
                <w:sz w:val="19"/>
                <w:szCs w:val="19"/>
                <w:color w:val="auto"/>
              </w:rPr>
            </w:pPr>
          </w:p>
        </w:tc>
      </w:tr>
      <w:tr>
        <w:trPr>
          <w:trHeight w:val="642"/>
        </w:trPr>
        <w:tc>
          <w:tcPr>
            <w:tcW w:w="4140" w:type="dxa"/>
            <w:vAlign w:val="bottom"/>
          </w:tcPr>
          <w:p>
            <w:pPr>
              <w:jc w:val="center"/>
              <w:ind w:right="1862"/>
              <w:spacing w:after="0"/>
              <w:rPr>
                <w:sz w:val="20"/>
                <w:szCs w:val="20"/>
                <w:color w:val="auto"/>
              </w:rPr>
            </w:pPr>
            <w:r>
              <w:rPr>
                <w:rFonts w:ascii="Arial" w:cs="Arial" w:eastAsia="Arial" w:hAnsi="Arial"/>
                <w:sz w:val="18"/>
                <w:szCs w:val="18"/>
                <w:b w:val="1"/>
                <w:bCs w:val="1"/>
                <w:color w:val="auto"/>
                <w:w w:val="90"/>
              </w:rPr>
              <w:t>Nevada</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tcPr>
          <w:p>
            <w:pPr>
              <w:jc w:val="center"/>
              <w:ind w:left="392"/>
              <w:spacing w:after="0"/>
              <w:rPr>
                <w:sz w:val="20"/>
                <w:szCs w:val="20"/>
                <w:color w:val="auto"/>
              </w:rPr>
            </w:pPr>
            <w:r>
              <w:rPr>
                <w:rFonts w:ascii="Arial" w:cs="Arial" w:eastAsia="Arial" w:hAnsi="Arial"/>
                <w:sz w:val="18"/>
                <w:szCs w:val="18"/>
                <w:b w:val="1"/>
                <w:bCs w:val="1"/>
                <w:color w:val="auto"/>
                <w:w w:val="87"/>
              </w:rPr>
              <w:t>20-5093315</w:t>
            </w:r>
          </w:p>
        </w:tc>
      </w:tr>
      <w:tr>
        <w:trPr>
          <w:trHeight w:val="216"/>
        </w:trPr>
        <w:tc>
          <w:tcPr>
            <w:tcW w:w="4140" w:type="dxa"/>
            <w:vAlign w:val="bottom"/>
          </w:tcPr>
          <w:p>
            <w:pPr>
              <w:jc w:val="center"/>
              <w:ind w:right="1862"/>
              <w:spacing w:after="0"/>
              <w:rPr>
                <w:sz w:val="20"/>
                <w:szCs w:val="20"/>
                <w:color w:val="auto"/>
              </w:rPr>
            </w:pPr>
            <w:r>
              <w:rPr>
                <w:rFonts w:ascii="Arial" w:cs="Arial" w:eastAsia="Arial" w:hAnsi="Arial"/>
                <w:sz w:val="18"/>
                <w:szCs w:val="18"/>
                <w:i w:val="1"/>
                <w:iCs w:val="1"/>
                <w:color w:val="auto"/>
                <w:w w:val="91"/>
              </w:rPr>
              <w:t>(State or other jurisdiction of</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tcPr>
          <w:p>
            <w:pPr>
              <w:jc w:val="center"/>
              <w:ind w:left="372"/>
              <w:spacing w:after="0"/>
              <w:rPr>
                <w:sz w:val="20"/>
                <w:szCs w:val="20"/>
                <w:color w:val="auto"/>
              </w:rPr>
            </w:pPr>
            <w:r>
              <w:rPr>
                <w:rFonts w:ascii="Arial" w:cs="Arial" w:eastAsia="Arial" w:hAnsi="Arial"/>
                <w:sz w:val="18"/>
                <w:szCs w:val="18"/>
                <w:i w:val="1"/>
                <w:iCs w:val="1"/>
                <w:color w:val="auto"/>
                <w:w w:val="89"/>
              </w:rPr>
              <w:t>(I.R.S. Employer</w:t>
            </w:r>
          </w:p>
        </w:tc>
      </w:tr>
      <w:tr>
        <w:trPr>
          <w:trHeight w:val="222"/>
        </w:trPr>
        <w:tc>
          <w:tcPr>
            <w:tcW w:w="4140" w:type="dxa"/>
            <w:vAlign w:val="bottom"/>
          </w:tcPr>
          <w:p>
            <w:pPr>
              <w:jc w:val="center"/>
              <w:ind w:right="1862"/>
              <w:spacing w:after="0"/>
              <w:rPr>
                <w:sz w:val="20"/>
                <w:szCs w:val="20"/>
                <w:color w:val="auto"/>
              </w:rPr>
            </w:pPr>
            <w:r>
              <w:rPr>
                <w:rFonts w:ascii="Arial" w:cs="Arial" w:eastAsia="Arial" w:hAnsi="Arial"/>
                <w:sz w:val="18"/>
                <w:szCs w:val="18"/>
                <w:i w:val="1"/>
                <w:iCs w:val="1"/>
                <w:color w:val="auto"/>
                <w:w w:val="93"/>
              </w:rPr>
              <w:t>incorporation or organization)</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60" w:type="dxa"/>
            <w:vAlign w:val="bottom"/>
          </w:tcPr>
          <w:p>
            <w:pPr>
              <w:jc w:val="center"/>
              <w:ind w:left="372"/>
              <w:spacing w:after="0"/>
              <w:rPr>
                <w:sz w:val="20"/>
                <w:szCs w:val="20"/>
                <w:color w:val="auto"/>
              </w:rPr>
            </w:pPr>
            <w:r>
              <w:rPr>
                <w:rFonts w:ascii="Arial" w:cs="Arial" w:eastAsia="Arial" w:hAnsi="Arial"/>
                <w:sz w:val="18"/>
                <w:szCs w:val="18"/>
                <w:i w:val="1"/>
                <w:iCs w:val="1"/>
                <w:color w:val="auto"/>
                <w:w w:val="92"/>
              </w:rPr>
              <w:t>Identification No.)</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9"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4400" w:type="dxa"/>
            <w:vAlign w:val="bottom"/>
          </w:tcPr>
          <w:p>
            <w:pPr>
              <w:ind w:left="170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Non-Accelerated filer</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4400" w:type="dxa"/>
            <w:vAlign w:val="bottom"/>
          </w:tcPr>
          <w:p>
            <w:pPr>
              <w:ind w:left="1700"/>
              <w:spacing w:after="0"/>
              <w:rPr>
                <w:sz w:val="20"/>
                <w:szCs w:val="20"/>
                <w:color w:val="auto"/>
              </w:rPr>
            </w:pPr>
            <w:r>
              <w:rPr>
                <w:rFonts w:ascii="Arial" w:cs="Arial" w:eastAsia="Arial" w:hAnsi="Arial"/>
                <w:sz w:val="18"/>
                <w:szCs w:val="18"/>
                <w:color w:val="auto"/>
              </w:rPr>
              <w:t>Smaller reporting company</w:t>
            </w:r>
          </w:p>
        </w:tc>
        <w:tc>
          <w:tcPr>
            <w:tcW w:w="1020" w:type="dxa"/>
            <w:vAlign w:val="bottom"/>
            <w:gridSpan w:val="2"/>
          </w:tcPr>
          <w:p>
            <w:pPr>
              <w:ind w:left="7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3240" w:type="dxa"/>
            <w:vAlign w:val="bottom"/>
            <w:vMerge w:val="restart"/>
          </w:tcPr>
          <w:p>
            <w:pPr>
              <w:spacing w:after="0"/>
              <w:rPr>
                <w:sz w:val="20"/>
                <w:szCs w:val="20"/>
                <w:color w:val="auto"/>
              </w:rPr>
            </w:pPr>
            <w:r>
              <w:rPr>
                <w:rFonts w:ascii="Arial" w:cs="Arial" w:eastAsia="Arial" w:hAnsi="Arial"/>
                <w:sz w:val="18"/>
                <w:szCs w:val="18"/>
                <w:color w:val="auto"/>
                <w:w w:val="89"/>
              </w:rPr>
              <w:t>(do not check if a smaller reporting company)</w:t>
            </w: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400" w:type="dxa"/>
            <w:vAlign w:val="bottom"/>
          </w:tcPr>
          <w:p>
            <w:pPr>
              <w:ind w:left="170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0" w:lineRule="exact"/>
        <w:rPr>
          <w:sz w:val="24"/>
          <w:szCs w:val="24"/>
          <w:color w:val="auto"/>
        </w:rPr>
      </w:pPr>
    </w:p>
    <w:p>
      <w:pPr>
        <w:ind w:right="420"/>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August 11, 2017, 9,380,044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2017</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540" w:type="dxa"/>
            <w:vAlign w:val="bottom"/>
            <w:gridSpan w:val="10"/>
          </w:tcPr>
          <w:p>
            <w:pPr>
              <w:ind w:left="920"/>
              <w:spacing w:after="0"/>
              <w:rPr>
                <w:sz w:val="20"/>
                <w:szCs w:val="20"/>
                <w:color w:val="auto"/>
              </w:rPr>
            </w:pPr>
            <w:r>
              <w:rPr>
                <w:rFonts w:ascii="Arial" w:cs="Arial" w:eastAsia="Arial" w:hAnsi="Arial"/>
                <w:sz w:val="18"/>
                <w:szCs w:val="18"/>
                <w:b w:val="1"/>
                <w:bCs w:val="1"/>
                <w:color w:val="auto"/>
              </w:rPr>
              <w:t>TABLE OF CONTENTS</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40" w:type="dxa"/>
            <w:vAlign w:val="bottom"/>
            <w:gridSpan w:val="12"/>
            <w:vMerge w:val="restart"/>
          </w:tcPr>
          <w:p>
            <w:pPr>
              <w:jc w:val="center"/>
              <w:ind w:right="356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1020" w:type="dxa"/>
            <w:vAlign w:val="bottom"/>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40" w:type="dxa"/>
            <w:vAlign w:val="bottom"/>
            <w:gridSpan w:val="12"/>
            <w:vMerge w:val="continue"/>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0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34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2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Condensed Consolidated Financial Statements (Unaudited)</w:t>
              </w:r>
            </w:hyperlink>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0" w:type="dxa"/>
            <w:vAlign w:val="bottom"/>
            <w:gridSpan w:val="19"/>
          </w:tcPr>
          <w:p>
            <w:pPr>
              <w:ind w:left="1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June 30, 2017 and March 31, 2017</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4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and Comprehensive Loss for the three months ended June 30, 2017 and 2016</w:t>
              </w:r>
            </w:hyperlink>
          </w:p>
        </w:tc>
        <w:tc>
          <w:tcPr>
            <w:tcW w:w="6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0" w:type="dxa"/>
            <w:vAlign w:val="bottom"/>
            <w:gridSpan w:val="19"/>
          </w:tcPr>
          <w:p>
            <w:pPr>
              <w:ind w:left="14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three months ended June 30, 2017 and 2016</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16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the Condensed Consolidated Financial Statements</w:t>
              </w:r>
            </w:hyperlink>
          </w:p>
        </w:tc>
        <w:tc>
          <w:tcPr>
            <w:tcW w:w="5500" w:type="dxa"/>
            <w:vAlign w:val="bottom"/>
            <w:tcBorders>
              <w:bottom w:val="single" w:sz="8" w:color="CCEEFF"/>
            </w:tcBorders>
            <w:gridSpan w:val="8"/>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20" w:type="dxa"/>
            <w:vAlign w:val="bottom"/>
            <w:gridSpan w:val="20"/>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Item 2. Management’s Discussion and Analysis of Financial Condition and Results of Operations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3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20" w:type="dxa"/>
            <w:vAlign w:val="bottom"/>
            <w:gridSpan w:val="20"/>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4. Controls and Procedures</w:t>
              </w:r>
            </w:hyperlink>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540" w:type="dxa"/>
            <w:vAlign w:val="bottom"/>
            <w:gridSpan w:val="10"/>
            <w:shd w:val="clear" w:color="auto" w:fill="CCEEFF"/>
          </w:tcPr>
          <w:p>
            <w:pPr>
              <w:jc w:val="center"/>
              <w:ind w:right="3860"/>
              <w:spacing w:after="0" w:line="176" w:lineRule="exact"/>
              <w:rPr>
                <w:rFonts w:ascii="Arial" w:cs="Arial" w:eastAsia="Arial" w:hAnsi="Arial"/>
                <w:sz w:val="18"/>
                <w:szCs w:val="18"/>
                <w:b w:val="1"/>
                <w:bCs w:val="1"/>
                <w:color w:val="0000EE"/>
                <w:w w:val="99"/>
              </w:rPr>
            </w:pPr>
            <w:hyperlink w:anchor="page22">
              <w:r>
                <w:rPr>
                  <w:rFonts w:ascii="Arial" w:cs="Arial" w:eastAsia="Arial" w:hAnsi="Arial"/>
                  <w:sz w:val="18"/>
                  <w:szCs w:val="18"/>
                  <w:b w:val="1"/>
                  <w:bCs w:val="1"/>
                  <w:color w:val="0000EE"/>
                  <w:w w:val="99"/>
                </w:rPr>
                <w:t>PART II. OTHER INFORMATION</w:t>
              </w:r>
            </w:hyperlink>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80" w:type="dxa"/>
            <w:vAlign w:val="bottom"/>
            <w:gridSpan w:val="2"/>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1.</w:t>
              </w:r>
            </w:hyperlink>
          </w:p>
        </w:tc>
        <w:tc>
          <w:tcPr>
            <w:tcW w:w="9800" w:type="dxa"/>
            <w:vAlign w:val="bottom"/>
            <w:gridSpan w:val="19"/>
            <w:shd w:val="clear" w:color="auto" w:fill="CCEEFF"/>
          </w:tcPr>
          <w:p>
            <w:pPr>
              <w:ind w:left="80"/>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6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1A. Risk Factors</w:t>
              </w:r>
            </w:hyperlink>
          </w:p>
        </w:tc>
        <w:tc>
          <w:tcPr>
            <w:tcW w:w="8420" w:type="dxa"/>
            <w:vAlign w:val="bottom"/>
            <w:tcBorders>
              <w:top w:val="single" w:sz="8" w:color="CCEEFF"/>
            </w:tcBorders>
            <w:gridSpan w:val="14"/>
          </w:tcPr>
          <w:p>
            <w:pPr>
              <w:spacing w:after="0"/>
              <w:rPr>
                <w:sz w:val="15"/>
                <w:szCs w:val="15"/>
                <w:color w:val="auto"/>
              </w:rPr>
            </w:pPr>
          </w:p>
        </w:tc>
        <w:tc>
          <w:tcPr>
            <w:tcW w:w="10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 w:type="dxa"/>
            <w:vAlign w:val="bottom"/>
            <w:gridSpan w:val="2"/>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Item 2.</w:t>
              </w:r>
            </w:hyperlink>
          </w:p>
        </w:tc>
        <w:tc>
          <w:tcPr>
            <w:tcW w:w="9800" w:type="dxa"/>
            <w:vAlign w:val="bottom"/>
            <w:gridSpan w:val="19"/>
            <w:shd w:val="clear" w:color="auto" w:fill="CCEEFF"/>
          </w:tcPr>
          <w:p>
            <w:pPr>
              <w:ind w:left="8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Unregistered Sales of Equity Securities and Use of Proceeds</w:t>
              </w:r>
            </w:hyperlink>
          </w:p>
        </w:tc>
        <w:tc>
          <w:tcPr>
            <w:tcW w:w="10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 w:type="dxa"/>
            <w:vAlign w:val="bottom"/>
            <w:tcBorders>
              <w:top w:val="single" w:sz="8" w:color="0000EE"/>
              <w:bottom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Item 3.</w:t>
              </w:r>
            </w:hyperlink>
          </w:p>
        </w:tc>
        <w:tc>
          <w:tcPr>
            <w:tcW w:w="2960" w:type="dxa"/>
            <w:vAlign w:val="bottom"/>
            <w:tcBorders>
              <w:top w:val="single" w:sz="8" w:color="0000EE"/>
              <w:bottom w:val="single" w:sz="8" w:color="0000EE"/>
            </w:tcBorders>
            <w:gridSpan w:val="7"/>
            <w:shd w:val="clear" w:color="auto" w:fill="CCEEFF"/>
          </w:tcPr>
          <w:p>
            <w:pPr>
              <w:ind w:left="80"/>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Defaults Upon Senior Secured Securities</w:t>
              </w:r>
            </w:hyperlink>
          </w:p>
        </w:tc>
        <w:tc>
          <w:tcPr>
            <w:tcW w:w="1360" w:type="dxa"/>
            <w:vAlign w:val="bottom"/>
            <w:tcBorders>
              <w:top w:val="single" w:sz="8" w:color="0000EE"/>
              <w:bottom w:val="single" w:sz="8" w:color="CCEEFF"/>
            </w:tcBorders>
            <w:gridSpan w:val="5"/>
            <w:shd w:val="clear" w:color="auto" w:fill="CCEEFF"/>
          </w:tcPr>
          <w:p>
            <w:pPr>
              <w:spacing w:after="0"/>
              <w:rPr>
                <w:sz w:val="18"/>
                <w:szCs w:val="18"/>
                <w:color w:val="auto"/>
              </w:rPr>
            </w:pPr>
          </w:p>
        </w:tc>
        <w:tc>
          <w:tcPr>
            <w:tcW w:w="5480" w:type="dxa"/>
            <w:vAlign w:val="bottom"/>
            <w:tcBorders>
              <w:top w:val="single" w:sz="8" w:color="CCEEFF"/>
              <w:bottom w:val="single" w:sz="8" w:color="CCEEFF"/>
            </w:tcBorders>
            <w:gridSpan w:val="7"/>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gridSpan w:val="2"/>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Item 6.</w:t>
              </w:r>
            </w:hyperlink>
          </w:p>
        </w:tc>
        <w:tc>
          <w:tcPr>
            <w:tcW w:w="9800" w:type="dxa"/>
            <w:vAlign w:val="bottom"/>
            <w:gridSpan w:val="19"/>
          </w:tcPr>
          <w:p>
            <w:pPr>
              <w:ind w:left="8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Exhibits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20" w:type="dxa"/>
            <w:vAlign w:val="bottom"/>
            <w:gridSpan w:val="20"/>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SIGNATURES</w:t>
              </w:r>
            </w:hyperlink>
          </w:p>
        </w:tc>
        <w:tc>
          <w:tcPr>
            <w:tcW w:w="1020" w:type="dxa"/>
            <w:vAlign w:val="bottom"/>
          </w:tcPr>
          <w:p>
            <w:pPr>
              <w:jc w:val="center"/>
              <w:spacing w:after="0" w:line="176" w:lineRule="exact"/>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82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shd w:val="clear" w:color="auto" w:fill="0000EE"/>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98"/>
              </w:rPr>
              <w:t>VISTAGEN THERAPEUTICS, INC.</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580" w:type="dxa"/>
            <w:vAlign w:val="bottom"/>
          </w:tcPr>
          <w:p>
            <w:pPr>
              <w:jc w:val="center"/>
              <w:ind w:left="1292"/>
              <w:spacing w:after="0"/>
              <w:rPr>
                <w:sz w:val="20"/>
                <w:szCs w:val="20"/>
                <w:color w:val="auto"/>
              </w:rPr>
            </w:pPr>
            <w:r>
              <w:rPr>
                <w:rFonts w:ascii="Arial" w:cs="Arial" w:eastAsia="Arial" w:hAnsi="Arial"/>
                <w:sz w:val="18"/>
                <w:szCs w:val="18"/>
                <w:b w:val="1"/>
                <w:bCs w:val="1"/>
                <w:color w:val="auto"/>
                <w:w w:val="86"/>
              </w:rPr>
              <w:t>(Amounts in Dollars, except share amounts)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(Unaudited)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80" w:type="dxa"/>
            <w:vAlign w:val="bottom"/>
          </w:tcPr>
          <w:p>
            <w:pPr>
              <w:jc w:val="center"/>
              <w:ind w:right="1232"/>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3,377,900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262,900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Security deposits and 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2,436,900</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jc w:val="center"/>
              <w:ind w:right="1232"/>
              <w:spacing w:after="0"/>
              <w:rPr>
                <w:sz w:val="20"/>
                <w:szCs w:val="20"/>
                <w:color w:val="auto"/>
              </w:rPr>
            </w:pPr>
            <w:r>
              <w:rPr>
                <w:rFonts w:ascii="Arial" w:cs="Arial" w:eastAsia="Arial" w:hAnsi="Arial"/>
                <w:sz w:val="18"/>
                <w:szCs w:val="18"/>
                <w:b w:val="1"/>
                <w:bCs w:val="1"/>
                <w:color w:val="auto"/>
              </w:rPr>
              <w:t>LIABILITIES AND STOCKHOLDERS’ EQUITY (DEFICIT)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632,000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867,300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Current portion of notes payable and accrued interest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Capital lease obligations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1,004,800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1,367,500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dividends on Series B Preferred Stock</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1,825,100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Deferred rent liability</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Capital lease obligations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Total non-current liabilities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2,038,900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1,728,900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3,043,700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3,096,400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Preferred stock, $0.001 par value; 10,000,000 shares authorized at June 30, 2017 and March 31, 2017: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Series A Preferred, 500,000 shares authorized and outstanding at June 30, 2017 and March 31, 2017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w w:val="90"/>
              </w:rPr>
              <w:t>Series B Preferred; 4,000,000 shares authorized at June 30, 2017 and March 31, 2017; 1,160,240 shares issued and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outstanding at June 30, 2017 and March 31, 2017</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0"/>
              </w:rPr>
              <w:t>Series C Preferred; 3,000,000 shares authorized at June 30, 2017 and March 31, 2017; 2,318,012 shares issued and</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outstanding at June 30, 2017 and March 31, 2017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w w:val="91"/>
              </w:rPr>
              <w:t>Common stock, $0.001 par value; 30,000,000 shares authorized at June 30, 2017 and March 31, 2017; 9,437,137 and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8,974,386 shares issued at June 30, 2017 and March 31, 2017, respectively</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147,611,900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146,569,600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Treasury stock, at cost, 135,665 shares of common stock held at June 30, 2017 and March 31, 2017</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(3,968,100)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(3,968,100)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(144,264,000)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(141,998,700)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Total stockholders’ equity (deficit)</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(606,800)</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615,800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 (deficit)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2,436,900</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3,712,200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1,096,200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1,164,300</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1,137,600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2,260,500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1,963,300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(2,260,500)</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(1,963,300)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(2,400)</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(2,262,900)</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(1,964,700)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(2,265,300)</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(1,967,100)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Accrued dividend on Series B Preferred stock</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(247,300)</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(539,800)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on Series B Preferred Units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(2,512,600)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(2,618,000)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attributable to common stockholders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common share</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(0.28)</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basic and diluted net loss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attributable to common stockholders per common share</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9,034,213</w:t>
            </w:r>
          </w:p>
        </w:tc>
        <w:tc>
          <w:tcPr>
            <w:tcW w:w="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5,097,832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82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7"/>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98"/>
              </w:rPr>
              <w:t>VISTAGEN THERAPEUTICS, INC.</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80" w:type="dxa"/>
            <w:vAlign w:val="bottom"/>
          </w:tcPr>
          <w:p>
            <w:pPr>
              <w:jc w:val="center"/>
              <w:ind w:left="1292"/>
              <w:spacing w:after="0"/>
              <w:rPr>
                <w:sz w:val="20"/>
                <w:szCs w:val="20"/>
                <w:color w:val="auto"/>
              </w:rPr>
            </w:pPr>
            <w:r>
              <w:rPr>
                <w:rFonts w:ascii="Arial" w:cs="Arial" w:eastAsia="Arial" w:hAnsi="Arial"/>
                <w:sz w:val="18"/>
                <w:szCs w:val="18"/>
                <w:b w:val="1"/>
                <w:bCs w:val="1"/>
                <w:color w:val="auto"/>
                <w:w w:val="96"/>
              </w:rPr>
              <w:t>CONDENSED CONSOLIDATED STATEMENTS OF CASH FLOWS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89"/>
              </w:rPr>
              <w:t>(Unaudited)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580" w:type="dxa"/>
            <w:vAlign w:val="bottom"/>
          </w:tcPr>
          <w:p>
            <w:pPr>
              <w:jc w:val="center"/>
              <w:ind w:left="1272"/>
              <w:spacing w:after="0"/>
              <w:rPr>
                <w:sz w:val="20"/>
                <w:szCs w:val="20"/>
                <w:color w:val="auto"/>
              </w:rPr>
            </w:pPr>
            <w:r>
              <w:rPr>
                <w:rFonts w:ascii="Arial" w:cs="Arial" w:eastAsia="Arial" w:hAnsi="Arial"/>
                <w:sz w:val="18"/>
                <w:szCs w:val="18"/>
                <w:b w:val="1"/>
                <w:bCs w:val="1"/>
                <w:color w:val="auto"/>
                <w:w w:val="89"/>
              </w:rPr>
              <w:t>(Amounts in Dollars)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82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(2,265,300)</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(1,967,100)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107,900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Expense related to modification of warrants, including exchange of warrants for common stock</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Amortization of deferred rent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63,300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Fair value of common stock granted for services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Fair value of Series B Preferred stock granted for services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Accounts payable and accrued expenses, including accrued interest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(473,500)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80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(2,134,100)</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(1,671,000)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of equipment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5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8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proceeds from issuance of common stock and warrants, including Units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9,537,100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Net proceeds from issuance of Series B Preferred Units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Repayment of notes</w:t>
            </w: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(31,700)</w:t>
            </w: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(70,400)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841,000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9,744,400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(1,293,100)</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8,071,400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2,921,300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428,500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1,628,200</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8,499,900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Supplemental disclosure of noncash activities: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Insurance premiums settled by issuing note payable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Accrued dividends on Series B Preferred</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247,300</w:t>
            </w:r>
          </w:p>
        </w:tc>
        <w:tc>
          <w:tcPr>
            <w:tcW w:w="28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539,800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dividends on Series B Preferred settled upon conversion by issuance of common stock</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VistaGen Therapeutics, Inc. (NASDAQ: VTGN), a Nevada corporation, is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AV-101 is our oral CNS product candidate in Phase 2 clinical development in the United States, initially as a new generation adjunctive treatment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AV-101’s mechanism of action (</w:t>
      </w:r>
      <w:r>
        <w:rPr>
          <w:rFonts w:ascii="Arial" w:cs="Arial" w:eastAsia="Arial" w:hAnsi="Arial"/>
          <w:sz w:val="16"/>
          <w:szCs w:val="16"/>
          <w:i w:val="1"/>
          <w:iCs w:val="1"/>
          <w:color w:val="auto"/>
        </w:rPr>
        <w:t>MOA</w:t>
      </w:r>
      <w:r>
        <w:rPr>
          <w:rFonts w:ascii="Arial" w:cs="Arial" w:eastAsia="Arial" w:hAnsi="Arial"/>
          <w:sz w:val="16"/>
          <w:szCs w:val="16"/>
          <w:color w:val="auto"/>
        </w:rPr>
        <w:t>) involves both NMDA (N-methyl-D-aspartate) and AMPA (alpha-amino-3-hydroxy-5-methyl-4-isoxazolepropionic acid) receptors in the brain responsible for fast excitatory synaptic activity throughout the CNS. AV-101’s MOA is fundamentally differentiated from all FDA-approved antidepressants, as well as all atypical antipsychotics often used adjunctively to augment them. We believe AV-101 also has potential as a new treatment alternative for several additional CNS indications, including epilepsy, Huntington’s disease, levodopa (</w:t>
      </w:r>
      <w:r>
        <w:rPr>
          <w:rFonts w:ascii="Arial" w:cs="Arial" w:eastAsia="Arial" w:hAnsi="Arial"/>
          <w:sz w:val="16"/>
          <w:szCs w:val="16"/>
          <w:i w:val="1"/>
          <w:iCs w:val="1"/>
          <w:color w:val="auto"/>
        </w:rPr>
        <w:t>L-DOPA</w:t>
      </w:r>
      <w:r>
        <w:rPr>
          <w:rFonts w:ascii="Arial" w:cs="Arial" w:eastAsia="Arial" w:hAnsi="Arial"/>
          <w:sz w:val="16"/>
          <w:szCs w:val="16"/>
          <w:color w:val="auto"/>
        </w:rPr>
        <w:t>)-induced dyskinesia associated with Parkinson’s disease, and as a non-opioid treatment for neuropathic pain.</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Clinical studies conducted at the U.S. National Institute of Mental Health (</w:t>
      </w:r>
      <w:r>
        <w:rPr>
          <w:rFonts w:ascii="Arial" w:cs="Arial" w:eastAsia="Arial" w:hAnsi="Arial"/>
          <w:sz w:val="18"/>
          <w:szCs w:val="18"/>
          <w:i w:val="1"/>
          <w:iCs w:val="1"/>
          <w:color w:val="auto"/>
        </w:rPr>
        <w:t>NIMH</w:t>
      </w:r>
      <w:r>
        <w:rPr>
          <w:rFonts w:ascii="Arial" w:cs="Arial" w:eastAsia="Arial" w:hAnsi="Arial"/>
          <w:sz w:val="18"/>
          <w:szCs w:val="18"/>
          <w:color w:val="auto"/>
        </w:rPr>
        <w:t>), part of the U.S. National Institutes of Health (</w:t>
      </w:r>
      <w:r>
        <w:rPr>
          <w:rFonts w:ascii="Arial" w:cs="Arial" w:eastAsia="Arial" w:hAnsi="Arial"/>
          <w:sz w:val="18"/>
          <w:szCs w:val="18"/>
          <w:i w:val="1"/>
          <w:iCs w:val="1"/>
          <w:color w:val="auto"/>
        </w:rPr>
        <w:t>NIH</w:t>
      </w:r>
      <w:r>
        <w:rPr>
          <w:rFonts w:ascii="Arial" w:cs="Arial" w:eastAsia="Arial" w:hAnsi="Arial"/>
          <w:sz w:val="18"/>
          <w:szCs w:val="18"/>
          <w:color w:val="auto"/>
        </w:rPr>
        <w:t>), by Dr. Carlos Zarate, Jr., Chief of the NIMH’s Experimental Therapeutics &amp; Pathophysiology Branch and its Section on Neurobiology and Treatment of Mood and Anxiety Disorders, have focused on the antidepressant effects of low dose ketamine hydrochloride injection (</w:t>
      </w:r>
      <w:r>
        <w:rPr>
          <w:rFonts w:ascii="Arial" w:cs="Arial" w:eastAsia="Arial" w:hAnsi="Arial"/>
          <w:sz w:val="18"/>
          <w:szCs w:val="18"/>
          <w:i w:val="1"/>
          <w:iCs w:val="1"/>
          <w:color w:val="auto"/>
        </w:rPr>
        <w:t>ketamine</w:t>
      </w:r>
      <w:r>
        <w:rPr>
          <w:rFonts w:ascii="Arial" w:cs="Arial" w:eastAsia="Arial" w:hAnsi="Arial"/>
          <w:sz w:val="18"/>
          <w:szCs w:val="18"/>
          <w:color w:val="auto"/>
        </w:rPr>
        <w:t>), an NMDA receptor antagonist, in MDD patients with inadequate responses to multiple standard antidepressants. These NIMH studies, as well as clinical research at Yale University and other academic institutions, have demonstrated robust antidepressant effects in these MDD patients within twenty-four hours of a single sub-anesthetic dose of ketamine administered by intravenous (</w:t>
      </w:r>
      <w:r>
        <w:rPr>
          <w:rFonts w:ascii="Arial" w:cs="Arial" w:eastAsia="Arial" w:hAnsi="Arial"/>
          <w:sz w:val="18"/>
          <w:szCs w:val="18"/>
          <w:i w:val="1"/>
          <w:iCs w:val="1"/>
          <w:color w:val="auto"/>
        </w:rPr>
        <w:t>IV</w:t>
      </w:r>
      <w:r>
        <w:rPr>
          <w:rFonts w:ascii="Arial" w:cs="Arial" w:eastAsia="Arial" w:hAnsi="Arial"/>
          <w:sz w:val="18"/>
          <w:szCs w:val="18"/>
          <w:color w:val="auto"/>
        </w:rPr>
        <w:t>) injection.</w:t>
      </w:r>
    </w:p>
    <w:p>
      <w:pPr>
        <w:spacing w:after="0" w:line="19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believe orally-administered AV-101 may have potential to deliver ketamine-like antidepressant effects without ketamine’s psychological and other negative side effects. 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titled,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prodrug 4-chlorokynurenine causes ketamine-like antidepressant effects, but not side effects, by NMDA/glycineB-site inhibition, </w:t>
      </w:r>
      <w:r>
        <w:rPr>
          <w:rFonts w:ascii="Arial" w:cs="Arial" w:eastAsia="Arial" w:hAnsi="Arial"/>
          <w:sz w:val="16"/>
          <w:szCs w:val="16"/>
          <w:color w:val="auto"/>
        </w:rPr>
        <w:t>using well-established preclinical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models of depression, AV-101 was shown to induce fast-acting, dose-dependent, 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both inhibiting the GlyB site of the NMDA receptor and activating the AMPA receptor pathway in the brain.</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and Dr. Zarate, the NIMH is funding, and Dr. Zarate, as Principal Investigator, and his team are conducting, a small Phase 2 clinical study of AV-101 monotherapy in subjects with treatment-resistant MDD (the </w:t>
      </w:r>
      <w:r>
        <w:rPr>
          <w:rFonts w:ascii="Arial" w:cs="Arial" w:eastAsia="Arial" w:hAnsi="Arial"/>
          <w:sz w:val="16"/>
          <w:szCs w:val="16"/>
          <w:i w:val="1"/>
          <w:iCs w:val="1"/>
          <w:color w:val="auto"/>
        </w:rPr>
        <w:t>NIMH AV-101</w:t>
      </w:r>
      <w:r>
        <w:rPr>
          <w:rFonts w:ascii="Arial" w:cs="Arial" w:eastAsia="Arial" w:hAnsi="Arial"/>
          <w:sz w:val="16"/>
          <w:szCs w:val="16"/>
          <w:color w:val="auto"/>
        </w:rPr>
        <w:t xml:space="preserve"> </w:t>
      </w:r>
      <w:r>
        <w:rPr>
          <w:rFonts w:ascii="Arial" w:cs="Arial" w:eastAsia="Arial" w:hAnsi="Arial"/>
          <w:sz w:val="16"/>
          <w:szCs w:val="16"/>
          <w:i w:val="1"/>
          <w:iCs w:val="1"/>
          <w:color w:val="auto"/>
        </w:rPr>
        <w:t>MDD Phase 2 Monotherapy Study</w:t>
      </w:r>
      <w:r>
        <w:rPr>
          <w:rFonts w:ascii="Arial" w:cs="Arial" w:eastAsia="Arial" w:hAnsi="Arial"/>
          <w:sz w:val="16"/>
          <w:szCs w:val="16"/>
          <w:color w:val="auto"/>
        </w:rPr>
        <w:t>). We are preparing to launch our 180-patient Phase 2 multi-center, multi-dose, double blind, placebo-controlled efficacy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safety study of AV-101 as a new generation adjunctive treatment of MDD in adult patients with an inadequate response to standard, FDA-approved antidepressants (the </w:t>
      </w:r>
      <w:r>
        <w:rPr>
          <w:rFonts w:ascii="Arial" w:cs="Arial" w:eastAsia="Arial" w:hAnsi="Arial"/>
          <w:sz w:val="16"/>
          <w:szCs w:val="16"/>
          <w:i w:val="1"/>
          <w:iCs w:val="1"/>
          <w:color w:val="auto"/>
        </w:rPr>
        <w:t>AV-101 MDD Phase 2 Adjunctive Treatment Study</w:t>
      </w:r>
      <w:r>
        <w:rPr>
          <w:rFonts w:ascii="Arial" w:cs="Arial" w:eastAsia="Arial" w:hAnsi="Arial"/>
          <w:sz w:val="16"/>
          <w:szCs w:val="16"/>
          <w:color w:val="auto"/>
        </w:rPr>
        <w:t>).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Research Institute, will be the Principal Investigator of our AV-101 MDD Phase 2 Adjunctive Treatment Study. Dr. Fava was the co-Principal Investigator with Dr. A. John Rush of the STAR*D study, the largest clinical trial conducted in depression to date, whose findings were published in journals such as the New England Journal of Medicine (</w:t>
      </w:r>
      <w:r>
        <w:rPr>
          <w:rFonts w:ascii="Arial" w:cs="Arial" w:eastAsia="Arial" w:hAnsi="Arial"/>
          <w:sz w:val="16"/>
          <w:szCs w:val="16"/>
          <w:i w:val="1"/>
          <w:iCs w:val="1"/>
          <w:color w:val="auto"/>
        </w:rPr>
        <w:t>NEJM</w:t>
      </w:r>
      <w:r>
        <w:rPr>
          <w:rFonts w:ascii="Arial" w:cs="Arial" w:eastAsia="Arial" w:hAnsi="Arial"/>
          <w:sz w:val="16"/>
          <w:szCs w:val="16"/>
          <w:color w:val="auto"/>
        </w:rPr>
        <w:t>) and the Journal of the American Medical Association (</w:t>
      </w:r>
      <w:r>
        <w:rPr>
          <w:rFonts w:ascii="Arial" w:cs="Arial" w:eastAsia="Arial" w:hAnsi="Arial"/>
          <w:sz w:val="16"/>
          <w:szCs w:val="16"/>
          <w:i w:val="1"/>
          <w:iCs w:val="1"/>
          <w:color w:val="auto"/>
        </w:rPr>
        <w:t>JAMA</w:t>
      </w:r>
      <w:r>
        <w:rPr>
          <w:rFonts w:ascii="Arial" w:cs="Arial" w:eastAsia="Arial" w:hAnsi="Arial"/>
          <w:sz w:val="16"/>
          <w:szCs w:val="16"/>
          <w:color w:val="auto"/>
        </w:rPr>
        <w:t>). We currently anticipate completing our AV-101 MDD Phase 2 Adjunctive Treatment Study by the end of 2018 with top line results available in the first quarter of 2019.</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VistaGen Therapeutics, Inc., a California corporation dba 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internally and with third-party collaborators,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xml:space="preserve">), including small molecule NCEs with regenerative potential, for CNS and other diseases and (ii) cellular therapies involving stem cell-derived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our customized cardiac bioassay system, to develop small molecule NCEs for our pipeline. To advance potential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applications of our cardiac stem cell technology, in December 2016, VistaStem exclusively sublicensed to BlueRock Therapeutics LP, a next generation regenerative medicine company established in 2016 by Bayer AG and Versant Ventures,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its exclusive sublicense agreement with BlueRock Therapeutics, VistaStem may pursue additional collaborations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potential RM applications of its stem cell technology platform, including using blood, cartilage, and/or liver cells derived from hPSCs, for (i) cell-based therapy, (ii) cell repair therapy, and/or (iii) tissue engineering.</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noted above, VistaStem is our wholly-owned subsidiary. Our Condensed Consolidated Financial Statements in this Quarterly Report on Form 10-Q (</w:t>
      </w:r>
      <w:r>
        <w:rPr>
          <w:rFonts w:ascii="Arial" w:cs="Arial" w:eastAsia="Arial" w:hAnsi="Arial"/>
          <w:sz w:val="18"/>
          <w:szCs w:val="18"/>
          <w:i w:val="1"/>
          <w:iCs w:val="1"/>
          <w:color w:val="auto"/>
        </w:rPr>
        <w:t>Report</w:t>
      </w:r>
      <w:r>
        <w:rPr>
          <w:rFonts w:ascii="Arial" w:cs="Arial" w:eastAsia="Arial" w:hAnsi="Arial"/>
          <w:sz w:val="18"/>
          <w:szCs w:val="18"/>
          <w:color w:val="auto"/>
        </w:rPr>
        <w:t>) also include the accounts of VistaStem’s two wholly-owned inactive subsidiaries, Artemis Neuroscience, Inc., a Maryland corporation, and VistaStem Canada, Inc., a corporation organized under the laws of Ontario, Canada.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w:t>
      </w:r>
      <w:r>
        <w:rPr>
          <w:rFonts w:ascii="Arial" w:cs="Arial" w:eastAsia="Arial" w:hAnsi="Arial"/>
          <w:sz w:val="16"/>
          <w:szCs w:val="16"/>
          <w:i w:val="1"/>
          <w:iCs w:val="1"/>
          <w:color w:val="auto"/>
        </w:rPr>
        <w:t>U.S. GAAP</w:t>
      </w:r>
      <w:r>
        <w:rPr>
          <w:rFonts w:ascii="Arial" w:cs="Arial" w:eastAsia="Arial" w:hAnsi="Arial"/>
          <w:sz w:val="16"/>
          <w:szCs w:val="16"/>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2017 has been derived from our audited consolidated financial statements at that date but does not include all disclosures required by U.S. GAAP. The operating results for the three months ended June 30, 2107 are not necessarily indicative of the operating results to be expected for our fiscal year ending March 31, 2018, or for any other future interim or other period.</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unaudited Condensed Consolidated Financial Statements and notes to Condensed Consolidated Financial Statements should be read in conjunction with our audited Consolidated Financial Statements for our fiscal year ended March 31, 2017 contained in our Annual Report on Form 10-K, as filed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on June 29, 2017.</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accompanying unaudited Condensed Consolidated Financial Statements have been prepared assuming we will continue as a going concern. As a company having not yet developed commercial products or achieved sustainable revenues, we have experienced recurring losses and negative cash flows from operations resulting in a deficit of $144.3 million accumulated from inception (May 1998) through June 30, 2017. We expect losses and negative cash flows from operations to continue for the foreseeable future as we engage in further development of AV-101, initially as an adjunctive treatment for MDD, and subsequently as a new treatment alternative for other CNS-related conditions, as well as exploring and potentially executing drug rescue and development opportunities using </w:t>
      </w: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and potential RM programs related to VistaStem’s technology platform.</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From our inception through June 30, 2017, we have financed our operations and technology acquisitions primarily through the issuance and sale of our equity and debt securities for cash proceeds of approximately $45.5 million, as well as from an aggregate of approximately $17.6 million of government research grant awards, strategic collaboration payments, intellectual property sublicensing and other revenues. We have also issued equity securities with an approximate value at issuance of $30.8 million in non-cash settlements of certain liabilities, including liabilities for professional services rendered to us or as compensation for such services. Additionally, pursuant to our February 2015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NIH, substantial ongoing Phase 2 clinical development activities relating to AV-101 as a potential new generation antidepressant are being sponsored in full, at no cost to us other than supplying clinical trial material, by the NIMH under the direction of Dr. Carlos Zarate Jr. as Principal Investigator.</w:t>
      </w:r>
    </w:p>
    <w:p>
      <w:pPr>
        <w:spacing w:after="0" w:line="17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At June 30, 2017, we had a cash and cash equivalents balance of $1.6 million. This amount was not sufficient to enable us to fund our planned operations, including expected cash expenditures of approximately $12 million for the twelve months following the issuance of these financial statements, including expenditures required to launch and satisfy a significant portion of the projected expenses associated with our proposed AV-101 MDD Phase 2 Adjunctive Treatment Study.</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Our limited cash position at June 30, 2017 considered with our recurring and anticipated losses and negative cash flows from operations make it probable, in the absence of additional financing, that we will not be able to meet our obligations as they come due within one year from the date of this Report, raising substantial doubt that we can continue as a going concern. However, to alleviate that doubt, we plan, as we have numerous times in the past, to raise additional financing when and as needed, primarily through the sale of our equity securities in one or more private placements to accredited investors or public offerings. Additionally, we have filed a Registration Statement on Form S-3 (Registration No. 333-215671) (the </w:t>
      </w:r>
      <w:r>
        <w:rPr>
          <w:rFonts w:ascii="Arial" w:cs="Arial" w:eastAsia="Arial" w:hAnsi="Arial"/>
          <w:sz w:val="16"/>
          <w:szCs w:val="16"/>
          <w:i w:val="1"/>
          <w:iCs w:val="1"/>
          <w:color w:val="auto"/>
        </w:rPr>
        <w:t>S-3 Registration Statement</w:t>
      </w:r>
      <w:r>
        <w:rPr>
          <w:rFonts w:ascii="Arial" w:cs="Arial" w:eastAsia="Arial" w:hAnsi="Arial"/>
          <w:sz w:val="16"/>
          <w:szCs w:val="16"/>
          <w:color w:val="auto"/>
        </w:rPr>
        <w:t xml:space="preserve">) that has been declared effective by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to cover our potential future sale of our equity securities in one or more public offerings from time to time. As of the date of this Report, we have not yet sold any securities under the S-3 Registration Statement, nor do we have an obligation to do so. Further, at June 30, 2017, we had a limited number of unallocated or unreserved shares of our common stock available for issuance in future offerings or for other purposes. To facilitate potential future issuances and sales of our equity securities for ordinary corporate finance and general corporate purposes, our Board of Directors (</w:t>
      </w:r>
      <w:r>
        <w:rPr>
          <w:rFonts w:ascii="Arial" w:cs="Arial" w:eastAsia="Arial" w:hAnsi="Arial"/>
          <w:sz w:val="16"/>
          <w:szCs w:val="16"/>
          <w:i w:val="1"/>
          <w:iCs w:val="1"/>
          <w:color w:val="auto"/>
        </w:rPr>
        <w:t>Board</w:t>
      </w:r>
      <w:r>
        <w:rPr>
          <w:rFonts w:ascii="Arial" w:cs="Arial" w:eastAsia="Arial" w:hAnsi="Arial"/>
          <w:sz w:val="16"/>
          <w:szCs w:val="16"/>
          <w:color w:val="auto"/>
        </w:rPr>
        <w:t>) has approved an amendment to our Restated and Amended Articles of Incorporation to increase the number of shares of common stock available for issuance thereunder from 30 million shares to 100 million shares, an amount our Board has determined is customary and appropriate for a Nasdaq-listed, clinical-stage biopharmaceutical company. Before taking effect, this amendment must be approved by a majority of our stockholders at our 2017 annual meeting of stockholders in September 2017.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sale of our equity securities, we may also seek to enter research and development collaborations that could generate revenue or provide substantial funding for development of AV-101 and additional product candidates. We may also seek additional government grant awards or agreements similar to our current CRADA with the NIMH, which provides for the NIMH to fully fund the NIMH AV-101 MDD Phase 2 Monotherapy Study. Such strategic collaborations may provide non-dilutive resources to advance our strategic initiatives while reducing a portion of our future cash outlays and working capital requirements. In a manner similar to the BlueRock Agreement, we may also pursue similar arrangements with third-parties covering other of our intellectual property. Although we may seek additional collaborations with the U.S. government or other third-parties that could generate revenue and/or non-dilutive funding for development of AV-101 and other product candidates and technologies, as well as new government grant awards and/or agreements similar to our CRADA with NIMH, no assurance can be provided that any such collaborations, awards or agreements will occur in the future.</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AV-101, initially as an adjunctive treatment for MDD, and for other potential CNS conditions, as well as various potential applications of our stem cell technology platform, the availability of, and our ability to obtain, government grant awards and agreements, and our ability to enter into collaborations on terms acceptable to us. To further advance the clinical development of AV-101 and opportunities related to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public company compliance and other professional services and operating costs.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Notwithstanding the foregoing, there can be no assurance that our stockholders will authorize the issuance of additional shares of our common stock to facilitate further financing opportunities and for other general corporate purposes, or that future financing will be available in sufficient amounts, in a timely manner, or on terms acceptable to us, if at all. If we are unable to obtain substantial additional financing on a timely basis when needed later in 2017 and beyond, our business, financial condition, and results of operations may be harmed, the price of our stock may decline, we may be required to reduce, defer, or discontinue certain of our research and development activities and we may not be able to continue as a going concern. As noted above, these Condensed Consolidated Financial Statements do not include any adjustments that might result from the negative outcome of this uncertainty.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share-based compensation, and assumptions that have been used historically to value warrants and warrant modifications. With the exception of the $1.25 million of sublicense revenue recorded in the quarter ended December 31, 2016 under the BlueRock Agreement, we do not currently have, nor have we had during the periods covered by this report, any arrangements requiring the recognition of revenue.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expenses are composed of both internal and external costs. Internal costs include salaries and employment-related expenses of our scientific personnel and direct project costs. External research and development expenses consist primarily of costs associated with nonclinical and clinical development of AV-101, now in Phase 2 clinical development, initially for MDD, stem cell technology-related research and development costs, and costs related to the filing, maintenance and prosecution of patents and patent applications, technology licenses and protection of other intellectual property. All such costs are charged to expense as incurred.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compensation cost for all stock-based awards to employees or consultants based on the grant date fair value of the award. Non-cash stock-based compensation expense is recognized over the period during which the employee or consultant is required to perform services in exchange for the award, which generally represents the scheduled vesting period. We have no awards with market or performance conditions. For equity awards to non-employees, we re-measure the fair value of the awards as they vest and the resulting change in value is recognized as an expense during the period over which the services are performed.</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 below summarizes stock-based compensation expense included in the accompanying Condensed Consolidated Statements of Operations and Comprehensive Loss for the three months ended June 30, 2017 and 2016.</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8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654"/>
        </w:trPr>
        <w:tc>
          <w:tcPr>
            <w:tcW w:w="1240" w:type="dxa"/>
            <w:vAlign w:val="bottom"/>
            <w:tcBorders>
              <w:top w:val="single" w:sz="8" w:color="0000EE"/>
            </w:tcBorders>
          </w:tcPr>
          <w:p>
            <w:pPr>
              <w:spacing w:after="0"/>
              <w:rPr>
                <w:sz w:val="24"/>
                <w:szCs w:val="24"/>
                <w:color w:val="auto"/>
              </w:rPr>
            </w:pPr>
          </w:p>
        </w:tc>
        <w:tc>
          <w:tcPr>
            <w:tcW w:w="7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r>
      <w:tr>
        <w:trPr>
          <w:trHeight w:val="237"/>
        </w:trPr>
        <w:tc>
          <w:tcPr>
            <w:tcW w:w="124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124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r>
      <w:tr>
        <w:trPr>
          <w:trHeight w:val="216"/>
        </w:trPr>
        <w:tc>
          <w:tcPr>
            <w:tcW w:w="124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Research and development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8820" w:type="dxa"/>
            <w:vAlign w:val="bottom"/>
            <w:gridSpan w:val="2"/>
          </w:tcPr>
          <w:p>
            <w:pPr>
              <w:ind w:left="380"/>
              <w:spacing w:after="0"/>
              <w:rPr>
                <w:sz w:val="20"/>
                <w:szCs w:val="20"/>
                <w:color w:val="auto"/>
              </w:rPr>
            </w:pPr>
            <w:r>
              <w:rPr>
                <w:rFonts w:ascii="Arial" w:cs="Arial" w:eastAsia="Arial" w:hAnsi="Arial"/>
                <w:sz w:val="18"/>
                <w:szCs w:val="18"/>
                <w:color w:val="auto"/>
              </w:rPr>
              <w:t>Stock option grants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191,400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44,000</w:t>
            </w:r>
          </w:p>
        </w:tc>
        <w:tc>
          <w:tcPr>
            <w:tcW w:w="140" w:type="dxa"/>
            <w:vAlign w:val="bottom"/>
          </w:tcPr>
          <w:p>
            <w:pPr>
              <w:spacing w:after="0"/>
              <w:rPr>
                <w:sz w:val="19"/>
                <w:szCs w:val="19"/>
                <w:color w:val="auto"/>
              </w:rPr>
            </w:pPr>
          </w:p>
        </w:tc>
      </w:tr>
      <w:tr>
        <w:trPr>
          <w:trHeight w:val="223"/>
        </w:trPr>
        <w:tc>
          <w:tcPr>
            <w:tcW w:w="1240" w:type="dxa"/>
            <w:vAlign w:val="bottom"/>
            <w:tcBorders>
              <w:bottom w:val="single" w:sz="8" w:color="CCEEFF"/>
            </w:tcBorders>
            <w:shd w:val="clear" w:color="auto" w:fill="CCEEFF"/>
          </w:tcPr>
          <w:p>
            <w:pPr>
              <w:spacing w:after="0"/>
              <w:rPr>
                <w:sz w:val="19"/>
                <w:szCs w:val="19"/>
                <w:color w:val="auto"/>
              </w:rPr>
            </w:pPr>
          </w:p>
        </w:tc>
        <w:tc>
          <w:tcPr>
            <w:tcW w:w="75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gridSpan w:val="2"/>
          </w:tcPr>
          <w:p>
            <w:pPr>
              <w:ind w:left="6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Stock option grants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124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175,600</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63,900</w:t>
            </w:r>
          </w:p>
        </w:tc>
        <w:tc>
          <w:tcPr>
            <w:tcW w:w="140" w:type="dxa"/>
            <w:vAlign w:val="bottom"/>
          </w:tcPr>
          <w:p>
            <w:pPr>
              <w:spacing w:after="0"/>
              <w:rPr>
                <w:sz w:val="19"/>
                <w:szCs w:val="19"/>
                <w:color w:val="auto"/>
              </w:rPr>
            </w:pPr>
          </w:p>
        </w:tc>
      </w:tr>
      <w:tr>
        <w:trPr>
          <w:trHeight w:val="237"/>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107,900</w:t>
            </w:r>
          </w:p>
        </w:tc>
        <w:tc>
          <w:tcPr>
            <w:tcW w:w="140" w:type="dxa"/>
            <w:vAlign w:val="bottom"/>
            <w:shd w:val="clear" w:color="auto" w:fill="CCEEFF"/>
          </w:tcPr>
          <w:p>
            <w:pPr>
              <w:spacing w:after="0"/>
              <w:rPr>
                <w:sz w:val="20"/>
                <w:szCs w:val="20"/>
                <w:color w:val="auto"/>
              </w:rPr>
            </w:pP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7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2017, our Board approved the grant of options to purchase an aggregate of 880,000 shares of our common stock at an exercise price of $1.96 per share to the independent members of our Board, our officers and our employees. In June 2016, our Board approved the grant of options to purchase an aggregate of 655,000 shares of our common stock at an exercise price of $3.49 per share to the independent members of our Board and to our officers, including our then-newly-hired Chief Medical Officer. We valued the options granted in April 2017 and June 2016 using the Black-Scholes Option Pricing Model and the following weighted average assumptions: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April 2017</w:t>
            </w:r>
          </w:p>
        </w:tc>
        <w:tc>
          <w:tcPr>
            <w:tcW w:w="1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June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grant date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Contractual or estimated term in years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per Common Share</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Basic net income (loss) per share of common stock excludes the effect of dilution and is computed by dividing net income (loss) by the weighted-average number of shares of common stock outstanding for the period. Diluted net income (loss) per share of common stock reflects the potential dilution that could occur if securities or other contracts to issue shares of common stock were exercised or converted into shares of common stock.</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our net loss for the periods presented, potentially dilutive securities were excluded from the computation of net loss per share, as their effect would be antidilutive. For the three-month periods ended June 30, 2017 and 2016, the accrual for dividends on our Series B 10% Convertible Preferred Stock (</w:t>
      </w:r>
      <w:r>
        <w:rPr>
          <w:rFonts w:ascii="Arial" w:cs="Arial" w:eastAsia="Arial" w:hAnsi="Arial"/>
          <w:sz w:val="18"/>
          <w:szCs w:val="18"/>
          <w:i w:val="1"/>
          <w:iCs w:val="1"/>
          <w:color w:val="auto"/>
        </w:rPr>
        <w:t>Series B</w:t>
      </w:r>
      <w:r>
        <w:rPr>
          <w:rFonts w:ascii="Arial" w:cs="Arial" w:eastAsia="Arial" w:hAnsi="Arial"/>
          <w:sz w:val="18"/>
          <w:szCs w:val="18"/>
          <w:color w:val="auto"/>
        </w:rPr>
        <w:t xml:space="preserve"> </w:t>
      </w:r>
      <w:r>
        <w:rPr>
          <w:rFonts w:ascii="Arial" w:cs="Arial" w:eastAsia="Arial" w:hAnsi="Arial"/>
          <w:sz w:val="18"/>
          <w:szCs w:val="18"/>
          <w:i w:val="1"/>
          <w:iCs w:val="1"/>
          <w:color w:val="auto"/>
        </w:rPr>
        <w:t>Preferred</w:t>
      </w:r>
      <w:r>
        <w:rPr>
          <w:rFonts w:ascii="Arial" w:cs="Arial" w:eastAsia="Arial" w:hAnsi="Arial"/>
          <w:sz w:val="18"/>
          <w:szCs w:val="18"/>
          <w:color w:val="auto"/>
        </w:rPr>
        <w:t>) and the deemed dividend attributable to our sale and issuance of Series B Preferred Units, each consisting of one share of Series B Preferred and a</w:t>
      </w:r>
      <w:r>
        <w:rPr>
          <w:rFonts w:ascii="Arial" w:cs="Arial" w:eastAsia="Arial" w:hAnsi="Arial"/>
          <w:sz w:val="18"/>
          <w:szCs w:val="18"/>
          <w:i w:val="1"/>
          <w:iCs w:val="1"/>
          <w:color w:val="auto"/>
        </w:rPr>
        <w:t xml:space="preserve"> </w:t>
      </w:r>
      <w:r>
        <w:rPr>
          <w:rFonts w:ascii="Arial" w:cs="Arial" w:eastAsia="Arial" w:hAnsi="Arial"/>
          <w:sz w:val="18"/>
          <w:szCs w:val="18"/>
          <w:color w:val="auto"/>
        </w:rPr>
        <w:t>five-year warrant to purchase one share of our common stock for $7.00, represent deductions from our net loss to arrive at net loss attributable to common stockholders for those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Potentially dilutive securities excluded in determining diluted net loss attributable to common stockholders per common share are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8960" w:type="dxa"/>
            <w:vAlign w:val="bottom"/>
            <w:gridSpan w:val="4"/>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6"/>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7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Borders>
              <w:bottom w:val="single" w:sz="8" w:color="auto"/>
            </w:tcBorders>
            <w:gridSpan w:val="3"/>
          </w:tcPr>
          <w:p>
            <w:pPr>
              <w:ind w:left="500"/>
              <w:spacing w:after="0"/>
              <w:rPr>
                <w:sz w:val="20"/>
                <w:szCs w:val="20"/>
                <w:color w:val="auto"/>
              </w:rPr>
            </w:pPr>
            <w:r>
              <w:rPr>
                <w:rFonts w:ascii="Arial" w:cs="Arial" w:eastAsia="Arial" w:hAnsi="Arial"/>
                <w:sz w:val="18"/>
                <w:szCs w:val="18"/>
                <w:b w:val="1"/>
                <w:bCs w:val="1"/>
                <w:color w:val="auto"/>
                <w:w w:val="86"/>
              </w:rPr>
              <w:t>As of June 30,</w:t>
            </w:r>
          </w:p>
        </w:tc>
        <w:tc>
          <w:tcPr>
            <w:tcW w:w="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3"/>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4"/>
                <w:szCs w:val="24"/>
                <w:color w:val="auto"/>
                <w:vertAlign w:val="superscript"/>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3"/>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B Preferred stock issued and outstanding </w:t>
            </w:r>
            <w:r>
              <w:rPr>
                <w:rFonts w:ascii="Arial" w:cs="Arial" w:eastAsia="Arial" w:hAnsi="Arial"/>
                <w:sz w:val="24"/>
                <w:szCs w:val="24"/>
                <w:color w:val="auto"/>
                <w:vertAlign w:val="superscript"/>
              </w:rPr>
              <w:t>(2)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1,160,240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1,247,740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3"/>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C Preferred stock issued and outstanding </w:t>
            </w:r>
            <w:r>
              <w:rPr>
                <w:rFonts w:ascii="Arial" w:cs="Arial" w:eastAsia="Arial" w:hAnsi="Arial"/>
                <w:sz w:val="24"/>
                <w:szCs w:val="24"/>
                <w:color w:val="auto"/>
                <w:vertAlign w:val="superscript"/>
              </w:rPr>
              <w:t>(3)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2,318,012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options under the Amended and Restated 2016 (formerly 2008) and 1999 Stock Incentive Plans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2,522,593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986,987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4,796,506</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4,606,480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5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11,547,351</w:t>
            </w:r>
          </w:p>
        </w:tc>
        <w:tc>
          <w:tcPr>
            <w:tcW w:w="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9,909,219</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____________</w:t>
            </w:r>
          </w:p>
        </w:tc>
        <w:tc>
          <w:tcPr>
            <w:tcW w:w="75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ind w:left="200" w:hanging="192"/>
        <w:spacing w:after="0" w:line="195" w:lineRule="auto"/>
        <w:tabs>
          <w:tab w:leader="none" w:pos="200" w:val="left"/>
        </w:tabs>
        <w:numPr>
          <w:ilvl w:val="0"/>
          <w:numId w:val="3"/>
        </w:numPr>
        <w:rPr>
          <w:rFonts w:ascii="Arial" w:cs="Arial" w:eastAsia="Arial" w:hAnsi="Arial"/>
          <w:sz w:val="23"/>
          <w:szCs w:val="23"/>
          <w:color w:val="auto"/>
          <w:vertAlign w:val="superscript"/>
        </w:rPr>
      </w:pPr>
      <w:r>
        <w:rPr>
          <w:rFonts w:ascii="Arial" w:cs="Arial" w:eastAsia="Arial" w:hAnsi="Arial"/>
          <w:sz w:val="16"/>
          <w:szCs w:val="16"/>
          <w:color w:val="auto"/>
        </w:rPr>
        <w:t>Assumes exchange under the terms of the October 11, 2012 Note Exchange and Purchase Agreement, as amended</w:t>
      </w:r>
    </w:p>
    <w:p>
      <w:pPr>
        <w:spacing w:after="0" w:line="8" w:lineRule="exact"/>
        <w:rPr>
          <w:rFonts w:ascii="Arial" w:cs="Arial" w:eastAsia="Arial" w:hAnsi="Arial"/>
          <w:sz w:val="23"/>
          <w:szCs w:val="23"/>
          <w:color w:val="auto"/>
          <w:vertAlign w:val="superscript"/>
        </w:rPr>
      </w:pPr>
    </w:p>
    <w:p>
      <w:pPr>
        <w:ind w:right="20" w:firstLine="8"/>
        <w:spacing w:after="0" w:line="239" w:lineRule="auto"/>
        <w:tabs>
          <w:tab w:leader="none" w:pos="194"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B 10% Convertible Preferred Stock, effective May 5, 2015</w:t>
      </w:r>
    </w:p>
    <w:p>
      <w:pPr>
        <w:ind w:right="20" w:firstLine="8"/>
        <w:spacing w:after="0" w:line="220" w:lineRule="auto"/>
        <w:tabs>
          <w:tab w:leader="none" w:pos="21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Assumes exchange under the terms of the Certificate of Designation of the Relative Rights and Preferences of the Series C Convertible Preferred Stock, effective January 25,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do not use derivative instruments for hedging of market risks or for trading or speculative purposes. We carried no assets or liabilities at fair value at June 30, 2017 or March 31,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described below, there have been no recent accounting pronouncements or changes in accounting pronouncements during the three months ended June 30, 2017, as compared to the recent accounting pronouncements described in our Form 10-K for the fiscal year ended March 31, 2017, that are of significance or potential significance to us.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February 2016, the Financial Accounting Standards Board (</w:t>
      </w:r>
      <w:r>
        <w:rPr>
          <w:rFonts w:ascii="Arial" w:cs="Arial" w:eastAsia="Arial" w:hAnsi="Arial"/>
          <w:sz w:val="18"/>
          <w:szCs w:val="18"/>
          <w:i w:val="1"/>
          <w:iCs w:val="1"/>
          <w:color w:val="auto"/>
        </w:rPr>
        <w:t>FASB</w:t>
      </w:r>
      <w:r>
        <w:rPr>
          <w:rFonts w:ascii="Arial" w:cs="Arial" w:eastAsia="Arial" w:hAnsi="Arial"/>
          <w:sz w:val="18"/>
          <w:szCs w:val="18"/>
          <w:color w:val="auto"/>
        </w:rPr>
        <w:t>) issued Accounting Standards Update (</w:t>
      </w:r>
      <w:r>
        <w:rPr>
          <w:rFonts w:ascii="Arial" w:cs="Arial" w:eastAsia="Arial" w:hAnsi="Arial"/>
          <w:sz w:val="18"/>
          <w:szCs w:val="18"/>
          <w:i w:val="1"/>
          <w:iCs w:val="1"/>
          <w:color w:val="auto"/>
        </w:rPr>
        <w:t>ASU</w:t>
      </w:r>
      <w:r>
        <w:rPr>
          <w:rFonts w:ascii="Arial" w:cs="Arial" w:eastAsia="Arial" w:hAnsi="Arial"/>
          <w:sz w:val="18"/>
          <w:szCs w:val="18"/>
          <w:color w:val="auto"/>
        </w:rPr>
        <w:t>) No. 2016-2, “Leases.” This ASU requires substantially all leases, including operating leases, to be recognized by lessees on their balance sheet as a right-of-use asset and corresponding lease liability. This ASU is effective for our interim and annual reporting periods beginning April 1, 2019 and early adoption is permitted. We are currently evaluating the impact that the adoption of this ASU will have on our financial statements.</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March 2016, the FASB issued ASU No. 2016-09, “Improvements to Employee Share-Based Payment Accounting,” which simplified several aspects of the accounting for share-based payments, including immediate recognition of all excess tax benefits and deficiencies in the income statement, changing the threshold to qualify for equity classification up to the employees’ maximum statutory tax rates, allowing an entity-wide accounting policy election to either estimate the number of awards that are expected to vest or account for forfeitures as they occur, and clarifying the classification on the statement of cash flows for the excess tax benefit and employee taxes paid when an employer withholds shares for tax-withholding purposes. This ASU became effective for our interim and annual reporting periods beginning April 1, 2017, and the adoption of this standard did not have a material impact on our financial statements. As part of the adoption of this standard, we elected to account for the impact of option forfeitures as they occur.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20" w:type="dxa"/>
            <w:vAlign w:val="bottom"/>
          </w:tcPr>
          <w:p>
            <w:pPr>
              <w:spacing w:after="0"/>
              <w:rPr>
                <w:sz w:val="20"/>
                <w:szCs w:val="20"/>
                <w:color w:val="auto"/>
              </w:rPr>
            </w:pPr>
            <w:r>
              <w:rPr>
                <w:rFonts w:ascii="Arial" w:cs="Arial" w:eastAsia="Arial" w:hAnsi="Arial"/>
                <w:sz w:val="18"/>
                <w:szCs w:val="18"/>
                <w:b w:val="1"/>
                <w:bCs w:val="1"/>
                <w:color w:val="auto"/>
              </w:rPr>
              <w:t>Note 4. Prepaid Expenses and Other Current Assets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w w:val="98"/>
              </w:rPr>
              <w:t>Prepaid expenses and other current assets are composed of the following at June 30, 2017 and March 31, 2017:</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20"/>
        </w:trPr>
        <w:tc>
          <w:tcPr>
            <w:tcW w:w="8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w w:val="94"/>
              </w:rPr>
              <w:t>June 30,</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r>
      <w:tr>
        <w:trPr>
          <w:trHeight w:val="237"/>
        </w:trPr>
        <w:tc>
          <w:tcPr>
            <w:tcW w:w="8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r>
      <w:tr>
        <w:trPr>
          <w:trHeight w:val="216"/>
        </w:trPr>
        <w:tc>
          <w:tcPr>
            <w:tcW w:w="8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Insurance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0"/>
              <w:spacing w:after="0"/>
              <w:rPr>
                <w:sz w:val="20"/>
                <w:szCs w:val="20"/>
                <w:color w:val="auto"/>
              </w:rPr>
            </w:pPr>
            <w:r>
              <w:rPr>
                <w:rFonts w:ascii="Arial" w:cs="Arial" w:eastAsia="Arial" w:hAnsi="Arial"/>
                <w:sz w:val="18"/>
                <w:szCs w:val="18"/>
                <w:color w:val="auto"/>
              </w:rPr>
              <w:t>AV-101 materials and services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352,800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Public offering expenses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40"/>
              <w:spacing w:after="0"/>
              <w:rPr>
                <w:sz w:val="20"/>
                <w:szCs w:val="20"/>
                <w:color w:val="auto"/>
              </w:rPr>
            </w:pPr>
            <w:r>
              <w:rPr>
                <w:rFonts w:ascii="Arial" w:cs="Arial" w:eastAsia="Arial" w:hAnsi="Arial"/>
                <w:sz w:val="18"/>
                <w:szCs w:val="18"/>
                <w:color w:val="auto"/>
              </w:rPr>
              <w:t>All other</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6,400</w:t>
            </w:r>
          </w:p>
        </w:tc>
        <w:tc>
          <w:tcPr>
            <w:tcW w:w="140" w:type="dxa"/>
            <w:vAlign w:val="bottom"/>
          </w:tcPr>
          <w:p>
            <w:pPr>
              <w:spacing w:after="0"/>
              <w:rPr>
                <w:sz w:val="19"/>
                <w:szCs w:val="19"/>
                <w:color w:val="auto"/>
              </w:rPr>
            </w:pPr>
          </w:p>
        </w:tc>
      </w:tr>
      <w:tr>
        <w:trPr>
          <w:trHeight w:val="237"/>
        </w:trPr>
        <w:tc>
          <w:tcPr>
            <w:tcW w:w="88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456,600</w:t>
            </w:r>
          </w:p>
        </w:tc>
        <w:tc>
          <w:tcPr>
            <w:tcW w:w="140" w:type="dxa"/>
            <w:vAlign w:val="bottom"/>
            <w:shd w:val="clear" w:color="auto" w:fill="CCEEFF"/>
          </w:tcPr>
          <w:p>
            <w:pPr>
              <w:spacing w:after="0"/>
              <w:rPr>
                <w:sz w:val="20"/>
                <w:szCs w:val="20"/>
                <w:color w:val="auto"/>
              </w:rPr>
            </w:pP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Accrued Expenses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are composed of the following at June 30, 2017 and March 31, 2017:</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3"/>
          </w:tcPr>
          <w:p>
            <w:pPr>
              <w:jc w:val="right"/>
              <w:ind w:right="132"/>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8"/>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4"/>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services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139,200</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Accrued AV-101 development and related expenses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59,000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402,400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204,900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443,000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Notes Payable</w:t>
            </w: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4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60" w:type="dxa"/>
            <w:vAlign w:val="bottom"/>
            <w:gridSpan w:val="9"/>
          </w:tcPr>
          <w:p>
            <w:pPr>
              <w:spacing w:after="0"/>
              <w:rPr>
                <w:sz w:val="20"/>
                <w:szCs w:val="20"/>
                <w:color w:val="auto"/>
              </w:rPr>
            </w:pPr>
            <w:r>
              <w:rPr>
                <w:rFonts w:ascii="Arial" w:cs="Arial" w:eastAsia="Arial" w:hAnsi="Arial"/>
                <w:sz w:val="18"/>
                <w:szCs w:val="18"/>
                <w:color w:val="auto"/>
                <w:w w:val="87"/>
              </w:rPr>
              <w:t>The following table summarizes our unsecured promissory notes at June 30, 2017 and March 31, 2017.</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June 30, 2017</w:t>
            </w: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0"/>
          </w:tcPr>
          <w:p>
            <w:pPr>
              <w:jc w:val="right"/>
              <w:ind w:right="1020"/>
              <w:spacing w:after="0"/>
              <w:rPr>
                <w:sz w:val="20"/>
                <w:szCs w:val="20"/>
                <w:color w:val="auto"/>
              </w:rPr>
            </w:pPr>
            <w:r>
              <w:rPr>
                <w:rFonts w:ascii="Arial" w:cs="Arial" w:eastAsia="Arial" w:hAnsi="Arial"/>
                <w:sz w:val="18"/>
                <w:szCs w:val="18"/>
                <w:b w:val="1"/>
                <w:bCs w:val="1"/>
                <w:color w:val="auto"/>
              </w:rPr>
              <w:t>March 31, 2017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Principal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620"/>
              <w:spacing w:after="0"/>
              <w:rPr>
                <w:sz w:val="20"/>
                <w:szCs w:val="20"/>
                <w:color w:val="auto"/>
              </w:rPr>
            </w:pPr>
            <w:r>
              <w:rPr>
                <w:rFonts w:ascii="Arial" w:cs="Arial" w:eastAsia="Arial" w:hAnsi="Arial"/>
                <w:sz w:val="18"/>
                <w:szCs w:val="18"/>
                <w:color w:val="auto"/>
                <w:w w:val="87"/>
              </w:rPr>
              <w:t>Accrued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8"/>
                <w:szCs w:val="18"/>
                <w:color w:val="auto"/>
                <w:w w:val="92"/>
              </w:rPr>
              <w:t>Principal</w:t>
            </w:r>
          </w:p>
        </w:tc>
        <w:tc>
          <w:tcPr>
            <w:tcW w:w="22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Accrued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Balance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jc w:val="center"/>
              <w:ind w:right="620"/>
              <w:spacing w:after="0"/>
              <w:rPr>
                <w:sz w:val="20"/>
                <w:szCs w:val="20"/>
                <w:color w:val="auto"/>
              </w:rPr>
            </w:pPr>
            <w:r>
              <w:rPr>
                <w:rFonts w:ascii="Arial" w:cs="Arial" w:eastAsia="Arial" w:hAnsi="Arial"/>
                <w:sz w:val="18"/>
                <w:szCs w:val="18"/>
                <w:color w:val="auto"/>
                <w:w w:val="89"/>
              </w:rPr>
              <w:t>Interest</w:t>
            </w:r>
          </w:p>
        </w:tc>
        <w:tc>
          <w:tcPr>
            <w:tcW w:w="7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w w:val="92"/>
              </w:rPr>
              <w:t>Balance</w:t>
            </w:r>
          </w:p>
        </w:tc>
        <w:tc>
          <w:tcPr>
            <w:tcW w:w="22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7.95% and 8.25% Notes payable to insurance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premium financing company (current)</w:t>
            </w:r>
          </w:p>
        </w:tc>
        <w:tc>
          <w:tcPr>
            <w:tcW w:w="10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rPr>
              <w:t>$   165,500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165,500</w:t>
            </w:r>
          </w:p>
        </w:tc>
        <w:tc>
          <w:tcPr>
            <w:tcW w:w="1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54,800</w:t>
            </w:r>
          </w:p>
        </w:tc>
        <w:tc>
          <w:tcPr>
            <w:tcW w:w="6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  54,800</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May 2017, we executed a 7.95% promissory note in the principal amount of $142,400 in connection with insurance policy premiums. The note is payable in monthly installments of $14,800, including principal and interest, through March 2018, and had a remaining outstanding balance of $128,600 at June 30, 2017. In February 2017, we executed a promissory note in the principal amount of $60,700 in connection with other insurance policy premiums. That note is payable in monthly installments of $6,300, including principal and interest, and had an outstanding balance of $36,900 at June 30, 2017.</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Capital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Private Placement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quarter ended June 30, 2017, in self-placed private transactions, we accepted subscription agreements from individual accredited investors, pursuant to which we sold to such investors units, at a weighted average purchase price of $2.00 per unit, consisting of an aggregate of 437,751 unregistered shares of our common stock and warrants, exercisable through April 30, 2021, to purchase an aggregate of 218,875 unregistered shares of our common stock at a weighted average exercise price of $3.99 per share. The purchasers of the units have no registration rights with respect to the shares of common stock, warrants or the shares of common stock issuable upon exercise of the warrants comprising the units sold. The warrants are not exercisable until six months and one day following the date of issuance. We received aggregate cash proceeds of $873,300 in connection with this self-placed private placement transaction, of which the entire amount was credited to stockholders’ equity.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to Professional Services Providers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quarter ended June 30, 2017, we issued 25,000 shares of our unregistered common stock having a fair value on the date of issuance of $49,800 as partial compensation to an investor relations service provider.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Outstanding</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Following the warrant issuances in the self-placed private placement described above, at June 30, 2017, we had outstanding warrants to purchase shares of our common stock at a weighted average exercise price of $6.19 per share as follows: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Warrants</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620" w:type="dxa"/>
            <w:vAlign w:val="bottom"/>
          </w:tcPr>
          <w:p>
            <w:pPr>
              <w:spacing w:after="0"/>
              <w:rPr>
                <w:sz w:val="18"/>
                <w:szCs w:val="18"/>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Outstanding</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ind w:right="92"/>
              <w:spacing w:after="0" w:line="176" w:lineRule="exact"/>
              <w:rPr>
                <w:sz w:val="20"/>
                <w:szCs w:val="20"/>
                <w:color w:val="auto"/>
              </w:rPr>
            </w:pPr>
            <w:r>
              <w:rPr>
                <w:rFonts w:ascii="Arial" w:cs="Arial" w:eastAsia="Arial" w:hAnsi="Arial"/>
                <w:sz w:val="18"/>
                <w:szCs w:val="18"/>
                <w:b w:val="1"/>
                <w:bCs w:val="1"/>
                <w:color w:val="auto"/>
                <w:w w:val="87"/>
              </w:rPr>
              <w:t>Exercise Price</w:t>
            </w:r>
          </w:p>
        </w:tc>
        <w:tc>
          <w:tcPr>
            <w:tcW w:w="620" w:type="dxa"/>
            <w:vAlign w:val="bottom"/>
          </w:tcPr>
          <w:p>
            <w:pPr>
              <w:spacing w:after="0"/>
              <w:rPr>
                <w:sz w:val="15"/>
                <w:szCs w:val="15"/>
                <w:color w:val="auto"/>
              </w:rPr>
            </w:pPr>
          </w:p>
        </w:tc>
        <w:tc>
          <w:tcPr>
            <w:tcW w:w="354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600" w:type="dxa"/>
            <w:vAlign w:val="bottom"/>
            <w:gridSpan w:val="2"/>
          </w:tcPr>
          <w:p>
            <w:pPr>
              <w:jc w:val="center"/>
              <w:ind w:right="180"/>
              <w:spacing w:after="0" w:line="176" w:lineRule="exact"/>
              <w:rPr>
                <w:sz w:val="20"/>
                <w:szCs w:val="20"/>
                <w:color w:val="auto"/>
              </w:rPr>
            </w:pPr>
            <w:r>
              <w:rPr>
                <w:rFonts w:ascii="Arial" w:cs="Arial" w:eastAsia="Arial" w:hAnsi="Arial"/>
                <w:sz w:val="18"/>
                <w:szCs w:val="18"/>
                <w:b w:val="1"/>
                <w:bCs w:val="1"/>
                <w:color w:val="auto"/>
                <w:w w:val="88"/>
              </w:rPr>
              <w:t>at June 30,</w:t>
            </w:r>
          </w:p>
        </w:tc>
        <w:tc>
          <w:tcPr>
            <w:tcW w:w="0" w:type="dxa"/>
            <w:vAlign w:val="bottom"/>
          </w:tcPr>
          <w:p>
            <w:pPr>
              <w:spacing w:after="0"/>
              <w:rPr>
                <w:sz w:val="1"/>
                <w:szCs w:val="1"/>
                <w:color w:val="auto"/>
              </w:rPr>
            </w:pPr>
          </w:p>
        </w:tc>
      </w:tr>
      <w:tr>
        <w:trPr>
          <w:trHeight w:val="277"/>
        </w:trPr>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252"/>
              <w:spacing w:after="0"/>
              <w:rPr>
                <w:sz w:val="20"/>
                <w:szCs w:val="20"/>
                <w:color w:val="auto"/>
              </w:rPr>
            </w:pPr>
            <w:r>
              <w:rPr>
                <w:rFonts w:ascii="Arial" w:cs="Arial" w:eastAsia="Arial" w:hAnsi="Arial"/>
                <w:sz w:val="18"/>
                <w:szCs w:val="18"/>
                <w:b w:val="1"/>
                <w:bCs w:val="1"/>
                <w:color w:val="auto"/>
              </w:rPr>
              <w:t>per Share</w:t>
            </w:r>
          </w:p>
        </w:tc>
        <w:tc>
          <w:tcPr>
            <w:tcW w:w="620" w:type="dxa"/>
            <w:vAlign w:val="bottom"/>
          </w:tcPr>
          <w:p>
            <w:pPr>
              <w:spacing w:after="0"/>
              <w:rPr>
                <w:sz w:val="24"/>
                <w:szCs w:val="2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Date</w:t>
            </w:r>
          </w:p>
        </w:tc>
        <w:tc>
          <w:tcPr>
            <w:tcW w:w="2040" w:type="dxa"/>
            <w:vAlign w:val="bottom"/>
            <w:gridSpan w:val="2"/>
          </w:tcPr>
          <w:p>
            <w:pPr>
              <w:jc w:val="center"/>
              <w:ind w:left="532"/>
              <w:spacing w:after="0"/>
              <w:rPr>
                <w:sz w:val="20"/>
                <w:szCs w:val="20"/>
                <w:color w:val="auto"/>
              </w:rPr>
            </w:pPr>
            <w:r>
              <w:rPr>
                <w:rFonts w:ascii="Arial" w:cs="Arial" w:eastAsia="Arial" w:hAnsi="Arial"/>
                <w:sz w:val="18"/>
                <w:szCs w:val="18"/>
                <w:b w:val="1"/>
                <w:bCs w:val="1"/>
                <w:color w:val="auto"/>
                <w:w w:val="84"/>
              </w:rPr>
              <w:t>2017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416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w w:val="88"/>
              </w:rPr>
              <w:t>12/31/2021</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3.96</w:t>
            </w:r>
          </w:p>
        </w:tc>
        <w:tc>
          <w:tcPr>
            <w:tcW w:w="4160" w:type="dxa"/>
            <w:vAlign w:val="bottom"/>
            <w:gridSpan w:val="2"/>
          </w:tcPr>
          <w:p>
            <w:pPr>
              <w:jc w:val="center"/>
              <w:ind w:left="532"/>
              <w:spacing w:after="0"/>
              <w:rPr>
                <w:sz w:val="20"/>
                <w:szCs w:val="20"/>
                <w:color w:val="auto"/>
              </w:rPr>
            </w:pPr>
            <w:r>
              <w:rPr>
                <w:rFonts w:ascii="Arial" w:cs="Arial" w:eastAsia="Arial" w:hAnsi="Arial"/>
                <w:sz w:val="18"/>
                <w:szCs w:val="18"/>
                <w:color w:val="auto"/>
                <w:w w:val="87"/>
              </w:rPr>
              <w:t>4/30/2021</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43,750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416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87"/>
              </w:rPr>
              <w:t>4/30/2021</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25,125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4.00</w:t>
            </w:r>
          </w:p>
        </w:tc>
        <w:tc>
          <w:tcPr>
            <w:tcW w:w="4160" w:type="dxa"/>
            <w:vAlign w:val="bottom"/>
            <w:gridSpan w:val="2"/>
          </w:tcPr>
          <w:p>
            <w:pPr>
              <w:jc w:val="center"/>
              <w:ind w:left="532"/>
              <w:spacing w:after="0"/>
              <w:rPr>
                <w:sz w:val="20"/>
                <w:szCs w:val="20"/>
                <w:color w:val="auto"/>
              </w:rPr>
            </w:pPr>
            <w:r>
              <w:rPr>
                <w:rFonts w:ascii="Arial" w:cs="Arial" w:eastAsia="Arial" w:hAnsi="Arial"/>
                <w:sz w:val="18"/>
                <w:szCs w:val="18"/>
                <w:color w:val="auto"/>
                <w:w w:val="87"/>
              </w:rPr>
              <w:t>4/30/2021</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178,625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416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87"/>
              </w:rPr>
              <w:t>9/26/2019</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5.30</w:t>
            </w:r>
          </w:p>
        </w:tc>
        <w:tc>
          <w:tcPr>
            <w:tcW w:w="4160" w:type="dxa"/>
            <w:vAlign w:val="bottom"/>
            <w:gridSpan w:val="2"/>
          </w:tcPr>
          <w:p>
            <w:pPr>
              <w:jc w:val="center"/>
              <w:ind w:left="532"/>
              <w:spacing w:after="0"/>
              <w:rPr>
                <w:sz w:val="20"/>
                <w:szCs w:val="20"/>
                <w:color w:val="auto"/>
              </w:rPr>
            </w:pPr>
            <w:r>
              <w:rPr>
                <w:rFonts w:ascii="Arial" w:cs="Arial" w:eastAsia="Arial" w:hAnsi="Arial"/>
                <w:sz w:val="18"/>
                <w:szCs w:val="18"/>
                <w:color w:val="auto"/>
                <w:w w:val="87"/>
              </w:rPr>
              <w:t>5/16/2021</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2,705,883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620" w:type="dxa"/>
            <w:vAlign w:val="bottom"/>
            <w:shd w:val="clear" w:color="auto" w:fill="CCEEFF"/>
          </w:tcPr>
          <w:p>
            <w:pPr>
              <w:spacing w:after="0"/>
              <w:rPr>
                <w:sz w:val="18"/>
                <w:szCs w:val="18"/>
                <w:color w:val="auto"/>
              </w:rPr>
            </w:pPr>
          </w:p>
        </w:tc>
        <w:tc>
          <w:tcPr>
            <w:tcW w:w="3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9/26/2019 to 11/30/2019</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97,750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7.00</w:t>
            </w:r>
          </w:p>
        </w:tc>
        <w:tc>
          <w:tcPr>
            <w:tcW w:w="62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88"/>
              </w:rPr>
              <w:t>12/11/2018 to 3/3/2023</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1,346,931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16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87"/>
              </w:rPr>
              <w:t>3/25/2021</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88"/>
              </w:rPr>
              <w:t>11/15/2017 to 1/11/2020</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24,394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160" w:type="dxa"/>
            <w:vAlign w:val="bottom"/>
            <w:gridSpan w:val="2"/>
            <w:shd w:val="clear" w:color="auto" w:fill="CCEEFF"/>
          </w:tcPr>
          <w:p>
            <w:pPr>
              <w:jc w:val="center"/>
              <w:ind w:left="532"/>
              <w:spacing w:after="0"/>
              <w:rPr>
                <w:sz w:val="20"/>
                <w:szCs w:val="20"/>
                <w:color w:val="auto"/>
              </w:rPr>
            </w:pPr>
            <w:r>
              <w:rPr>
                <w:rFonts w:ascii="Arial" w:cs="Arial" w:eastAsia="Arial" w:hAnsi="Arial"/>
                <w:sz w:val="18"/>
                <w:szCs w:val="18"/>
                <w:color w:val="auto"/>
                <w:w w:val="87"/>
              </w:rPr>
              <w:t>9/15/2019</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110,448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30.00</w:t>
            </w:r>
          </w:p>
        </w:tc>
        <w:tc>
          <w:tcPr>
            <w:tcW w:w="4160" w:type="dxa"/>
            <w:vAlign w:val="bottom"/>
            <w:gridSpan w:val="2"/>
          </w:tcPr>
          <w:p>
            <w:pPr>
              <w:jc w:val="center"/>
              <w:ind w:left="532"/>
              <w:spacing w:after="0"/>
              <w:rPr>
                <w:sz w:val="20"/>
                <w:szCs w:val="20"/>
                <w:color w:val="auto"/>
              </w:rPr>
            </w:pPr>
            <w:r>
              <w:rPr>
                <w:rFonts w:ascii="Arial" w:cs="Arial" w:eastAsia="Arial" w:hAnsi="Arial"/>
                <w:sz w:val="18"/>
                <w:szCs w:val="18"/>
                <w:color w:val="auto"/>
                <w:w w:val="86"/>
              </w:rPr>
              <w:t>11/20/2017</w:t>
            </w:r>
          </w:p>
        </w:tc>
        <w:tc>
          <w:tcPr>
            <w:tcW w:w="6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35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4,796,506</w:t>
            </w: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With the exception of 2,705,883 shares of common stock underlying the warrants exercisable at $5.30 per share issued in our May 2016 public offering, all of the common shares issuable upon exercise of our outstanding warrants are unregistered.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Related Party Transactions</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Cato Holding Company (</w:t>
      </w:r>
      <w:r>
        <w:rPr>
          <w:rFonts w:ascii="Arial" w:cs="Arial" w:eastAsia="Arial" w:hAnsi="Arial"/>
          <w:sz w:val="16"/>
          <w:szCs w:val="16"/>
          <w:i w:val="1"/>
          <w:iCs w:val="1"/>
          <w:color w:val="auto"/>
        </w:rPr>
        <w:t>CHC</w:t>
      </w:r>
      <w:r>
        <w:rPr>
          <w:rFonts w:ascii="Arial" w:cs="Arial" w:eastAsia="Arial" w:hAnsi="Arial"/>
          <w:sz w:val="16"/>
          <w:szCs w:val="16"/>
          <w:color w:val="auto"/>
        </w:rPr>
        <w:t>), doing business as Cato BioVentures (</w:t>
      </w:r>
      <w:r>
        <w:rPr>
          <w:rFonts w:ascii="Arial" w:cs="Arial" w:eastAsia="Arial" w:hAnsi="Arial"/>
          <w:sz w:val="16"/>
          <w:szCs w:val="16"/>
          <w:i w:val="1"/>
          <w:iCs w:val="1"/>
          <w:color w:val="auto"/>
        </w:rPr>
        <w:t>CBV</w:t>
      </w:r>
      <w:r>
        <w:rPr>
          <w:rFonts w:ascii="Arial" w:cs="Arial" w:eastAsia="Arial" w:hAnsi="Arial"/>
          <w:sz w:val="16"/>
          <w:szCs w:val="16"/>
          <w:color w:val="auto"/>
        </w:rPr>
        <w:t>), is the parent of Cato Research Ltd. (</w:t>
      </w:r>
      <w:r>
        <w:rPr>
          <w:rFonts w:ascii="Arial" w:cs="Arial" w:eastAsia="Arial" w:hAnsi="Arial"/>
          <w:sz w:val="16"/>
          <w:szCs w:val="16"/>
          <w:i w:val="1"/>
          <w:iCs w:val="1"/>
          <w:color w:val="auto"/>
        </w:rPr>
        <w:t>CRL</w:t>
      </w:r>
      <w:r>
        <w:rPr>
          <w:rFonts w:ascii="Arial" w:cs="Arial" w:eastAsia="Arial" w:hAnsi="Arial"/>
          <w:sz w:val="16"/>
          <w:szCs w:val="16"/>
          <w:color w:val="auto"/>
        </w:rPr>
        <w:t>). CRL is a contract research, development and regulatory services organization (</w:t>
      </w:r>
      <w:r>
        <w:rPr>
          <w:rFonts w:ascii="Arial" w:cs="Arial" w:eastAsia="Arial" w:hAnsi="Arial"/>
          <w:sz w:val="16"/>
          <w:szCs w:val="16"/>
          <w:i w:val="1"/>
          <w:iCs w:val="1"/>
          <w:color w:val="auto"/>
        </w:rPr>
        <w:t>CRO</w:t>
      </w:r>
      <w:r>
        <w:rPr>
          <w:rFonts w:ascii="Arial" w:cs="Arial" w:eastAsia="Arial" w:hAnsi="Arial"/>
          <w:sz w:val="16"/>
          <w:szCs w:val="16"/>
          <w:color w:val="auto"/>
        </w:rPr>
        <w:t xml:space="preserve">) recently engaged by us for certain material aspects of the development and regulatory affairs associated with Phase 2 development of AV-101 for MDD. CBV is among our largest institutional stockholders at June 30, 2017, holding approximately 6.5% of our outstanding common stock. In October 2012, we issued certain unsecured promissory notes in the aggregate principal amount of approximately $1.3 million to CBV and CRL (the </w:t>
      </w:r>
      <w:r>
        <w:rPr>
          <w:rFonts w:ascii="Arial" w:cs="Arial" w:eastAsia="Arial" w:hAnsi="Arial"/>
          <w:sz w:val="16"/>
          <w:szCs w:val="16"/>
          <w:i w:val="1"/>
          <w:iCs w:val="1"/>
          <w:color w:val="auto"/>
        </w:rPr>
        <w:t>Cato Notes</w:t>
      </w:r>
      <w:r>
        <w:rPr>
          <w:rFonts w:ascii="Arial" w:cs="Arial" w:eastAsia="Arial" w:hAnsi="Arial"/>
          <w:sz w:val="16"/>
          <w:szCs w:val="16"/>
          <w:color w:val="auto"/>
        </w:rPr>
        <w:t>) as payment in full for all contract research and development services and regulatory advice previously rendered to us by CRL for preclinical and</w:t>
      </w:r>
      <w:r>
        <w:rPr>
          <w:rFonts w:ascii="Arial" w:cs="Arial" w:eastAsia="Arial" w:hAnsi="Arial"/>
          <w:sz w:val="16"/>
          <w:szCs w:val="16"/>
          <w:i w:val="1"/>
          <w:iCs w:val="1"/>
          <w:color w:val="auto"/>
        </w:rPr>
        <w:t xml:space="preserve"> </w:t>
      </w:r>
      <w:r>
        <w:rPr>
          <w:rFonts w:ascii="Arial" w:cs="Arial" w:eastAsia="Arial" w:hAnsi="Arial"/>
          <w:sz w:val="16"/>
          <w:szCs w:val="16"/>
          <w:color w:val="auto"/>
        </w:rPr>
        <w:t>Phase 1 development of AV-101. In June 2015, the Cato Notes and additional amounts payable to CRL for CRO services related to AV-101 were extinguished in exchange for our issuance of an aggregate of 328,571 shares of Series B Preferred stock to CBV, which shares of Series B Preferred stock were automatically converted in accordance with their terms into an equal number of registered shares of our common stock as a result of our May 2016 public offering.</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our contract research arrangement with CRL related to the development of AV-101, we incurred expenses of $128,200 and $50,400 for the three months ended June 30, 2017 and 2016, respectively. We anticipate periodic expenses for CRO services from CRL related to Phase 2 development of AV-101 will increase in future periods.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Subsequent Events</w:t>
      </w:r>
      <w:r>
        <w:rPr>
          <w:rFonts w:ascii="Arial" w:cs="Arial" w:eastAsia="Arial" w:hAnsi="Arial"/>
          <w:sz w:val="18"/>
          <w:szCs w:val="18"/>
          <w:color w:val="auto"/>
        </w:rPr>
        <w:t>, for disclosure of additional transactions with CRL.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Subsequent Events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subsequent events through August 11, 2017 and have identified the following matters requiring disclosure: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Master Services Agreement and Share Issuance to CRL</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July 2017, we entered into a Master Services Agreement (</w:t>
      </w:r>
      <w:r>
        <w:rPr>
          <w:rFonts w:ascii="Arial" w:cs="Arial" w:eastAsia="Arial" w:hAnsi="Arial"/>
          <w:sz w:val="18"/>
          <w:szCs w:val="18"/>
          <w:i w:val="1"/>
          <w:iCs w:val="1"/>
          <w:color w:val="auto"/>
        </w:rPr>
        <w:t>MSA</w:t>
      </w:r>
      <w:r>
        <w:rPr>
          <w:rFonts w:ascii="Arial" w:cs="Arial" w:eastAsia="Arial" w:hAnsi="Arial"/>
          <w:sz w:val="18"/>
          <w:szCs w:val="18"/>
          <w:color w:val="auto"/>
        </w:rPr>
        <w:t>) with CRL, which replaced a similar May 2007 agreement, pursuant to which CRL may assist us in the evaluation, development, commercialization and marketing of our potential product candidates, including AV-101, and provide regulatory and strategic consulting services as requested from time to time. Specific projects or services will be delineated in individual work orders negotiated from time-to-time under the MSA.</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 July 2017, we issued to CRL 50,000 shares of our unregistered common stock having a fair value of $85,500 on the date of issuance in recognition of a milestone achievement under the terms of a negotiated AV-101-related work order.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of Common Stock and Warrants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August 2017, in a self-placed private placement transaction, we sold to an accredited investor units consisting of (i) 28,572 shares of our unregistered common stock and (ii) warrants exercisable through April 30, 2021 to purchase 28,572 unregistered shares of our common stock at an exercise price of $4.00 per share. The warrants are not exercisable until six months and one day following the date of issuance. We received cash proceeds of $50,000 from this sale of our securities.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This Quarterly Report on Form 10-Q (Report) includes forward-looking statements. All statements contained in this Report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additional financing, the results of our research and development efforts, the results of non-clinical and clinical testing, the effect of regulation by the United States Food and Drug Administration (FDA) and other agencies, the impact of competitive products, product development, commercialization and technological difficulties, the effect of our accounting policies, and other risks as detailed in the section entitled “Risk Factors” in this Report. Further, even if our product candidates appear promising at various stages of development, our share price may decrease such that we are unable to raise additional capital without significant dilution or other terms that may be unacceptable to our management, Board of Directors and stockholders.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 Unless the context otherwise requires, the words “</w:t>
      </w:r>
      <w:r>
        <w:rPr>
          <w:rFonts w:ascii="Arial" w:cs="Arial" w:eastAsia="Arial" w:hAnsi="Arial"/>
          <w:sz w:val="18"/>
          <w:szCs w:val="18"/>
          <w:i w:val="1"/>
          <w:iCs w:val="1"/>
          <w:color w:val="auto"/>
        </w:rPr>
        <w:t>VistaGen Therapeutics, Inc.</w:t>
      </w:r>
      <w:r>
        <w:rPr>
          <w:rFonts w:ascii="Arial" w:cs="Arial" w:eastAsia="Arial" w:hAnsi="Arial"/>
          <w:sz w:val="18"/>
          <w:szCs w:val="18"/>
          <w:color w:val="auto"/>
        </w:rPr>
        <w:t>” “</w:t>
      </w:r>
      <w:r>
        <w:rPr>
          <w:rFonts w:ascii="Arial" w:cs="Arial" w:eastAsia="Arial" w:hAnsi="Arial"/>
          <w:sz w:val="18"/>
          <w:szCs w:val="18"/>
          <w:i w:val="1"/>
          <w:iCs w:val="1"/>
          <w:color w:val="auto"/>
        </w:rPr>
        <w:t>VistaGen</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the Company</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refer to VistaGen Therapeutics, Inc., a Nevada corporation. All references to future quarters and years in this Item 2 refer to calendar quarters and calendar years, unless reference is made otherwise.</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AV-101 is our oral CNS product candidate in Phase 2 clinical development in the United States, initially as a new generation adjunctive treatment for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in patients with an inadequate response to standard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AV-101’s mechanism of action (</w:t>
      </w:r>
      <w:r>
        <w:rPr>
          <w:rFonts w:ascii="Arial" w:cs="Arial" w:eastAsia="Arial" w:hAnsi="Arial"/>
          <w:sz w:val="16"/>
          <w:szCs w:val="16"/>
          <w:i w:val="1"/>
          <w:iCs w:val="1"/>
          <w:color w:val="auto"/>
        </w:rPr>
        <w:t>MOA</w:t>
      </w:r>
      <w:r>
        <w:rPr>
          <w:rFonts w:ascii="Arial" w:cs="Arial" w:eastAsia="Arial" w:hAnsi="Arial"/>
          <w:sz w:val="16"/>
          <w:szCs w:val="16"/>
          <w:color w:val="auto"/>
        </w:rPr>
        <w:t xml:space="preserve">) involves both NMDA (N-methyl-D-aspartate) and AMPA (alpha-amino-3-hydroxy-5-methyl-4-isoxazolepropionic acid) receptors in the brain responsible for fast excitatory synaptic activity throughout the CNS. AV-101’s MOA is fundamentally differentiated from all FDA-approved antidepressants, as well as all atypical antipsychotics such as aripiprazole often used adjunctively to augment them. We believe AV-101 also has potential as a new treatment alternative for several additional CNS indications, including epilepsy, Huntington’s disease, levadopa </w:t>
      </w:r>
      <w:r>
        <w:rPr>
          <w:rFonts w:ascii="Arial" w:cs="Arial" w:eastAsia="Arial" w:hAnsi="Arial"/>
          <w:sz w:val="16"/>
          <w:szCs w:val="16"/>
          <w:i w:val="1"/>
          <w:iCs w:val="1"/>
          <w:color w:val="auto"/>
        </w:rPr>
        <w:t>(L-DOPA</w:t>
      </w:r>
      <w:r>
        <w:rPr>
          <w:rFonts w:ascii="Arial" w:cs="Arial" w:eastAsia="Arial" w:hAnsi="Arial"/>
          <w:sz w:val="16"/>
          <w:szCs w:val="16"/>
          <w:color w:val="auto"/>
        </w:rPr>
        <w:t>)-induced dyskinesia associated with Parkinson’s disease, and as a potential non-opioid treatment for neuropathic pain.</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Clinical studies conducted at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part of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by Dr. Carlos Zarate, Jr., Chief of the NIMH’s Experimental Therapeutics &amp; Pathophysiology Branch and its Section on Neurobiology and Treatment of Mood and Anxiety Disorders, have focused on the antidepressant effects of low dose ketamine hydrochloride injection (</w:t>
      </w:r>
      <w:r>
        <w:rPr>
          <w:rFonts w:ascii="Arial" w:cs="Arial" w:eastAsia="Arial" w:hAnsi="Arial"/>
          <w:sz w:val="16"/>
          <w:szCs w:val="16"/>
          <w:i w:val="1"/>
          <w:iCs w:val="1"/>
          <w:color w:val="auto"/>
        </w:rPr>
        <w:t>ketamine</w:t>
      </w:r>
      <w:r>
        <w:rPr>
          <w:rFonts w:ascii="Arial" w:cs="Arial" w:eastAsia="Arial" w:hAnsi="Arial"/>
          <w:sz w:val="16"/>
          <w:szCs w:val="16"/>
          <w:color w:val="auto"/>
        </w:rPr>
        <w:t>), an ion-channel blocking NMDA receptor antagonist, in MDD patients with inadequate responses to multiple standard antidepressants. These NIMH studies, as well as clinical research at Yale University and other academic institutions, have demonstrated robust antidepressant effects in treatment-resistant MDD patients within twenty-four hours of a single sub-anesthetic dose of ketamine administered by intravenous (</w:t>
      </w:r>
      <w:r>
        <w:rPr>
          <w:rFonts w:ascii="Arial" w:cs="Arial" w:eastAsia="Arial" w:hAnsi="Arial"/>
          <w:sz w:val="16"/>
          <w:szCs w:val="16"/>
          <w:i w:val="1"/>
          <w:iCs w:val="1"/>
          <w:color w:val="auto"/>
        </w:rPr>
        <w:t>IV</w:t>
      </w:r>
      <w:r>
        <w:rPr>
          <w:rFonts w:ascii="Arial" w:cs="Arial" w:eastAsia="Arial" w:hAnsi="Arial"/>
          <w:sz w:val="16"/>
          <w:szCs w:val="16"/>
          <w:color w:val="auto"/>
        </w:rPr>
        <w:t>) injection.</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believe orally-administered AV-101 may have potential to deliver ketamine-like antidepressant effects without ketamine’s psychological and other negative side effects. 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titled,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prodrug 4-chlorokynurenine causes ketamine-like antidepressant effects, but not side effects, by NMDA/glycineB-site inhibition, </w:t>
      </w:r>
      <w:r>
        <w:rPr>
          <w:rFonts w:ascii="Arial" w:cs="Arial" w:eastAsia="Arial" w:hAnsi="Arial"/>
          <w:sz w:val="16"/>
          <w:szCs w:val="16"/>
          <w:color w:val="auto"/>
        </w:rPr>
        <w:t>using well-established preclinical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models of depression, AV-101 was shown to induce fast-acting, dose-dependent, persistent and statistically significant antidepressant-like responses following a single treatment. These responses were equivalent to those seen with a single sub-anesthetic control dose of ketamine. In addition, these studies confirmed that the fast-acting antidepressant effects of AV-101 were mediated through both inhibiting the GlyB site of the NMDA receptor and activating the AMPA receptor pathway in the brain.</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our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xml:space="preserve">) with the NIMH, the NIMH is funding, and Dr. Zarate, as Principal Investigator, and his team are conducting, a small Phase 2 clinical study of AV-101 monotherapy in subjects with treatment-resistant MDD (the </w:t>
      </w:r>
      <w:r>
        <w:rPr>
          <w:rFonts w:ascii="Arial" w:cs="Arial" w:eastAsia="Arial" w:hAnsi="Arial"/>
          <w:sz w:val="16"/>
          <w:szCs w:val="16"/>
          <w:i w:val="1"/>
          <w:iCs w:val="1"/>
          <w:color w:val="auto"/>
        </w:rPr>
        <w:t>NIMH AV-101 MDD Phase 2</w:t>
      </w:r>
      <w:r>
        <w:rPr>
          <w:rFonts w:ascii="Arial" w:cs="Arial" w:eastAsia="Arial" w:hAnsi="Arial"/>
          <w:sz w:val="16"/>
          <w:szCs w:val="16"/>
          <w:color w:val="auto"/>
        </w:rPr>
        <w:t xml:space="preserve"> </w:t>
      </w:r>
      <w:r>
        <w:rPr>
          <w:rFonts w:ascii="Arial" w:cs="Arial" w:eastAsia="Arial" w:hAnsi="Arial"/>
          <w:sz w:val="16"/>
          <w:szCs w:val="16"/>
          <w:i w:val="1"/>
          <w:iCs w:val="1"/>
          <w:color w:val="auto"/>
        </w:rPr>
        <w:t>Monotherapy Study</w:t>
      </w:r>
      <w:r>
        <w:rPr>
          <w:rFonts w:ascii="Arial" w:cs="Arial" w:eastAsia="Arial" w:hAnsi="Arial"/>
          <w:sz w:val="16"/>
          <w:szCs w:val="16"/>
          <w:color w:val="auto"/>
        </w:rPr>
        <w:t>). We are preparing to launch our 180-patient Phase 2 multi-center, multi-dose, double blind, placebo-controlled efficacy and safety study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AV-101 as a new generation adjunctive treatment of MDD in adult patients with an inadequate response to standard, FDA-approved antidepressants (the </w:t>
      </w:r>
      <w:r>
        <w:rPr>
          <w:rFonts w:ascii="Arial" w:cs="Arial" w:eastAsia="Arial" w:hAnsi="Arial"/>
          <w:sz w:val="16"/>
          <w:szCs w:val="16"/>
          <w:i w:val="1"/>
          <w:iCs w:val="1"/>
          <w:color w:val="auto"/>
        </w:rPr>
        <w:t>AV-101</w:t>
      </w:r>
      <w:r>
        <w:rPr>
          <w:rFonts w:ascii="Arial" w:cs="Arial" w:eastAsia="Arial" w:hAnsi="Arial"/>
          <w:sz w:val="16"/>
          <w:szCs w:val="16"/>
          <w:color w:val="auto"/>
        </w:rPr>
        <w:t xml:space="preserve"> </w:t>
      </w:r>
      <w:r>
        <w:rPr>
          <w:rFonts w:ascii="Arial" w:cs="Arial" w:eastAsia="Arial" w:hAnsi="Arial"/>
          <w:sz w:val="16"/>
          <w:szCs w:val="16"/>
          <w:i w:val="1"/>
          <w:iCs w:val="1"/>
          <w:color w:val="auto"/>
        </w:rPr>
        <w:t>MDD Phase 2 Adjunctive Treatment Study</w:t>
      </w:r>
      <w:r>
        <w:rPr>
          <w:rFonts w:ascii="Arial" w:cs="Arial" w:eastAsia="Arial" w:hAnsi="Arial"/>
          <w:sz w:val="16"/>
          <w:szCs w:val="16"/>
          <w:color w:val="auto"/>
        </w:rPr>
        <w:t>). Dr. Maurizio Fava, Professor of Psychiatry at Harvard Medical School and Director, Division of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Research Institute, will be the Principal Investigator of our AV-101 MDD Phase 2 Adjunctive Treatment Study. Dr. Fava was the co-Principal Investigator with Dr. A. John Rush of the STAR*D study, the largest clinical trial conducted in depression to date, whose findings were published in journals such as the New England Journal of Medicine (</w:t>
      </w:r>
      <w:r>
        <w:rPr>
          <w:rFonts w:ascii="Arial" w:cs="Arial" w:eastAsia="Arial" w:hAnsi="Arial"/>
          <w:sz w:val="16"/>
          <w:szCs w:val="16"/>
          <w:i w:val="1"/>
          <w:iCs w:val="1"/>
          <w:color w:val="auto"/>
        </w:rPr>
        <w:t>NEJM</w:t>
      </w:r>
      <w:r>
        <w:rPr>
          <w:rFonts w:ascii="Arial" w:cs="Arial" w:eastAsia="Arial" w:hAnsi="Arial"/>
          <w:sz w:val="16"/>
          <w:szCs w:val="16"/>
          <w:color w:val="auto"/>
        </w:rPr>
        <w:t>) and the Journal of the American Medical Association (</w:t>
      </w:r>
      <w:r>
        <w:rPr>
          <w:rFonts w:ascii="Arial" w:cs="Arial" w:eastAsia="Arial" w:hAnsi="Arial"/>
          <w:sz w:val="16"/>
          <w:szCs w:val="16"/>
          <w:i w:val="1"/>
          <w:iCs w:val="1"/>
          <w:color w:val="auto"/>
        </w:rPr>
        <w:t>JAMA</w:t>
      </w:r>
      <w:r>
        <w:rPr>
          <w:rFonts w:ascii="Arial" w:cs="Arial" w:eastAsia="Arial" w:hAnsi="Arial"/>
          <w:sz w:val="16"/>
          <w:szCs w:val="16"/>
          <w:color w:val="auto"/>
        </w:rPr>
        <w:t>). We currently anticipate launching our AV-101 MDD Phase 2 Adjunctive Treatment Study in the first quarter of 2018 and completing it by the end of 2018, with top line results available in the first quarter of 2019.</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internally and with collaborators,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for CNS and other diseases and (ii)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xml:space="preserve">) involving hPSC-derived blood, cartilage, heart and liver cells. Our internal drug rescue programs are designed to utilize </w:t>
      </w:r>
      <w:r>
        <w:rPr>
          <w:rFonts w:ascii="Arial" w:cs="Arial" w:eastAsia="Arial" w:hAnsi="Arial"/>
          <w:sz w:val="16"/>
          <w:szCs w:val="16"/>
          <w:i w:val="1"/>
          <w:iCs w:val="1"/>
          <w:color w:val="auto"/>
        </w:rPr>
        <w:t>CardioSafe 3D</w:t>
      </w:r>
      <w:r>
        <w:rPr>
          <w:rFonts w:ascii="Arial" w:cs="Arial" w:eastAsia="Arial" w:hAnsi="Arial"/>
          <w:sz w:val="16"/>
          <w:szCs w:val="16"/>
          <w:color w:val="auto"/>
        </w:rPr>
        <w:t xml:space="preserve">, our customized cardiac bioassay system, to develop small molecule NCEs for our pipeline. To advance potential RM applications of its cardiac stem cell technology, in December 2016, VistaStem exclusively sublicensed to BlueRock Therapeutics LP, a next generation RM company established by Bayer AG and Versant Ventures, rights to certain proprietary technologies relating to the production of cardiac stem cells for the treatment of heart disease (the </w:t>
      </w:r>
      <w:r>
        <w:rPr>
          <w:rFonts w:ascii="Arial" w:cs="Arial" w:eastAsia="Arial" w:hAnsi="Arial"/>
          <w:sz w:val="16"/>
          <w:szCs w:val="16"/>
          <w:i w:val="1"/>
          <w:iCs w:val="1"/>
          <w:color w:val="auto"/>
        </w:rPr>
        <w:t>BlueRock Agreement</w:t>
      </w:r>
      <w:r>
        <w:rPr>
          <w:rFonts w:ascii="Arial" w:cs="Arial" w:eastAsia="Arial" w:hAnsi="Arial"/>
          <w:sz w:val="16"/>
          <w:szCs w:val="16"/>
          <w:color w:val="auto"/>
        </w:rPr>
        <w:t>). In a manner similar to its exclusive sublicense agreement with BlueRock Therapeutics, VistaStem may pursue additional RM collaborations or licensing transactions involving blood, cartilage, and/or liver cells derived from hPSCs for (A) cell-based therapy, (B) cell repair therapy, and/or (C) tissue engineering.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World Health Organization (</w:t>
      </w:r>
      <w:r>
        <w:rPr>
          <w:rFonts w:ascii="Arial" w:cs="Arial" w:eastAsia="Arial" w:hAnsi="Arial"/>
          <w:sz w:val="18"/>
          <w:szCs w:val="18"/>
          <w:i w:val="1"/>
          <w:iCs w:val="1"/>
          <w:color w:val="auto"/>
        </w:rPr>
        <w:t>WHO</w:t>
      </w:r>
      <w:r>
        <w:rPr>
          <w:rFonts w:ascii="Arial" w:cs="Arial" w:eastAsia="Arial" w:hAnsi="Arial"/>
          <w:sz w:val="18"/>
          <w:szCs w:val="18"/>
          <w:color w:val="auto"/>
        </w:rPr>
        <w:t>) estimates that 300 million people worldwide are affected by depression. According to the NIH, major depression is one of the most common mental disorders in the U.S. The NIMH reports that, in 2014, approximately 16 million adults in the U.S. had at least one major depressive episode in the past year. According to the U.S. Centers for Disease Control and Prevention (</w:t>
      </w:r>
      <w:r>
        <w:rPr>
          <w:rFonts w:ascii="Arial" w:cs="Arial" w:eastAsia="Arial" w:hAnsi="Arial"/>
          <w:sz w:val="18"/>
          <w:szCs w:val="18"/>
          <w:i w:val="1"/>
          <w:iCs w:val="1"/>
          <w:color w:val="auto"/>
        </w:rPr>
        <w:t>CDC</w:t>
      </w:r>
      <w:r>
        <w:rPr>
          <w:rFonts w:ascii="Arial" w:cs="Arial" w:eastAsia="Arial" w:hAnsi="Arial"/>
          <w:sz w:val="18"/>
          <w:szCs w:val="18"/>
          <w:color w:val="auto"/>
        </w:rPr>
        <w:t>) one in 10 Americans over the age of 12 takes a standard, FDA-approved antidepressant.</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Most standard antidepressants target neurotransmitter reuptake inhibition – either serotonin (antidepressants known as </w:t>
      </w:r>
      <w:r>
        <w:rPr>
          <w:rFonts w:ascii="Arial" w:cs="Arial" w:eastAsia="Arial" w:hAnsi="Arial"/>
          <w:sz w:val="18"/>
          <w:szCs w:val="18"/>
          <w:i w:val="1"/>
          <w:iCs w:val="1"/>
          <w:color w:val="auto"/>
        </w:rPr>
        <w:t>SSRIs</w:t>
      </w:r>
      <w:r>
        <w:rPr>
          <w:rFonts w:ascii="Arial" w:cs="Arial" w:eastAsia="Arial" w:hAnsi="Arial"/>
          <w:sz w:val="18"/>
          <w:szCs w:val="18"/>
          <w:color w:val="auto"/>
        </w:rPr>
        <w:t xml:space="preserve">) or serotonin/norepinephrine (antidepressants known as </w:t>
      </w:r>
      <w:r>
        <w:rPr>
          <w:rFonts w:ascii="Arial" w:cs="Arial" w:eastAsia="Arial" w:hAnsi="Arial"/>
          <w:sz w:val="18"/>
          <w:szCs w:val="18"/>
          <w:i w:val="1"/>
          <w:iCs w:val="1"/>
          <w:color w:val="auto"/>
        </w:rPr>
        <w:t>SNRIs</w:t>
      </w:r>
      <w:r>
        <w:rPr>
          <w:rFonts w:ascii="Arial" w:cs="Arial" w:eastAsia="Arial" w:hAnsi="Arial"/>
          <w:sz w:val="18"/>
          <w:szCs w:val="18"/>
          <w:color w:val="auto"/>
        </w:rPr>
        <w:t>). Even when effective, these standard depression medications take many weeks to achieve adequate antidepressant effects. Nearly two out of every three drug-treated depression patients do not obtain adequate therapeutic benefit from initial treatment with a standard antidepressant. Even after treatment with many different standard antidepressants, nearly one out of every three drug-treated depression patients still do not achieve adequate therapeutic benefits from their antidepressant medication. Such patients with an inadequate response to standard antidepressants often seek to augment their treatment regimen by adding an atypical antipsychotic (drugs such as aripiprazole), despite only modest potential therapeutic benefit and the significant risk of additional side effects.</w:t>
      </w:r>
    </w:p>
    <w:p>
      <w:pPr>
        <w:spacing w:after="0" w:line="20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All standard antidepressants have risks of side effects, including, among others, anxiety, metabolic syndrome, sleep disturbance and sexual dysfunction. Adjunctive use of atypical antipsychotics to augment inadequately performing standard antidepressants may increase the risk of significant side effects, including, tardive dyskinesia, substantial weight gain, diabetes and heart disease, while offering only a modest potential increase in therapeutic benefit.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AV-101 is our oral CNS drug candidate in Phase 2 development in the United States, initially focused as a new generation antidepressant for the adjunctive treatment of MDD patients with an inadequate response to standard, FDA-approved antidepressants. As published in the October 2015 issue of the peer-reviewed, </w:t>
      </w:r>
      <w:r>
        <w:rPr>
          <w:rFonts w:ascii="Arial" w:cs="Arial" w:eastAsia="Arial" w:hAnsi="Arial"/>
          <w:sz w:val="16"/>
          <w:szCs w:val="16"/>
          <w:i w:val="1"/>
          <w:iCs w:val="1"/>
          <w:color w:val="auto"/>
        </w:rPr>
        <w:t>Journal of Pharmacology and Experimental Therapeutics,</w:t>
      </w:r>
      <w:r>
        <w:rPr>
          <w:rFonts w:ascii="Arial" w:cs="Arial" w:eastAsia="Arial" w:hAnsi="Arial"/>
          <w:sz w:val="16"/>
          <w:szCs w:val="16"/>
          <w:color w:val="auto"/>
        </w:rPr>
        <w:t xml:space="preserve"> in an article titled, </w:t>
      </w:r>
      <w:r>
        <w:rPr>
          <w:rFonts w:ascii="Arial" w:cs="Arial" w:eastAsia="Arial" w:hAnsi="Arial"/>
          <w:sz w:val="16"/>
          <w:szCs w:val="16"/>
          <w:i w:val="1"/>
          <w:iCs w:val="1"/>
          <w:color w:val="auto"/>
        </w:rPr>
        <w:t>The prodrug 4-chlorokynurenine causes ketamine-like antidepressant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effects, but not side effects, by NMDA/glycineB-site inhibition, </w:t>
      </w:r>
      <w:r>
        <w:rPr>
          <w:rFonts w:ascii="Arial" w:cs="Arial" w:eastAsia="Arial" w:hAnsi="Arial"/>
          <w:sz w:val="16"/>
          <w:szCs w:val="16"/>
          <w:color w:val="auto"/>
        </w:rPr>
        <w:t>using well-established preclinical models of depression, AV-101 was shown to induce fast-acting,</w:t>
      </w:r>
      <w:r>
        <w:rPr>
          <w:rFonts w:ascii="Arial" w:cs="Arial" w:eastAsia="Arial" w:hAnsi="Arial"/>
          <w:sz w:val="16"/>
          <w:szCs w:val="16"/>
          <w:i w:val="1"/>
          <w:iCs w:val="1"/>
          <w:color w:val="auto"/>
        </w:rPr>
        <w:t xml:space="preserve"> </w:t>
      </w:r>
      <w:r>
        <w:rPr>
          <w:rFonts w:ascii="Arial" w:cs="Arial" w:eastAsia="Arial" w:hAnsi="Arial"/>
          <w:sz w:val="16"/>
          <w:szCs w:val="16"/>
          <w:color w:val="auto"/>
        </w:rPr>
        <w:t>dose-dependent, persistent and statistically significant ketamine-like antidepressant effects following a single treatment, responses equivalent to those seen with a single sub-anesthetic control dose of ketamine, without the negative side effects seen with ketamine. In addition, these studies confirmed that the antidepressant effects of AV-101 were mediated through both inhibition of the GlyB site of NMDA receptors and activation of the AMPA receptor pathway in the brain, a key final common pathway feature of certain new generation antidepressants such as ketamine and AV-101, each with a MOA that is fundamentally different from all standard antidepressants and atypical antipsychotics used adjunctively to augment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completed two NIH-funded, randomized, double blind, placebo-controlled AV-101 Phase 1 safety studies. Currently, pursuant to our CRADA with the NIMH and Dr. Carlos Zarate, Jr., the NIMH is funding, and Dr. Zarate, as Principal Investigator, and his team are conducting, a small NIMH AV-101 MDD Phase 2 Monotherapy Study. Although we are not involved in conducting this study, we currently anticipate that the NIMH will complete the NIMH AV-101 MDD Phase 2 Monotherapy Study by the end of 2017, with top line results during the first half of 2018.</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currently preparing to launch our 180-patient AV-101 MDD Phase 2 Adjunctive Treatment Study, a study focused on using AV-101 as an adjunctive treatment of MDD in patients with an inadequate response to standard, FDA-approved antidepressants. We currently anticipate the launch of the AV-101 MDD Phase 2 Adjunctive Treatment Study, with Dr. Maurizio Fava of Harvard Medical School serving as Principal Investigator, in the first quarter of 2018. Subject to securing adequate financing, we currently anticipate completing our AV-101 MDD Phase 2 Adjunctive Treatment Study by the end of 2018, with top line results available in the first quarter of 2019.</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believe preclinical studies and Phase 1 safety studies support our hypothesis that AV-101 may also have potential to treat multiple additional CNS disorders and diseases beyond MDD, including epilepsy, neuropathic pain, Huntington’s disease, L-DOPA-induced dyskinesia associated with Parkinson’s disease, and other CNS indications where modulation of the NMDA receptor, activation of AMPA pathways and/or key active metabolites of AV-101 may achieve therapeutic benefit. We are beginning to plan additional Phase 2 clinical studies of AV-101 to further evaluate its therapeutic potential beyond MDD.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CardioSafe 3D™; NCE Drug Rescue and Regenerative Medicine</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VistaStem Therapeutics is our wholly owned subsidiary focused on applying hPSC technology to discover, rescue, develop and commercialize proprietary small molecule NCEs for CNS and other diseases, as well as potential cellular therapies involving stem cell-derived blood, cartilage, heart and liver cells. </w:t>
      </w: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is our customized</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cardiac bioassay system capable of predicting potential human heart toxicity of small molecule NCEs</w:t>
      </w:r>
      <w:r>
        <w:rPr>
          <w:rFonts w:ascii="Arial" w:cs="Arial" w:eastAsia="Arial" w:hAnsi="Arial"/>
          <w:sz w:val="16"/>
          <w:szCs w:val="16"/>
          <w:i w:val="1"/>
          <w:iCs w:val="1"/>
          <w:color w:val="auto"/>
        </w:rPr>
        <w:t xml:space="preserve"> in vitro</w:t>
      </w:r>
      <w:r>
        <w:rPr>
          <w:rFonts w:ascii="Arial" w:cs="Arial" w:eastAsia="Arial" w:hAnsi="Arial"/>
          <w:sz w:val="16"/>
          <w:szCs w:val="16"/>
          <w:color w:val="auto"/>
        </w:rPr>
        <w:t>, long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before they are ever tested in animal and human studies. Potential commercial applications of our stem cell technology platform involve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internally for NCE drug discovery and drug rescue to expand our proprietary drug candidate pipeline. Drug rescue involves leveraging substantial prior research and development investments by pharmaceutical companies and others related to public domain NCE programs terminated before FDA approval due to heart toxicity risks and RM and cellular therapies. To advance potential RM applications of its cardiac stem cell technology, in December 2016, VistaStem exclusively sublicensed to BlueRock Therapeutics LP, a next generation regenerative medicine company established by Bayer AG and Versant Ventures, rights to certain proprietary technologies relating to the production of cardiac stem cells for the treatment of heart disease. In a manner similar to the BlueRock Agreement, VistaStem may also pursue additional potential RM applications using blood, cartilage, and/or liver cells derived from hPSCs for (A) cell-based therapy (injection of stem cell-derived mature organ-specific cells obtained through directed differentiation), (B) cell repair therapy (induction of regeneration by biologically active molecules administered alone or produced by infused genetically engineered cells), or (C) tissue engineering (transplantation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grown complex tissues) using hPSC-derived blood, bone, cartilage, and/or liver cells.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critical accounting policies and estimates and recent accounting pronouncements are disclosed in our Annual Report on Form 10-K for the fiscal year ended March 31, 2017, as filed with the SEC on June 29, 2017, and in Note 3 to the accompanying unaudited Condensed Consolidated Financial Statements included in Part 1, Item 1 of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Although in December 2016 we generated $1.25 million of sublicense revenue from the BlueRock Therapeutics Agreement, we have not yet achieved recurring revenue-generating status from any of our product candidates or technologies. Since our inception in May 1998, we have devoted substantially all of our time and efforts to developing our lead CNS product candidate, AV-101, from early nonclinical studies to our ongoing Phase 2 clinical development program in MDD, as well as stem cell technology research and development, bioassay development, small molecule drug development, and creating, protecting and patenting intellectual property related to our product candidates and technologies, with the corollary initiatives of recruiting and retaining personnel and raising working capital. As of June 30, 2017, we had an accumulated deficit of approximately $144.3 million. Our net loss for the three months ended June 30, 2017 and 2016 was approximately $2.3 million and $2.0 million, respectively. We expect losses to continue for the foreseeable future, primarily related to our further clinical development of AV-101 for the adjunctive treatment of MDD, as well as a range of other CNS indications.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Quarter Ended June 30, 2017</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During the quarter ended June 30, 2017, we continued to (i) advance nonclinical, including manufacturing, and clinical development of AV-101 as a potential new generation antidepressant and as a potential new therapeutic alternative for several other CNS indications with significant unmet medical need, (ii) expand the regulatory foundation to support broad Phase 2 clinical development of AV-101 in the U.S. and, (iii) on a limited basis, advance both (a) the predictive toxicology capabilities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for drug rescue and development applications, and (b) regenerative medicine opportunities related to our stem cell technology platform.</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our February 2015 Cooperative Research and Development Agreement (</w:t>
      </w:r>
      <w:r>
        <w:rPr>
          <w:rFonts w:ascii="Arial" w:cs="Arial" w:eastAsia="Arial" w:hAnsi="Arial"/>
          <w:sz w:val="18"/>
          <w:szCs w:val="18"/>
          <w:i w:val="1"/>
          <w:iCs w:val="1"/>
          <w:color w:val="auto"/>
        </w:rPr>
        <w:t>CRADA</w:t>
      </w:r>
      <w:r>
        <w:rPr>
          <w:rFonts w:ascii="Arial" w:cs="Arial" w:eastAsia="Arial" w:hAnsi="Arial"/>
          <w:sz w:val="18"/>
          <w:szCs w:val="18"/>
          <w:color w:val="auto"/>
        </w:rPr>
        <w:t>) with the NIH, the NIH continues to fund, and Dr. Carlos Zarate Jr. of the NIMH continues to conduct, the NIMH AV-101 MDD Phase 2 Monotherapy Study, a small Phase 2 clinical study of AV-101 as a monotherapy for treatment-resistant MDD at no cost to us other than supplying clinical trial material. Although we do not direct or control the progress of this study, we currently anticipate that the NIMH will complete the NIMH AV-101 MDD Phase 2 Monotherapy Study by the end of 2017, with top line results during the first half of 2018.</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continue to prepare for the launch of our AV-101 MDD Phase 2 Adjunctive Treatment Study with initiatives that include improving the efficiency of our AV-101 manufacturing processes and producing sufficient quantities to enable a robust initiation of the study. We currently anticipate the launch of the AV-101 MDD Phase 2 Adjunctive Treatment Study, with Dr. Maurizio Fava of Harvard Medical School serving as Principal Investigator, in the first quarter of 2018.</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we are pursuing initiatives to secure a broad spectrum of intellectual property protection for AV-101 covering multiple CNS indications in both the U.S. and abroad. The European Patent Office (</w:t>
      </w:r>
      <w:r>
        <w:rPr>
          <w:rFonts w:ascii="Arial" w:cs="Arial" w:eastAsia="Arial" w:hAnsi="Arial"/>
          <w:sz w:val="18"/>
          <w:szCs w:val="18"/>
          <w:i w:val="1"/>
          <w:iCs w:val="1"/>
          <w:color w:val="auto"/>
        </w:rPr>
        <w:t>EPO</w:t>
      </w:r>
      <w:r>
        <w:rPr>
          <w:rFonts w:ascii="Arial" w:cs="Arial" w:eastAsia="Arial" w:hAnsi="Arial"/>
          <w:sz w:val="18"/>
          <w:szCs w:val="18"/>
          <w:color w:val="auto"/>
        </w:rPr>
        <w:t>) has recently issued a Notice of Intention to Grant our European Patent Application for AV-101. The granted claims, covering multiple dosage forms of AV-101, treatment of depression and reduction of dyskinesia associated with L-DOPA treatment of Parkinson's disease, will be in effect until at least January 2034.</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Between late-March 2017 and June 2017, we entered into self-placed private placement transactions involving securities purchase agreements with individual accredited investors, pursuant to which we sold units consisting of an aggregate of (i) 495,001 shares of our unregistered common stock; and (ii) warrants which are not exercisable until six months and one day following issuance and expire on April 30, 2021, to purchase an aggregate of 247,500 shares of our common stock at a weighted average fixed exercise price of $3.99 per share, subject to adjustment only for customary stock dividends, reclassifications, splits and similar transactions. We received cash proceeds of approximately $1 million in this self-placed private placement transaction.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expansion of our Clinical and Regulatory Advisory Board during 2016 with the appointment of pre-eminent opinion leaders in the field of depression, in July 2017, we appointed Mark Wallace, M.D., Distinguished Professor of Clinical Anesthesiology at the University of California, San Diego, to our Clinical and Regulatory Advisory Board to assist us in advancing development of AV-101 as a potential non-opioid treatment alternative for neuropathic pain. Dr. Wallace is an internationally recognized leader in the field of multi-modal pain management, with over 30 years of professional experience, board certifications, licensures, honors/awards, grants, articles and abstracts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a matter of course, we continue to minimize to the greatest extent possible cash commitments and expenditures for both internal and external research and development and general and administrative services. To further advance the nonclinical and clinical development of AV-101 and our stem cell technology platform, as well as support our operating activities, we continue to carefully manage our routine operating costs, including our internal employee related expenses, as well as external costs relating to regulatory consulting, contract research and development, investor relations and corporate development, legal, acquisition and protection of intellectual property, public company compliance and other professional services and internal costs.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three months ended June 30, 2017 and 2016 (amounts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882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4"/>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7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882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2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2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5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(2,266)</w:t>
            </w: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dividend on Series B Preferred Stock</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Deemed dividend on Series B Preferred Stock</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(2,513)</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75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reported no revenue for the quarters ended June 30, 2017 or 2016 and we presently have no recurring revenue generating arrangements with respect to AV-101 or other potential product candidates. While we may potentially receive future milestone payments and royalties under the BlueRock Agreement we entered in December 2016, in the event certain performance-based milestones and commercial sales are achieved, there can be no assurance that the BlueRock Agreement will provide additional revenue to us in the near term or at all.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Research and development expense, including both cash and noncash components, totaled $1,096,200 for the quarter ended June 30, 2017, an increase of approximately 33% compared to the $825,700 reported for the quarter ended June 30, 2016. Noncash expenses, including stock compensation, depreciation and a portion of rent expense in both periods totaled approximately $251,000 and $48,000 in the quarters ended June 30, 2017 and 2016, respectively. Current period expense reflects the increasing impact of our continued nonclinical and clinical development of AV-101, particularly our preparations for the launch of the AV-101 MDD Phase 2 Adjunctive Treatment Study, which is currently anticipated in the first quarter of 2018, subject to securing adequate financing. The following table indicates the primary components of research and development expense for each of the periods (amounts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AV-101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Stem cell and all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1,096</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increase in salaries and benefits reflects the impact of the hiring of our Chief Medical Officer (</w:t>
      </w:r>
      <w:r>
        <w:rPr>
          <w:rFonts w:ascii="Arial" w:cs="Arial" w:eastAsia="Arial" w:hAnsi="Arial"/>
          <w:sz w:val="18"/>
          <w:szCs w:val="18"/>
          <w:i w:val="1"/>
          <w:iCs w:val="1"/>
          <w:color w:val="auto"/>
        </w:rPr>
        <w:t>CMO</w:t>
      </w:r>
      <w:r>
        <w:rPr>
          <w:rFonts w:ascii="Arial" w:cs="Arial" w:eastAsia="Arial" w:hAnsi="Arial"/>
          <w:sz w:val="18"/>
          <w:szCs w:val="18"/>
          <w:color w:val="auto"/>
        </w:rPr>
        <w:t>) in June 2016, and salary increases granted to our Chief Scientific Officer (</w:t>
      </w:r>
      <w:r>
        <w:rPr>
          <w:rFonts w:ascii="Arial" w:cs="Arial" w:eastAsia="Arial" w:hAnsi="Arial"/>
          <w:sz w:val="18"/>
          <w:szCs w:val="18"/>
          <w:i w:val="1"/>
          <w:iCs w:val="1"/>
          <w:color w:val="auto"/>
        </w:rPr>
        <w:t>CSO</w:t>
      </w:r>
      <w:r>
        <w:rPr>
          <w:rFonts w:ascii="Arial" w:cs="Arial" w:eastAsia="Arial" w:hAnsi="Arial"/>
          <w:sz w:val="18"/>
          <w:szCs w:val="18"/>
          <w:color w:val="auto"/>
        </w:rPr>
        <w:t>) in June 2016 and to the non-officer members of our scientific staff in June 2017 and June 2016.</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Stock based compensation expense increased in the current period primarily as a result of the routine amortization of option grants made to our CSO, CMO and scientific staff in April 2017 and November 2016, plus the new-hire grant made to our CMO in June 2016. These grants are being amortized over a three-year or four-year vesting period based on the terms of the respective grants. Substantially all option grants made prior to September 2015 were fully-vested and fully-expensed prior to the quarter ended June 30, 2017.</w:t>
      </w:r>
    </w:p>
    <w:p>
      <w:pPr>
        <w:sectPr>
          <w:pgSz w:w="11900" w:h="16838" w:orient="portrait"/>
          <w:cols w:equalWidth="0" w:num="1">
            <w:col w:w="11420"/>
          </w:cols>
          <w:pgMar w:left="240" w:top="108" w:right="239" w:bottom="10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049" w:gutter="0" w:footer="0" w:header="0"/>
          <w:type w:val="continuous"/>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Consulting services reflects fees paid or accrued for scientific, nonclinical and clinical development and regulatory advisory services rendered to us by third-parties, primarily by members of our scientific and CNS clinical and regulatory advisory boards. The reduction in expense in the current period primarily reflects the change in terms of consulting agreements with our stem cell-related scientific advisory board members.</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Technology license expense reflects both recurring annual fees as well as legal counsel and other costs related to patent prosecution and protection pursuant to our stem cell technology license agreements or have elected to pursue for commercial purposes. We recognize these costs as they are invoiced to us by the licensors and they do not occur ratably throughout the year or between years. In both periods, but to a greater extent in the quarter ended June 30, 2016, this expense includes legal counsel and other costs we have incurred to advance in the U.S. and numerous foreign countries numerous pending patent applications with respect to AV-101 and our stem cell technology platform.</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AV-101 project expense for the quarter ended June 30, 2017 includes continuing costs incurred to develop more efficient and cost-effective proprietary manufacturing methods for AV-101, and to produce clinical trial material for the AV-101 MDD Phase 2 Adjunctive Treatment Study, as well as costs incurred for certain other nonclinical trial analyses to facilitate further clinical development of AV-101 in MDD and potentially for other indications. The increase in stem cell and other project related expenses for the quarter ended June 30, 2017 primarily reflects in-house costs associated with our participation in the FDA’s Comprehensive In Vitro Proarrhythmia Assay (</w:t>
      </w:r>
      <w:r>
        <w:rPr>
          <w:rFonts w:ascii="Arial" w:cs="Arial" w:eastAsia="Arial" w:hAnsi="Arial"/>
          <w:sz w:val="16"/>
          <w:szCs w:val="16"/>
          <w:i w:val="1"/>
          <w:iCs w:val="1"/>
          <w:color w:val="auto"/>
        </w:rPr>
        <w:t>CiPA</w:t>
      </w:r>
      <w:r>
        <w:rPr>
          <w:rFonts w:ascii="Arial" w:cs="Arial" w:eastAsia="Arial" w:hAnsi="Arial"/>
          <w:sz w:val="16"/>
          <w:szCs w:val="16"/>
          <w:color w:val="auto"/>
        </w:rPr>
        <w:t>) project and other in-house stem cell technology-related initiatives.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rent expense for the quarter ended June 30, 2017 reflects both the impact of the scheduled rent increase effective in August 2016 as well as the impact of accounting for the November 2016 lease amendment extending the lease of our headquarters facilities by five years from July 31, 2017 to July 31,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General and administrative expense, including both cash and noncash components, increased slightly to approximately $1,165,000 from $1,138,000, for the quarters ended June 30, 2017 and 2016, respectively. Noncash expense, including, in both periods, stock compensation expense, a portion of investor relations and investment banking expenses, and a portion of rent expense, and, in 2016, warrant modification expense, aggregated approximately $253,000 and $443,000 for the quarters ended June 30, 2017 and 2016, respectively. The modest overall increase in general and administrative expenses was primarily attributable to increased salary and benefits and noncash stock compensation expenses offset by a reduction in professional services fees. The following table indicates the primary components of general and administrative expenses, including noncash stock compensation expense, for each of the periods (amounts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Board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increase in salaries and benefits reflects the impact of the hiring of our Vice President of Corporate Development </w:t>
      </w:r>
      <w:r>
        <w:rPr>
          <w:rFonts w:ascii="Arial" w:cs="Arial" w:eastAsia="Arial" w:hAnsi="Arial"/>
          <w:sz w:val="18"/>
          <w:szCs w:val="18"/>
          <w:i w:val="1"/>
          <w:iCs w:val="1"/>
          <w:color w:val="auto"/>
        </w:rPr>
        <w:t>(VP-Corporate Development</w:t>
      </w:r>
      <w:r>
        <w:rPr>
          <w:rFonts w:ascii="Arial" w:cs="Arial" w:eastAsia="Arial" w:hAnsi="Arial"/>
          <w:sz w:val="18"/>
          <w:szCs w:val="18"/>
          <w:color w:val="auto"/>
        </w:rPr>
        <w:t>) in September 2016 and salary increases granted in June 2016 to our Chief Executive Officer (</w:t>
      </w:r>
      <w:r>
        <w:rPr>
          <w:rFonts w:ascii="Arial" w:cs="Arial" w:eastAsia="Arial" w:hAnsi="Arial"/>
          <w:sz w:val="18"/>
          <w:szCs w:val="18"/>
          <w:i w:val="1"/>
          <w:iCs w:val="1"/>
          <w:color w:val="auto"/>
        </w:rPr>
        <w:t>CEO</w:t>
      </w:r>
      <w:r>
        <w:rPr>
          <w:rFonts w:ascii="Arial" w:cs="Arial" w:eastAsia="Arial" w:hAnsi="Arial"/>
          <w:sz w:val="18"/>
          <w:szCs w:val="18"/>
          <w:color w:val="auto"/>
        </w:rPr>
        <w:t>) and Chief Financial Officer (</w:t>
      </w:r>
      <w:r>
        <w:rPr>
          <w:rFonts w:ascii="Arial" w:cs="Arial" w:eastAsia="Arial" w:hAnsi="Arial"/>
          <w:sz w:val="18"/>
          <w:szCs w:val="18"/>
          <w:i w:val="1"/>
          <w:iCs w:val="1"/>
          <w:color w:val="auto"/>
        </w:rPr>
        <w:t>CFO</w:t>
      </w:r>
      <w:r>
        <w:rPr>
          <w:rFonts w:ascii="Arial" w:cs="Arial" w:eastAsia="Arial" w:hAnsi="Arial"/>
          <w:sz w:val="18"/>
          <w:szCs w:val="18"/>
          <w:color w:val="auto"/>
        </w:rPr>
        <w:t>), and in June 2017 and June 2016 to a non-officer member of our administrative staff.</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Stock based compensation expense increased in the current period primarily as a result of the routine amortization of option grants to independent members of our Board of Directors and our CEO, CFO and administrative staff in April 2017 and November 2016, plus the new-hire grant made to our VP-Corporate Development in September 2016. These grants are being amortized over a three-year or four-year vesting period based on the terms of the respective grants. Substantially all option grants made prior to September 2015 were fully-vested and fully-expensed prior to the quarter ended June 30, 2017.</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Board fees includes fees recognized for the services of independent members of our Board of Directors. The Board modified committee assignments effective in April 2017, resulting in the slight increase in expense.</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Legal, accounting and other professional fees for the quarters ended June 30, 2017 and 2016 includes expense related to routine legal fees as well as the accounting expense related to the annual audit of the prior year’s financial statements and the review of the financial statements for the first quarter of the current fiscal year. We incurred no non-cash expense in the quarter ended June 30, 2017. Noncash expense for the quarter ended June 30, 2016 included approximately $338,000 recognized pursuant to the June 30, 2015 grant of an aggregate of 90,000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having an aggregate fair value of $1,350,000 as compensation for financial advisory and corporate development service contracts with two independent providers for services to be performed through June 30, 2016.</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Investor relations expense includes the fees of our various external service providers for a broad spectrum of investor relations and market awareness and support functions, as well as initiatives that included numerous meetings in multiple U.S. markets and other communication activities focused on expanding market awareness of the Company, including among registered investment professionals and investment advisors, and individual and institutional investors. In the quarter ended June 30, 2017, in addition to cash fees and expenses we incurred, we granted 25,000 unregistered shares of our common stock to an investor relations and awareness service provider as partial compensation for its services and recognized noncash expense of approximately $50,000, representing the fair value of the stock at the time of issuance. We did not recognize any noncash investor relations expense in the quarter ended June 30, 2016.</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both periods, travel expense reflects costs associated with presentations to and meetings in multiple U.S. markets with existing and potential individual and institutional investors, investment professionals and advisors, media, and securities analysts, as well as various investor relations, market awareness and corporate development initiatives.</w:t>
      </w:r>
    </w:p>
    <w:p>
      <w:pPr>
        <w:spacing w:after="0" w:line="194"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The increase in rent expense for the quarter ended June 30, 2017 reflects the impact of the scheduled rent increase effective in August 2016 as well as the impact of accounting for the November 2016 lease amendment extending the lease of our headquarters facilities by five years from July 31, 2017 to July 31, 2022.</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April and May 2016, we entered into warrant exchange agreements with certain warrant holders pursuant to which the warrant holders exchanged outstanding warrants to purchase an aggregate of 41,649 shares of our common stock for an aggregate of 31,238 shares of our unregistered common stock. As we had with similar prior transactions, we accounted for these transactions as warrant modifications, resulting in our recognition of approximately $40,000 in noncash expense in the quarter ended June 30, 2016. We had no such transactions during the quarter ended June 30,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 Net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net totaled $2,400 for the quarter ended June 30, 2017 compared to $1,400 reported for the quarter ended June 30, 2016. Interest expense in both periods relates to interest paid on insurance premium financing and on a capital lease of office equipment.</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recognized $247,300 and $539,800 for the quarters ended June 30, 2017 and 2016, respectively, representing the 10% cumulative dividend payable on our Series B Preferred as an additional deduction in arriving at net loss attributable to common stockholders in the accompanying Condensed Consolidated Statement of Operations and Comprehensive Loss included in Part I of this Report. The reduction in the quarterly dividend accrual results from the automatic conversion of an aggregate of 2,403,051 shares of Series B Preferred into an equal number of shares of our common stock upon our completion of our May 2016 public offering of shares of our common stock and warrants, and a subsequent voluntary conversion of 87,500 shares of our Series B Preferred in August 2016. There has been no change in the number of Series B Preferred shares outstanding since August 2016.</w:t>
      </w:r>
    </w:p>
    <w:p>
      <w:pPr>
        <w:spacing w:after="0" w:line="1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quarter ended June 30, 2016, we allocated the proceeds from our self-placed private placement sales of Series B Preferred Units to the Series B Preferred stock and the Series B Warrants based on their relative fair values on the dates of the sales. The difference between the relative fair value per share of the Series B Preferred, approximately $4.20 per share, and its Conversion Price (or stated value) of $7.00 per share represented a deemed dividend to the purchasers of the Series B Preferred Units. Accordingly, we recognized a deemed dividend in the aggregate amount of $111,100 in arriving at net loss attributable to common stockholders for the quarter ended June 30, 2016 in the accompanying Condensed Consolidated Statement of Operations and Comprehensive Loss included in Part I of this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From our inception in May 1998 through June 30, 2017, we have financed our operations and technology acquisitions primarily through the issuance and sale of our equity and debt securities, including convertible promissory notes and short-term promissory notes, for cash proceeds of approximately $45.5 million, as well as from an aggregate of approximately $17.6 million of government research grant awards, strategic collaboration payments, intellectual property sublicensing and other revenues. We have also issued equity securities with an approximate aggregate value at issuance of $30.8 million in non-cash settlements of certain liabilities, including liabilities for professional services rendered to us or as compensation for such services. Additionally, pursuant to our February 2015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with the NIH, substantial ongoing Phase 2 clinical development activities relating to AV-101 as a potential new generation antidepressant are being sponsored in full, at no cost to us other than supplying clinical trial material, by the NIMH under the direction of Dr. Carlos Zarate Jr. as Principal Investigator.</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Between late-March 2017 and June 30, 2017, we sold to accredited investors, in a self-placed private placement, units consisting of an aggregate of 495,001 unregistered shares of our common stock and warrants to purchase an aggregate of 247,500 unregistered shares of our common stock pursuant to which we received proceeds of approximately $1.0 million (the </w:t>
      </w:r>
      <w:r>
        <w:rPr>
          <w:rFonts w:ascii="Arial" w:cs="Arial" w:eastAsia="Arial" w:hAnsi="Arial"/>
          <w:sz w:val="16"/>
          <w:szCs w:val="16"/>
          <w:i w:val="1"/>
          <w:iCs w:val="1"/>
          <w:color w:val="auto"/>
        </w:rPr>
        <w:t>Spring 2017 Private Placement</w:t>
      </w:r>
      <w:r>
        <w:rPr>
          <w:rFonts w:ascii="Arial" w:cs="Arial" w:eastAsia="Arial" w:hAnsi="Arial"/>
          <w:sz w:val="16"/>
          <w:szCs w:val="16"/>
          <w:color w:val="auto"/>
        </w:rPr>
        <w:t>), resulting in our cash and cash equivalents balance of $1.6 million at June 30, 2017. In August 2017, in a self-placed private placement transaction, we sold to an accredited investor units consisting of 28,572 shares of our unregistered common stock and warrants to purchase 28,572 unregistered shares of our common stock at an exercise price of $4.00 per share. We received cash proceeds of $50,000 from this sale of our securities. Our cash balance at June 30, 2017 plus the proceeds from subsequent sales of our securities was not sufficient to enable us to fund our planned operations, including expected cash expenditures of approximately $12 million for the next twelve months, including expenditures required to further prepare for, launch and satisfy a significant portion of the projected expenses associated with our proposed AV-101 MDD Phase 2 Adjunctive Treatment Study.</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Although our current financial resources are not yet sufficient to fully fund completion of the AV-101 MDD Phase 2 Adjunctive Treatment Study, we anticipate, as we have numerous times in the past, raising sufficient additional capital as and when necessary and advisable to sustain our operations and achieve our key corporate objectives through at least the next twelve months, including initiating and conducting the AV-101 MDD Phase 2 Adjunctive Treatment Study in an ordinary course manner. We expect to secure additional capital primarily through the sale of our equity securities in one or more private placements to accredited investors or public offerings. We have filed a Registration Statement on Form S-3 (Registration No. 333-215671) (the </w:t>
      </w:r>
      <w:r>
        <w:rPr>
          <w:rFonts w:ascii="Arial" w:cs="Arial" w:eastAsia="Arial" w:hAnsi="Arial"/>
          <w:sz w:val="16"/>
          <w:szCs w:val="16"/>
          <w:i w:val="1"/>
          <w:iCs w:val="1"/>
          <w:color w:val="auto"/>
        </w:rPr>
        <w:t>S-3 Registration Statement</w:t>
      </w:r>
      <w:r>
        <w:rPr>
          <w:rFonts w:ascii="Arial" w:cs="Arial" w:eastAsia="Arial" w:hAnsi="Arial"/>
          <w:sz w:val="16"/>
          <w:szCs w:val="16"/>
          <w:color w:val="auto"/>
        </w:rPr>
        <w:t xml:space="preserve">) that has been declared effective by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to cover our potential future sale of our equity securities in one or more public offerings from time to time. As of the date of this Report, we have not yet sold any securities under the S-3 Registration Statement, nor do we have an obligation to do so. There can, however, be no assurance that future financing will be available in sufficient amounts, in a timely manner, or on terms acceptable to us, if at all. Further, at June 30, 2017, we had a limited number of unallocated or unreserved shares of our common stock available for issuance in future offerings or for other purposes. To facilitate potential future issuances and sales of our equity securities for ordinary corporate finance and general corporate purposes, our Board of Directors (</w:t>
      </w:r>
      <w:r>
        <w:rPr>
          <w:rFonts w:ascii="Arial" w:cs="Arial" w:eastAsia="Arial" w:hAnsi="Arial"/>
          <w:sz w:val="16"/>
          <w:szCs w:val="16"/>
          <w:i w:val="1"/>
          <w:iCs w:val="1"/>
          <w:color w:val="auto"/>
        </w:rPr>
        <w:t>Board</w:t>
      </w:r>
      <w:r>
        <w:rPr>
          <w:rFonts w:ascii="Arial" w:cs="Arial" w:eastAsia="Arial" w:hAnsi="Arial"/>
          <w:sz w:val="16"/>
          <w:szCs w:val="16"/>
          <w:color w:val="auto"/>
        </w:rPr>
        <w:t>) has approved an amendment to our Restated and Amended Articles of Incorporation to increase the number of shares of common stock available for issuance thereunder from 30 million shares to 100 million shares, an amount our Board has determined is customary and appropriate for a Nasdaq-listed, clinical-stage biopharmaceutical company. Before taking effect, this amendment must be approved by a majority of our stockholders at our 2017 annual meeting of stockholders in September 2017.</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may also seek research and development collaborations that could generate revenue, funding for development of AV-101 and additional product candidates, as well as additional government grant awards and agreements similar to our current CRADA with the NIMH, which provides for the NIMH to fully fund the NIMH’s ongoing NIMH AV-101 MDD Phase 2 Monotherapy Study. Such strategic collaborations may provide non-dilutive resources to advance our strategic initiatives while reducing a portion of our future cash outlays and working capital requirements. In a manner similar to the BlueRock Agreement, we may also pursue similar arrangements with third-parties covering other of our intellectual property. Although we may seek additional collaborations that could generate revenue and/or non-dilutive funding for development of AV-101 and other product candidates, as well as new government grant awards and/or agreements similar to our CRADA with NIMH, no assurance can be provided that any such collaborations, awards or agreements will occur in the future.</w:t>
      </w:r>
    </w:p>
    <w:p>
      <w:pPr>
        <w:spacing w:after="0" w:line="17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AV-101 as an adjunctive treatment for MDD and other potential CNS conditions, and various applications of our stem cell technology platform, the availability of, and our ability to obtain, government grant awards and agreements,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our employee headcount and related expenses, as well as the timing of and projected costs relating to key research and development projects, including our expenses associated with our proposed AV-101 MDD Phase 2 Adjunctive Treatment Study, regulatory consulting, CRO services, investor relations and corporate development, legal, acquisition and protection of intellectual property, public company compliance and other professional services and working capital costs.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Notwithstanding the foregoing, substantial additional financing may not be available to us on a timely basis, on acceptable terms, or at all. If we are unable to obtain substantial additional financing on a timely basis when needed in 2017 and beyond,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(2,134)</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9,744</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(1,293)</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w:t>
            </w:r>
          </w:p>
        </w:tc>
        <w:tc>
          <w:tcPr>
            <w:tcW w:w="280" w:type="dxa"/>
            <w:vAlign w:val="bottom"/>
          </w:tcPr>
          <w:p>
            <w:pPr>
              <w:spacing w:after="0"/>
              <w:rPr>
                <w:sz w:val="18"/>
                <w:szCs w:val="18"/>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Off-Balance Sheet Arrangements</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88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color w:val="auto"/>
              </w:rPr>
              <w:t>We have no off-balance sheet arrangements.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8040" w:type="dxa"/>
            <w:vAlign w:val="bottom"/>
          </w:tcPr>
          <w:p>
            <w:pPr>
              <w:ind w:left="240"/>
              <w:spacing w:after="0"/>
              <w:rPr>
                <w:sz w:val="20"/>
                <w:szCs w:val="20"/>
                <w:color w:val="auto"/>
              </w:rPr>
            </w:pPr>
            <w:r>
              <w:rPr>
                <w:rFonts w:ascii="Arial" w:cs="Arial" w:eastAsia="Arial" w:hAnsi="Arial"/>
                <w:sz w:val="18"/>
                <w:szCs w:val="18"/>
                <w:b w:val="1"/>
                <w:bCs w:val="1"/>
                <w:color w:val="auto"/>
              </w:rPr>
              <w:t>CONTROLS AND PROCEDURES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our Annual Report on Form 10-K for our fiscal year ended March 31, 2017 filed with the Securities and Exchange Commission on June 29, 2017, we identified two material weaknesses in our internal control over financial reporting relating to (i) segregation of duties and (ii) the functionality of our accounting software. Management has determined that current resources would be more appropriately applied elsewhere and when resources permit, they will alleviate such material weaknesses through various steps, which may include the addition of qualified financial personnel and/or the acquisition and implementation of alternative accounting software. Accordingly, there was no change in our internal control over financial reporting (as defined in Rule 13a-15(f) of the Exchange Act) that occurred during the fiscal quarter to which this Report relates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Investing in our securities involves a high degree of risk. You should consider carefully the risks and uncertainties described below, together with all of the other information in this Quarterly Report on Form 10-Q (Report) and in our Annual Report on Form 10-K filed with the Securities and Exchange Commission for the fiscal year ended March 31, 2017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18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currently have no drug products for sale and may never be able to develop and commercialize marketable drug products. Our business depends heavily on the successful development, regulatory approval and commercialization of AV-101 for depression, including for MDD, and, potentially, various other diseases and disorders involving the CNS, as well as, but to a more limited extent, our ability to produce, develop and commercialize NCEs from our drug rescue programs. AV-101 will require substantial additional non-clinical and clinical development, testing and regulatory approval before it may be commercialized. It is unlikely to achieve regulatory approval, if at all, until at least 2021. Each drug rescue NCE will require substantial non-clinical development, all phases of clinical development, and regulatory approval before it may be commercialized. The non-clinical and clinical development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studies and clinical trials that the product candidate is safe and effective for use in each target indication. Drug development is a long, expensive and uncertain process, and delay or failure can occur at any stage of any of our non-clinical or clinical studies. This process can take many years and may also include post-marketing studies and surveillance, which will require the expenditure of substantial resources beyond the proceeds we have raised to date. Of the large number of drugs in development in the United States, only a small percentage will successfully complete the FDA regulatory approval process and will be commercialized. Accordingly, even if we are able to obtain the requisite financing to continue to fund our non-clinical and clinical studies, we cannot assure you that AV-101, any drug rescue NCE, or any other future product candidate will be successfully developed or commercialized.</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not permitted to market our product candidates in the United States until we receive approval of a New Drug Application (</w:t>
      </w:r>
      <w:r>
        <w:rPr>
          <w:rFonts w:ascii="Arial" w:cs="Arial" w:eastAsia="Arial" w:hAnsi="Arial"/>
          <w:sz w:val="18"/>
          <w:szCs w:val="18"/>
          <w:i w:val="1"/>
          <w:iCs w:val="1"/>
          <w:color w:val="auto"/>
        </w:rPr>
        <w:t>NDA</w:t>
      </w:r>
      <w:r>
        <w:rPr>
          <w:rFonts w:ascii="Arial" w:cs="Arial" w:eastAsia="Arial" w:hAnsi="Arial"/>
          <w:sz w:val="18"/>
          <w:szCs w:val="18"/>
          <w:color w:val="auto"/>
        </w:rPr>
        <w:t>) from the FDA, or in any foreign countries until we receive the requisite approval from such countries. We expect the FDA to require us to complete the planned AV-101 MDD Phase 2 Adjunctive Treatment Study and at least two pivotal Phase 3 clinical trials in order to submit an NDA for AV-101 as an adjunctive treatment for MDD patients with an inadequate response to standard, FDA-approved antidepressants. Also, we anticipate that the FDA will require that we conduct additional toxicity studies, additional non-clinical and certain small clinical studies before submitting an NDA for AV-101. The results of all of these studies are not known until after the studies are concluded.</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Obtaining FDA approval of an NDA is a complex, lengthy, expensive and uncertain process, and the FDA may delay, limit or deny approval of AV-101 or any of our product candidates for many reasons, including, among others:</w:t>
      </w:r>
    </w:p>
    <w:p>
      <w:pPr>
        <w:spacing w:after="0" w:line="186" w:lineRule="exact"/>
        <w:rPr>
          <w:sz w:val="20"/>
          <w:szCs w:val="20"/>
          <w:color w:val="auto"/>
        </w:rPr>
      </w:pPr>
    </w:p>
    <w:p>
      <w:pPr>
        <w:jc w:val="both"/>
        <w:ind w:left="980" w:hanging="486"/>
        <w:spacing w:after="0" w:line="306"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submit an NDA and it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60" w:lineRule="exact"/>
        <w:rPr>
          <w:rFonts w:ascii="Arial" w:cs="Arial" w:eastAsia="Arial" w:hAnsi="Arial"/>
          <w:sz w:val="16"/>
          <w:szCs w:val="16"/>
          <w:color w:val="auto"/>
        </w:rPr>
      </w:pPr>
    </w:p>
    <w:p>
      <w:pPr>
        <w:ind w:left="980" w:hanging="486"/>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FDA may require development of a Risk Evaluation and Mitigation Strategy ( </w:t>
      </w:r>
      <w:r>
        <w:rPr>
          <w:rFonts w:ascii="Arial" w:cs="Arial" w:eastAsia="Arial" w:hAnsi="Arial"/>
          <w:sz w:val="16"/>
          <w:szCs w:val="16"/>
          <w:i w:val="1"/>
          <w:iCs w:val="1"/>
          <w:color w:val="auto"/>
        </w:rPr>
        <w:t>REMS</w:t>
      </w:r>
      <w:r>
        <w:rPr>
          <w:rFonts w:ascii="Arial" w:cs="Arial" w:eastAsia="Arial" w:hAnsi="Arial"/>
          <w:sz w:val="16"/>
          <w:szCs w:val="16"/>
          <w:color w:val="auto"/>
        </w:rPr>
        <w:t>) as a condition of approval or post-approval;</w:t>
      </w:r>
    </w:p>
    <w:p>
      <w:pPr>
        <w:spacing w:after="0" w:line="248" w:lineRule="exact"/>
        <w:rPr>
          <w:rFonts w:ascii="Arial" w:cs="Arial" w:eastAsia="Arial" w:hAnsi="Arial"/>
          <w:sz w:val="16"/>
          <w:szCs w:val="16"/>
          <w:color w:val="auto"/>
        </w:rPr>
      </w:pPr>
    </w:p>
    <w:p>
      <w:pPr>
        <w:ind w:left="980" w:hanging="486"/>
        <w:spacing w:after="0" w:line="33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FDA or the applicable foreign regulatory agency may determine that the manufacturing processes or facilities of third-party contract manufacturers with which we contract do not conform to applicable requirements, including current Good Manufacturing Practices ( </w:t>
      </w:r>
      <w:r>
        <w:rPr>
          <w:rFonts w:ascii="Arial" w:cs="Arial" w:eastAsia="Arial" w:hAnsi="Arial"/>
          <w:sz w:val="16"/>
          <w:szCs w:val="16"/>
          <w:i w:val="1"/>
          <w:iCs w:val="1"/>
          <w:color w:val="auto"/>
        </w:rPr>
        <w:t>cGMPs</w:t>
      </w:r>
      <w:r>
        <w:rPr>
          <w:rFonts w:ascii="Arial" w:cs="Arial" w:eastAsia="Arial" w:hAnsi="Arial"/>
          <w:sz w:val="16"/>
          <w:szCs w:val="16"/>
          <w:color w:val="auto"/>
        </w:rPr>
        <w:t>); or</w:t>
      </w:r>
    </w:p>
    <w:p>
      <w:pPr>
        <w:spacing w:after="0" w:line="139" w:lineRule="exact"/>
        <w:rPr>
          <w:rFonts w:ascii="Arial" w:cs="Arial" w:eastAsia="Arial" w:hAnsi="Arial"/>
          <w:sz w:val="16"/>
          <w:szCs w:val="16"/>
          <w:color w:val="auto"/>
        </w:rPr>
      </w:pPr>
    </w:p>
    <w:p>
      <w:pPr>
        <w:ind w:left="980" w:hanging="48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AV-101 or any other product candidate we may develop, including drug rescue NCEs. Any such setback in our pursuit of regulatory approval for any product candidate would have a material adverse effect on our business and prospects.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intend to seek a Fast Track designation from the FDA for AV-101, initially for adjunctive treatment of MDD patients with an inadequate response to standard antidepressants. Even if the FDA approves Fast Track designation for AV-101 for this indication, it may not actually lead to a faster development or regulatory review or approval process.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Fast Track designation is a program offered by the FDA pursuant to certain mandates under the FDA Modernization Act of 1997, designed to facilitate drug development and to expedite the review of new drugs that are intended to treat serious or life threatening conditions. Compounds selected must demonstrate the potential to address unmet medical needs. The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approval or expedited approval of any application for the product.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intend to seek FDA Fast Track designation for AV-101, initially for adjunctive treatment of MDD patients with an inadequate response to standard antidepressants, and we may do so for other CNS indications, as well as for other product candidates. The FDA has broad discretion whether or not to grant a Fast Track designation, and even if we believe AV-101 and other product candidates are eligible for this designation, we cannot be sure that the review or approval will compare to conventional FDA procedures. Even if granted, the FDA may withdraw Fast Track designation if it believes that the designation is no longer supported by data from our clinical development programs.</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number of patients suffering from MDD has not been established with precision. If the actual number of patients with MDD is smaller than we anticipate, we or our collaborators may encounter difficulties in enrolling patients in AV-101 clinical trials, including the NIMH AV-101 MDD Phase 2 Monotherapy Study and our planned AV-101 MDD Phase 2 Adjunctive Treatment Study, thereby delaying completion such studies or preventing additional clinical development. Further, if AV-101 is approved for adjunctive treatment of MDD patients with an inadequate response to standard antidepressants, and the market for this indication is smaller than we anticipate, our ability to achieve profitability could be limited.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preclinical studies and early clinical trials of AV-101 and other product candidates, including positive results,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9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approval. We have not yet completed a Phase 2 clinical trial for AV-101, and if the NIMH fails to produce positive results in the NIMH AV-101 MDD Phase 2 Monotherapy Study, the development timeline and regulatory approval and commercialization prospects for AV-101 and, correspondingly, our business and financial prospects, could be materially adversely affected.</w:t>
      </w:r>
    </w:p>
    <w:p>
      <w:pPr>
        <w:spacing w:after="0" w:line="16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drug candidate development risk is heightened by any changes in planned timing or nature of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are identified during the use of AV-101 in clinical trials, it may adversely affect our development of AV-101 for MDD and other CNS indications.</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AV-101 as a monotherapy is currently being tested by the NIMH in an NIMH-investigator sponsored Phase 2 clinical trial for the treatment of MDD and may be subjected to testing in the future for other CNS indications in additional investigator sponsored clinical trials. If serious adverse events or other undesirable side effects, or unexpected characteristics of AV-101 are observed in investigator sponsored clinical trials of AV-101 or our clinical trials, it may adversely affect or delay our clinical development of AV-101, and the occurrence of these events would have a material adverse effect on our business.</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Failures or delays in the commencement or completion of our planned clinical trials and non-clinical studies of our product candidates could result in increased costs to us and could delay, prevent or limit our ability to generate revenue and continue our business.</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Under our CRADA, the NIMH is conducting and funding the NIMH AV-101 MDD Phase2 Monotherapy Study. We will need to complete the planned AV-101 MDD Phase 2 Adjunctive Treatment Study, at least two additional large Phase 2b/3 clinical trials, additional toxicity and non-clinical studies and certain smaller clinical studies prior to the submission of an NDA for AV-101 as a new generation adjunctive treatment for MDD. Successful completion of our clinical trials is a prerequisite to submitting an NDA to the FDA and, consequently, the ultimate approval and commercial marketing of AV-101 for MDD and any other product candidates we may develop. We do not know whether the NIMH AV-101 MDD Phase 2 Monotherapy Study, the AV-101 MDD Phase 2 Adjunctive Treatment Study or any of our future-planned non-clinical and clinical trials will be completed on schedule, if at all, as the commencement and completion of non-clinical and clinical trials can be delayed or prevented for a number of reasons, including, among others:</w:t>
      </w:r>
    </w:p>
    <w:p>
      <w:pPr>
        <w:spacing w:after="0" w:line="172" w:lineRule="exact"/>
        <w:rPr>
          <w:sz w:val="20"/>
          <w:szCs w:val="20"/>
          <w:color w:val="auto"/>
        </w:rPr>
      </w:pPr>
    </w:p>
    <w:p>
      <w:pPr>
        <w:ind w:left="980" w:hanging="486"/>
        <w:spacing w:after="0" w:line="26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may deny permission to proceed with our planned clinical trials or any other clinical trials we may initiate, or may place a planned or ongoing clinical trial on hold;</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filing or receiving approvals of additional INDs that may be required;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results from our ongoing non-clinical studies;</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185" w:lineRule="exact"/>
        <w:rPr>
          <w:rFonts w:ascii="Arial" w:cs="Arial" w:eastAsia="Arial" w:hAnsi="Arial"/>
          <w:sz w:val="18"/>
          <w:szCs w:val="18"/>
          <w:color w:val="auto"/>
        </w:rPr>
      </w:pPr>
    </w:p>
    <w:p>
      <w:pPr>
        <w:ind w:left="980" w:right="20" w:hanging="486"/>
        <w:spacing w:after="0" w:line="26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non-clinical or clinical trials, for example delays in the manufacturing of sufficient supply of finished drug product;</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difficulties obtaining Institutional Review Board (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site or sites;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clinical trial sites;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980" w:hanging="486"/>
        <w:spacing w:after="0" w:line="26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eligibility criteria for the clinical trial, the nature of the clinical trial protocol, the availability of approved effective treatments for the relevant disease and competition from other clinical trial programs for similar indications;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indications or therapies that raise safety or efficacy concerns; and</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trials, lack of efficacy, side effects, personal issues or loss of interest.</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Clinical trials may also be delayed or terminated prior to completion as a result of ambiguous or negative interim results. In addition, a clinical trial may be suspended or terminated by us, the FDA, the IRBs at the sites where the IRBs are overseeing a clinical trial, a data and safety monitoring board (</w:t>
      </w:r>
      <w:r>
        <w:rPr>
          <w:rFonts w:ascii="Arial" w:cs="Arial" w:eastAsia="Arial" w:hAnsi="Arial"/>
          <w:sz w:val="16"/>
          <w:szCs w:val="16"/>
          <w:i w:val="1"/>
          <w:iCs w:val="1"/>
          <w:color w:val="auto"/>
        </w:rPr>
        <w:t>DSMB</w:t>
      </w:r>
      <w:r>
        <w:rPr>
          <w:rFonts w:ascii="Arial" w:cs="Arial" w:eastAsia="Arial" w:hAnsi="Arial"/>
          <w:sz w:val="16"/>
          <w:szCs w:val="16"/>
          <w:color w:val="auto"/>
        </w:rPr>
        <w:t>), overseeing the clinical trial at issue or other regulatory authorities due to a number of factors, including, among others:</w:t>
      </w:r>
    </w:p>
    <w:p>
      <w:pPr>
        <w:spacing w:after="0" w:line="161" w:lineRule="exact"/>
        <w:rPr>
          <w:sz w:val="20"/>
          <w:szCs w:val="20"/>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our ongoing non-clinical carcinogenicity studies, adverse side effects or lack of effectiveness;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lack of adequate funding to continue clinical trials.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Changes in regulatory requirements, FDA guidance or unanticipated events during our non-clinical studies and clinical trials of our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Changes in regulatory requirements, FDA guidance or unanticipated events during our non-clinical studies and clinical trials may force us to amend non-clinical studies and clinical trial protocols or the FDA may impose additional non-clinical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our product candidates may be harmed and our ability to generate product revenue will be delayed.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rely, and expect that we will continue to rely, on third parties to conduct non-clinical and clinical trials of AV-101 and any other product candidates. If these third parties do not successfully carry out their contractual duties or meet expected deadlines, completion of non-clinical and clinical trials and development of AV-101 and other product candidates may be delayed and we may not be able to obtain regulatory approval for or commercialize AV-101 or other product candidates and our business could be substantially harmed.</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do not have the internal staff resources to independently conduct non-clinical and clinical trials completely on our own. We rely on our strategic relationships with various medical institutions, non-clinical and clinical investigators, contract laboratories and other third parties, such as contract research and development organizations (</w:t>
      </w:r>
      <w:r>
        <w:rPr>
          <w:rFonts w:ascii="Arial" w:cs="Arial" w:eastAsia="Arial" w:hAnsi="Arial"/>
          <w:sz w:val="16"/>
          <w:szCs w:val="16"/>
          <w:i w:val="1"/>
          <w:iCs w:val="1"/>
          <w:color w:val="auto"/>
        </w:rPr>
        <w:t>CROs</w:t>
      </w:r>
      <w:r>
        <w:rPr>
          <w:rFonts w:ascii="Arial" w:cs="Arial" w:eastAsia="Arial" w:hAnsi="Arial"/>
          <w:sz w:val="16"/>
          <w:szCs w:val="16"/>
          <w:color w:val="auto"/>
        </w:rPr>
        <w:t>), to conduct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third-parties for execution of non-clinical and clinical trials for our product candidates and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72" w:lineRule="exact"/>
        <w:rPr>
          <w:sz w:val="20"/>
          <w:szCs w:val="20"/>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have staffing difficulties and/or undertake obligations beyond their anticipated capabilities and resources;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in accordance with the applicable protocol, legal, regulatory and scientific requirements and standards, and our reliance on CROs or the NIH does not relieve us of our regulatory responsibilities. We and our CROs and the NIMH are required to comply with regulations and guidelines, including current cGCPs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any of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pacing w:after="0" w:line="39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Although we design our clinical trials for our product candidates, we plan to have CROs, and in the case of the NIMH AV-101 MDD Phase 2 Monotherapy Study, the NIMH, conduct the AV-101 Phase 2 and Phase 3 clinical trials. As a result, many important aspects of our drug development programs are outside of our direct control. In addition, the CROs or the NIMH, as the case may be,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NIMH or CROs do not perform clinical trials in a satisfactory manner, breach their obligations to us or fail to comply with regulatory requirements, the development and commercialization of AV-101 and other product candidates may be delayed or our development program materially and irreversibly harmed. We cannot control the amount and timing of resources these CROs or the NIMH devote to our program or our clinical products. If we are unable to rely on non-clinical and clinical data collected by our CROs or the NIMH, we could be required to repeat, extend the duration of, or increase the size of our clinical trials and this could significantly delay commercialization and require significantly greater expenditures.</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any of our relationships with these third-party CROs or the NIMH terminate, we may not be able to enter into arrangements with alternative CROs or collaborators. If CROs or the NIMH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that such CROs or the NIMH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rely completely on third-parties to manufacture and prepare our clinical supplies of AV-101 and other product candidates, and we intend to rely on third parties to produce non-clinical, clinical and commercial supplies of AV-101 and any future product candidate.</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do not currently have, nor do we plan to acquire, the infrastructure or capability to internally manufacture our drug supply of AV-101 or any other product candidates for use in the conduct of our non-clinical studies and clinical trials, and we lack the internal resources and the capability to manufacture any product candidates on a research, development or commercial scale. The facilities used by our contract manufacturers to manufacture the active pharmaceutical ingredient and final drug product must complete a pre-approval inspection by the FDA and other comparable foreign regulatory agencies to assess compliance with applicable requirements, including cGMPs, after we submit our NDA or relevant foreign regulatory submission to the applicable regulatory agency.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do not directly control the manufacturing process of, and are completely dependent on, our contract manufacturers to comply with cGMPs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In addition, we have no direct control over our contract manufacturers’ ability to maintain adequate quality control, quality assurance and qualified personnel. Furthermore, all of our contract manufacturers are engaged with other companies to supply and/or manufacture materials or products for such other companies, which exposes our third-party contract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If the FDA or an applicable foreign regulatory agency determines now or in the future that these facilities for the manufacture of our product candidates are noncompliant, we may need to find alternative manufacturing facilities, which would adversely impact our ability to develop, obtain regulatory approval for or market our product candidates. Our reliance on contract manufacturers also exposes us to the possibility that they, or third parties with access to their facilities, will have access to and may appropriate our trade secrets or other proprietary information.</w:t>
      </w:r>
    </w:p>
    <w:p>
      <w:pPr>
        <w:spacing w:after="0" w:line="18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do not yet have long-term supply agreements in place with our contract manufacturers and each batch of our product candidates are individually contracted under a quality and supply agreement. If we engage new contract manufacturers, such contractors must complete an inspection by the FDA and other applicable foreign regulatory agencies. We plan to continue to rely upon contract manufacturers and, potentially, collaboration partners, to manufacture research, development and commercial quantities of AV-101 and other product candidates, if approved. Our current scale of manufacturing for AV-101 is adequate to support our currently planned needs for additional non-clinical studies and clinical trials.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for and commercialize AV-101 and affect the prices we may obtain.</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the United States and some foreign jurisdictions, there have been, and we expect there will continue to be, a number of legislative and regulatory changes and proposed changes regarding the healthcare system, including the ACA, that could, among other things, prevent or delay marketing approval of AV-101, restrict or regulate post-approval activities, and affect our ability to profitably sell any products for which we obtain marketing approval.</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March 2010, the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law has continued the downward pressure on pharmaceutical pricing, especially under the Medicare program, and increased the industry’s regulatory burdens and operating costs. We cannot predict the full impact of the ACA on pharmaceutical companies, as many of the reforms require the promulgation of detailed regulations implementing the statutory provisions, some of which have not yet fully occurred.</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there have been judicial and Congressional challenges to certain aspects of the ACA, and we expect there will be additional challenges and amendments to the ACA in the future. In January 2017, the President of the United States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May 2017, the United States House of Representatives passed legislation known as the American Health Care Act, which, if enacted, would amend or repeal significant portions of the ACA. The United States Senate could adopt the American Health Care Act as passed by the United States House of Representatives or other legislation to amend or replace elements of the ACA. Thus, it is uncertain when or if the American Health Care Act will become law. We continue to evaluate the effect that the ACA and its possible repeal and replacement has on our business.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Other legislative changes have been proposed and adopted since the ACA was enacted. For example, in August 2011, the President of the United States signed into law the Budget Control Act of 2011, which, among other things, created the Joint Select Committee on Deficit Reduction to recommend to Congress proposals in spending reductions. The Joint Select Committee did not achieve a targeted deficit reduction of at least $1.2 trillion for the years 2013 through 2021, triggering the legislation’s automatic reduction to several government programs. This included further reductions to Medicare payments to providers of 2% per fiscal year, which went into effect in April 2013 and, due to subsequent legislative amendments to the statute, will stay in effect through 2025 unless additional Congressional action is taken. Additionally, in January 2013, the American Taxpayer Relief Act of 2012 was signed into law, which, among other things, reduced Medicare payments to several types of providers and increased the statute of limitations period in which the government may recover overpayments to providers from three to five years. Further, there have been several recent United States Congressional inquiries and proposed federal and state legislation designed to, among other things, bring more transparency to drug pricing, review the relationship between pricing and manufacturer patient programs, reduce the out-of-pocket cost of prescription drugs, and reform government program reimbursement methodologies for drugs.</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Moreover, the Drug Supply Chain Security Act, which was enacted in 2012 as part of the Food and Drug Administration Safety and Innovation Act, imposes new obligations on manufacturers of pharmaceutical products related to product tracking and tracing. Legislative and regulatory proposals have been made to expand post-approval requirements and restrict sales and promotional activities for pharmaceutical products. We are not sure whether additional legislative changes will be enacted, or whether the current regulations, guidance or interpretations will be changed, or what the impact of such changes on our business, if any, may be. In addition, increased scrutiny by the United States Congress of the FDA’s approval process may significantly delay or prevent marketing approval, as well as subject us to more stringent product labeling and post-marketing testing and other requirements.</w:t>
      </w:r>
    </w:p>
    <w:p>
      <w:pPr>
        <w:spacing w:after="0" w:line="17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in the United States, we may never receive regulatory approval to market our product candidates outside of the United States.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not yet selected any markets outside of the United States where we intend to seek regulatory approval to market our product candidates.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do not currently have an infrastructure for the sale, marketing and distribution of pharmaceutical products, nor do we intend to create such capabilities. Therefore, in order to market our product candidates, if approved by the FDA or any other regulatory body, we must make contractual arrangements with third parties to perform services related to sales, marketing, managerial and other non-technical capabilities relating to the commercialization of our product candidates. If we are unable to establish adequate contractual arrangements for such sales, marketing and distribution capabilities, or if we are unable to do so on commercially reasonable terms, our business, results of operations, financial condition and prospects will be materially adversely affected.</w:t>
      </w:r>
    </w:p>
    <w:p>
      <w:pPr>
        <w:spacing w:after="0" w:line="17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94" w:lineRule="exact"/>
        <w:rPr>
          <w:sz w:val="20"/>
          <w:szCs w:val="20"/>
          <w:color w:val="auto"/>
        </w:rPr>
      </w:pPr>
    </w:p>
    <w:p>
      <w:pPr>
        <w:jc w:val="both"/>
        <w:ind w:left="980" w:hanging="486"/>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94"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limitations or warnings contained in the labeling approved for our product candidates by the FDA or other applicable regulatory authorities;</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980" w:hanging="486"/>
        <w:spacing w:after="0" w:line="268"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Our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39"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Undesirable safety concerns and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13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67"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our product candidates, we may still face future development and regulatory difficulties.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8" w:lineRule="exact"/>
        <w:rPr>
          <w:sz w:val="20"/>
          <w:szCs w:val="20"/>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Competing therapies could emerge adversely affecting our opportunity to generate revenue from the sale of our product candidates.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pharmaceuticals industry is highly competitive. There are many public and private pharmaceutical companies, universities, governmental agencies and other research organizations actively engaged in the research and development of product candidates that may be similar to our product candidates or address similar markets. It is probable that the number of companies seeking to develop product candidates similar to our product candidates will increase.</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Currently, management is unaware of any FDA-approved oral adjunctive therapy for MDD patients with an inadequate response to standard antidepressants having the same mechanism of action and safety profile as AV-101. However, new antidepressant products with other mechanisms of action or products approved for other indications, including the anesthetic ketamine hydrochloride, are being or may be used off-label for treatment of MDD, as well as other CNS indications for which AV-101 may have therapeutic potential. Additionally, other non-pharmaceutical treatment options, such psychotherapy and electroconvulsive therapy (</w:t>
      </w:r>
      <w:r>
        <w:rPr>
          <w:rFonts w:ascii="Arial" w:cs="Arial" w:eastAsia="Arial" w:hAnsi="Arial"/>
          <w:sz w:val="16"/>
          <w:szCs w:val="16"/>
          <w:i w:val="1"/>
          <w:iCs w:val="1"/>
          <w:color w:val="auto"/>
        </w:rPr>
        <w:t>ECT</w:t>
      </w:r>
      <w:r>
        <w:rPr>
          <w:rFonts w:ascii="Arial" w:cs="Arial" w:eastAsia="Arial" w:hAnsi="Arial"/>
          <w:sz w:val="16"/>
          <w:szCs w:val="16"/>
          <w:color w:val="auto"/>
        </w:rPr>
        <w:t>) are sometimes used before or instead of standard antidepressant medications to treat patients with MDD.</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field of new generation, orally available, adjunctive treatments of adult MDD patients with an inadequate response to standard antidepressants, we believe our principal competitor is Alkermes’ orally available drug candidate in Phase 3 development, ALKS-5461.</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epilepsy, neuropathic pain, dyskinesia associated with L-DOPA therapy for Parkinson’s disease and other neurological conditions and diseases, including, but not limited to, Abbott Laboratories, Acadia, Allergan, Alkermes, Astra Zeneca, Eli Lilly, GlaxoSmithKline, IntraCellular, Johnson &amp; Johnson/Janssen, Lundbeck, Merck, Novartis, Ono, Otsuka, Pfizer, Roche, Sage, Sumitomo Dainippon, and Takeda,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success of our business depends primarily upon our ability to identify, develop and commercialize product candidates with commercial and therapeutic potential. Although AV-101 is in Phase 2 clinical development for treatment of depression, we may fail to pursue additional CNS-related Phase 2 development opportunities for AV-101, or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ectPr>
          <w:pgSz w:w="11900" w:h="16838" w:orient="portrait"/>
          <w:cols w:equalWidth="0" w:num="1">
            <w:col w:w="11420"/>
          </w:cols>
          <w:pgMar w:left="240" w:top="131" w:right="23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Because we currently have limited financial and management resources, we necessarily focus on a limited number of research and development programs and product candidates and are currently focused primarily on development of AV-101, with additional limited focus on NCE drug rescue and RM. As a result, we may forego or delay pursuit of opportunities with other product candidates or for other potential CNS-related indications for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74" w:lineRule="exact"/>
        <w:rPr>
          <w:sz w:val="20"/>
          <w:szCs w:val="20"/>
          <w:color w:val="auto"/>
        </w:rPr>
      </w:pPr>
    </w:p>
    <w:p>
      <w:pPr>
        <w:jc w:val="both"/>
        <w:ind w:left="980" w:hanging="486"/>
        <w:spacing w:after="0" w:line="306"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60" w:lineRule="exact"/>
        <w:rPr>
          <w:rFonts w:ascii="Arial" w:cs="Arial" w:eastAsia="Arial" w:hAnsi="Arial"/>
          <w:sz w:val="16"/>
          <w:szCs w:val="16"/>
          <w:color w:val="auto"/>
        </w:rPr>
      </w:pPr>
    </w:p>
    <w:p>
      <w:pPr>
        <w:jc w:val="both"/>
        <w:ind w:left="980" w:hanging="486"/>
        <w:spacing w:after="0" w:line="306"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60" w:lineRule="exact"/>
        <w:rPr>
          <w:rFonts w:ascii="Arial" w:cs="Arial" w:eastAsia="Arial" w:hAnsi="Arial"/>
          <w:sz w:val="16"/>
          <w:szCs w:val="16"/>
          <w:color w:val="auto"/>
        </w:rPr>
      </w:pPr>
    </w:p>
    <w:p>
      <w:pPr>
        <w:jc w:val="both"/>
        <w:ind w:left="980" w:hanging="486"/>
        <w:spacing w:after="0" w:line="256"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97"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85" w:lineRule="exact"/>
        <w:rPr>
          <w:rFonts w:ascii="Arial" w:cs="Arial" w:eastAsia="Arial" w:hAnsi="Arial"/>
          <w:sz w:val="18"/>
          <w:szCs w:val="18"/>
          <w:color w:val="auto"/>
        </w:rPr>
      </w:pPr>
    </w:p>
    <w:p>
      <w:pPr>
        <w:jc w:val="both"/>
        <w:ind w:left="980" w:hanging="486"/>
        <w:spacing w:after="0" w:line="256"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97" w:lineRule="exact"/>
        <w:rPr>
          <w:rFonts w:ascii="Arial" w:cs="Arial" w:eastAsia="Arial" w:hAnsi="Arial"/>
          <w:sz w:val="18"/>
          <w:szCs w:val="18"/>
          <w:color w:val="auto"/>
        </w:rPr>
      </w:pPr>
    </w:p>
    <w:p>
      <w:pPr>
        <w:jc w:val="both"/>
        <w:ind w:left="980" w:hanging="486"/>
        <w:spacing w:after="0" w:line="256"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97"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marketing approval for AV-101 as an adjunctive treatment of MDD, physicians may nevertheless prescribe AV-101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product candidates.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Market acceptance and sales of our product candidates will depend heavily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7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We may seek FDA Orphan Drug designation for one or more of our product candidates, including AV-101. Even if we have obtained FDA Orphan Drug designation for AV-101 of other product candidates, there may be limits to the regulatory exclusivity afforded by such designation.</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may, in the future, choose to seek FDA Orphan Drug designation for one or more of our product candidates, including AV-101. Even if we obtain Orphan Drug designation from the FDA for AV-101 or any other product candidates, there are limitations to the exclusivity afforded by such designation.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8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39"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 party intellectual property rights;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We are a development stage biopharmaceutical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6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are a development stage biopharmaceutical company. Although our lead drug candidate is in Phase 2 development, we currently have no approved products and currently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67" w:lineRule="exact"/>
        <w:rPr>
          <w:sz w:val="20"/>
          <w:szCs w:val="20"/>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produce product candidates;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product candidates we produce;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establish and maintain sales, distribution and marketing capabilities, and/or enter into strategic partnering arrangements to access such capabilities;</w:t>
      </w:r>
    </w:p>
    <w:p>
      <w:pPr>
        <w:spacing w:after="0" w:line="259" w:lineRule="exact"/>
        <w:rPr>
          <w:rFonts w:ascii="Arial" w:cs="Arial" w:eastAsia="Arial" w:hAnsi="Arial"/>
          <w:sz w:val="15"/>
          <w:szCs w:val="15"/>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gain market acceptance for our products; and</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Our future success is highly dependent upon our ability to successfully develop and commercialize AV-101 and discover, as well as produce, develop and commercialize proprietary drug rescue NCEs using our stem cell technology, and we cannot provide any assurance that we will successfully develop and commercialize AV-101 or drug rescue NCEs, or that, if produced, AV-101 or any drug rescue NCE will be successfully commercialized.</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Research programs designed to identify and produce drug rescue NCEs require substantial technical, financial and human resources, whether or not any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161"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drug rescue research and development methodology may not be successful in identifying and developing potential drug rescue NCEs;</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drug rescue NCEs obsolete;</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drug rescue NCE may, on further study, be shown to have harmful side effects or other characteristics that indicate it is unlikely to be effective or otherwise does not meet applicable regulatory criteria;</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drug rescue NCE may not be capable of being produced in commercial quantities at an acceptable cost, or at all; or</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drug rescue NCE may not be accepted as safe and effective by regulatory authorities, patients, the medical community or third-party payors.</w:t>
      </w:r>
    </w:p>
    <w:p>
      <w:pPr>
        <w:spacing w:after="0" w:line="2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172"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limited operating history with respect to drug development, including our anticipated focus on the identification and assessment of potential drug rescue NCEs and no operating history with respect to the production of drug rescue NCEs, and we may never be able to produce a drug rescue NCE.</w:t>
      </w:r>
    </w:p>
    <w:p>
      <w:pPr>
        <w:spacing w:after="0" w:line="11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If we are unable to develop and commercialize AV-101 or produce suitable drug rescue NCEs, we may not be able to generate sufficient revenues to execute our business plan, which likely would result in significant harm to our financial position and results of operations, which could adversely impact our stock price.</w:t>
      </w:r>
    </w:p>
    <w:p>
      <w:pPr>
        <w:spacing w:after="0" w:line="13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There are a number of factors, in addition to the utility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that may impact our ability to identify and produce, develop or out-license and commercialize drug rescue NCEs, independently or with strategic partners, including:</w:t>
      </w:r>
    </w:p>
    <w:p>
      <w:pPr>
        <w:spacing w:after="0" w:line="186" w:lineRule="exact"/>
        <w:rPr>
          <w:sz w:val="20"/>
          <w:szCs w:val="20"/>
          <w:color w:val="auto"/>
        </w:rPr>
      </w:pPr>
    </w:p>
    <w:p>
      <w:pPr>
        <w:ind w:left="980" w:hanging="486"/>
        <w:spacing w:after="0" w:line="268"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identify potential drug rescue candidates in the public domain, obtain sufficient quantities of them, and assess them using our bioassay systems;</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8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w:t>
      </w:r>
    </w:p>
    <w:p>
      <w:pPr>
        <w:spacing w:after="0" w:line="185" w:lineRule="exact"/>
        <w:rPr>
          <w:rFonts w:ascii="Arial" w:cs="Arial" w:eastAsia="Arial" w:hAnsi="Arial"/>
          <w:sz w:val="18"/>
          <w:szCs w:val="18"/>
          <w:color w:val="auto"/>
        </w:rPr>
      </w:pPr>
    </w:p>
    <w:p>
      <w:pPr>
        <w:ind w:left="980" w:hanging="486"/>
        <w:spacing w:after="0" w:line="332"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Even if we do produce proprietary drug rescue NCEs, we can give no assurance that we will be able to develop and commercialize them as a marketable drug, on our own or in collaboration with others. Before we generate any revenues from AV-101 and/or additional drug rescue NCEs we or our potential collaborators must complete preclinical and clinical developments,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6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 xml:space="preserve">If 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success is partly dependent on our ability to use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to identify and predict, accurately and efficiently, the potential toxic and nontoxic cardiac effects of drug rescue candidates and drug rescue NCEs. If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is not capable of providing physiologically relevant and clinically predictive information regarding human cardiac biology, our drug rescue business will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may not be meaningfully more predictive of the behavior of human cells than existing methods.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The success of our drug rescue programs is highly dependent upon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will be more efficient or accurate at predicting the heart safety of new drug candidates than the testing models currently used. If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fails to provide a meaningful difference compared to existing or new models in predicting the behavior of human heart, respectively, their utility for drug rescue will be limited and our drug rescue business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producing drug rescue NCEs for which there proves to be no demand.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exploratory non-clinical RM programs involving blood, bone, cartilage, and/or liver cells. Although we and our collaborators have developed proprietary protocols for the production of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9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Some of our research and development programs may involve the use of human cells derived from our controlled differentiation of human embryonic stem cells (</w:t>
      </w:r>
      <w:r>
        <w:rPr>
          <w:rFonts w:ascii="Arial" w:cs="Arial" w:eastAsia="Arial" w:hAnsi="Arial"/>
          <w:sz w:val="15"/>
          <w:szCs w:val="15"/>
          <w:i w:val="1"/>
          <w:iCs w:val="1"/>
          <w:color w:val="auto"/>
        </w:rPr>
        <w:t>hESC</w:t>
      </w:r>
      <w:r>
        <w:rPr>
          <w:rFonts w:ascii="Arial" w:cs="Arial" w:eastAsia="Arial" w:hAnsi="Arial"/>
          <w:sz w:val="15"/>
          <w:szCs w:val="15"/>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may use hESCs derived from excess fertilized eggs that have been created for clinical use in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fertilization (</w:t>
      </w:r>
      <w:r>
        <w:rPr>
          <w:rFonts w:ascii="Arial" w:cs="Arial" w:eastAsia="Arial" w:hAnsi="Arial"/>
          <w:sz w:val="15"/>
          <w:szCs w:val="15"/>
          <w:i w:val="1"/>
          <w:iCs w:val="1"/>
          <w:color w:val="auto"/>
        </w:rPr>
        <w:t>IVF</w:t>
      </w:r>
      <w:r>
        <w:rPr>
          <w:rFonts w:ascii="Arial" w:cs="Arial" w:eastAsia="Arial" w:hAnsi="Arial"/>
          <w:sz w:val="15"/>
          <w:szCs w:val="15"/>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ectPr>
          <w:pgSz w:w="11900" w:h="16838" w:orient="portrait"/>
          <w:cols w:equalWidth="0" w:num="1">
            <w:col w:w="11420"/>
          </w:cols>
          <w:pgMar w:left="240" w:top="131" w:right="23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foregoing potential ethical concerns do not apply to our use of induced pluripotent stem cells </w:t>
      </w:r>
      <w:r>
        <w:rPr>
          <w:rFonts w:ascii="Arial" w:cs="Arial" w:eastAsia="Arial" w:hAnsi="Arial"/>
          <w:sz w:val="18"/>
          <w:szCs w:val="18"/>
          <w:i w:val="1"/>
          <w:iCs w:val="1"/>
          <w:color w:val="auto"/>
        </w:rPr>
        <w:t>(iPSC</w:t>
      </w:r>
      <w:r>
        <w:rPr>
          <w:rFonts w:ascii="Arial" w:cs="Arial" w:eastAsia="Arial" w:hAnsi="Arial"/>
          <w:sz w:val="18"/>
          <w:szCs w:val="18"/>
          <w:color w:val="auto"/>
        </w:rPr>
        <w:t>s) because their derivation does not involve the use of embryonic tissues.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may use both hESCs and iPSCs to produce human cells for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social and ethical concerns surrounding the use of iPSCs, biological materials and genetic information could impair our operations.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0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human cells we produce from hPSCs and our customized bioassay systems using such cells, including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3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incurred significant net losses in each fiscal year since our inception in 1998, including net losses of $10.3 million and $47.2 million, which includes $26.7 million of non-cash expense related to the extinguishment of essentially all of our outstanding promissory notes and certain other indebtedness, during the fiscal years ended March 31, 2017 and 2016, respectively. We incurred a net loss of approximately $2.3 million in the quarter ended June 30, 2017 and, as of that date, we had an accumulated deficit of approximately $144.3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(deficit)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ability to become profitable depends upon our ability to generate revenues. To date, we have generated approximately $17.7 million in revenues, including receipt of non-dilutive cash payments from collaborators, sublicense revenue, and research and development grant awards from the NIH, not including the fair market value of the ongoing NIMH AV-101 MDD Phase 2 Monotherapy Study under our NIMH CRADA.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AV-101, or we enter into one or more development and commercialization agreements with respect to AV-101 or one or more other product candidates. Our ability to generate revenue depends on a number of factors, including, but not limited to, our ability to:</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initiate and successfully complete non-clinical and clinical trials that meet their prescribed endpoints;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initiate and successfully complete all safety studies required to obtain U.S. and foreign marketing approval for our product candidates;</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commercialize our product candidates, if approved, by developing a sales force or entering into collaborations with third parties; and</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Unless we enter into a development and commercialization collaboration or partnership agreement, we expect to incur significant sales and marketing costs as we prepare to commercialize AV-101 or other product candidates. Even if we initiate and successfully complete pivotal clinical trials of AV-101 or other product candidates, and AV-101 or other product candidates are approved for commercial sale, and despite expending these costs, AV-101 or other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require additional financing to execute our business plan and continue to operate as a going concern.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audited consolidated financial statements for the year ended March 31, 2017 as well as the unaudited condensed consolidated financial statements for the period ended June 30, 2017 included elsewhere in this Report have been prepared assuming we will continue to operate as a going concern, although we and our auditors have indicated that our continuing losses and negative cash flows from operations raise substantial doubt about our ability to continue as such. Because we continue to experience net operating losses, our ability to continue as a going concern is subject to our ability to obtain necessary funding from outside sources, including obtaining additional funding from the sale of our securities or obtaining loans and grant awards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Since our inception, most of our resources have been dedicated to research and development of AV-101 and the drug rescue capabilities of our stem cell technology platform. In particular, we have expended substantial resources advancing AV-101 through preclinical development and Phase 1 clinical safety studies, and developing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our cardiac stem cell technology for drug rescue and potential regenerative medicine applications, and we will continue to expend substantial resources for the foreseeable future developing and commercializing AV-101 for multiple CNS indications, and, potentially, developing drug rescue NCEs and RM therapies, on our own or in collaborations similar to the BlueRock Agreement. These expenditures will include costs associated with 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At June 30, 2017, our existing cash and cash equivalents were not sufficient to fund our current operations for the next 12 months or to complete our proposed AV-101 MDD Phase 2 Adjunctive Treatment Study. Further, we have no current source of revenue to sustain our present activities, and we do not expect to generate revenue until, and unless, we (i) out-license or sell AV-101, a drug rescue NCE, and/or another drug candidate unrelated to AV-101 to third-parties, (ii) enter into license arrangements involving our stem cell technology, or (iii) obtain approval from the FDA or other regulatory authorities and successfully commercialize, on our own or through a future collaboration, one or more of our compounds.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the outcome of our AV-101 and NCE drug rescue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develop, obtain regulatory approval for, and to commercialize our product candidates, and may seek additional capital in the event there exists favorable market conditions or strategic considerations even if we believe we have sufficient funds for our current or future operating plans. We are considering a range of potential sources of funding, including public or private equity or debt financings, government or other third-party funding, marketing and distribution arrangements and other collaborations, strategic alliances and licensing arrangements or a combination of these approaches, and we may complete additional financing arrangements in 2017 and beyond.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5" w:lineRule="exact"/>
        <w:rPr>
          <w:sz w:val="20"/>
          <w:szCs w:val="20"/>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 including AV-101 and drug rescue NCEs;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studies;</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arrangements and the financial terms of such agreements;</w:t>
      </w:r>
    </w:p>
    <w:p>
      <w:pPr>
        <w:spacing w:after="0" w:line="248" w:lineRule="exact"/>
        <w:rPr>
          <w:rFonts w:ascii="Arial" w:cs="Arial" w:eastAsia="Arial" w:hAnsi="Arial"/>
          <w:sz w:val="16"/>
          <w:szCs w:val="16"/>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government funding for our programs;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obtaining and enforcing patents to preserve our intellectual property;</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48"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additional fundraising efforts will divert certain members of our management team from their day-to-day activities, which may adversely affect our ability to develop and commercialize our product candidates. In addition, we cannot guarantee that future financing will be available in sufficient amounts, in a timely manner, or on terms acceptable to us, if at all, and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or exchange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6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r>
        <w:rPr>
          <w:rFonts w:ascii="Arial" w:cs="Arial" w:eastAsia="Arial" w:hAnsi="Arial"/>
          <w:sz w:val="15"/>
          <w:szCs w:val="15"/>
          <w:b w:val="1"/>
          <w:bCs w:val="1"/>
          <w:color w:val="auto"/>
        </w:rPr>
        <w:t>.</w:t>
      </w:r>
    </w:p>
    <w:p>
      <w:pPr>
        <w:spacing w:after="0" w:line="4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We have identified material weaknesses in our internal control over financial reporting. In particular, we concluded that (i) the size and capabilities of the Company’s staff does not permit appropriate segregation of duties to prevent one individual from overriding the internal control system by initiating, authorizing and completing all transactions, and (ii) the Company utilizes accounting software that does not prevent erroneous or unauthorized changes to previous reporting periods and/or can be adjusted so as to not provide an adequate auditing trail of entries made in the accounting software (See Item 9A. </w:t>
      </w:r>
      <w:r>
        <w:rPr>
          <w:rFonts w:ascii="Arial" w:cs="Arial" w:eastAsia="Arial" w:hAnsi="Arial"/>
          <w:sz w:val="16"/>
          <w:szCs w:val="16"/>
          <w:i w:val="1"/>
          <w:iCs w:val="1"/>
          <w:color w:val="auto"/>
        </w:rPr>
        <w:t>Controls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Procedures </w:t>
      </w:r>
      <w:r>
        <w:rPr>
          <w:rFonts w:ascii="Arial" w:cs="Arial" w:eastAsia="Arial" w:hAnsi="Arial"/>
          <w:sz w:val="16"/>
          <w:szCs w:val="16"/>
          <w:color w:val="auto"/>
        </w:rPr>
        <w:t>contained in our Annual Report on Form 10-K filed with the Securities and Exchange Commission on June 29, 2017.).</w:t>
      </w:r>
    </w:p>
    <w:p>
      <w:pPr>
        <w:spacing w:after="0" w:line="1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we may be unable to obtain additional financing to operate and expand our business and our business and financial condition could be harmed.</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0" w:name="page41"/>
    <w:bookmarkEnd w:id="4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Raising additional capital will cause dilution to our existing stockholders, may restrict our operations or require us to relinquish rights, and may require us to seek stockholder approval to authorize additional shares of our common stock.</w:t>
      </w:r>
    </w:p>
    <w:p>
      <w:pPr>
        <w:spacing w:after="0" w:line="186"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We intend to pursue private and public equity offerings, debt financings, strategic collaborations and licensing arrangements during 2017 and beyond.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currently have 30.0 million shares of common stock authorized for issuance. Based on the current number of shares of our common stock: (i) outstanding, (ii) reserved for conversion or exchange of our various series of outstanding preferred stock, including for payment of accrued dividends on our outstanding Series B Preferred, (iii) reserved for the exercise of outstanding warrants, and (iv) reserved for the exercise of options granted or available for grant pursuant to our equity incentive plans, at June 30, 2017, we have approximately 8.1 million shares of common stock available for future financing or other activities. We anticipate seeking stockholder approval to amend our Articles of Incorporation to increase the number of shares of common stock we are authorized to issue in order to achieve our near-term or longer-term financing objectives.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programs have been partially supported by government grant awards, which may not be available to us in the future.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Since inception, we have received substantial funds under grant award programs funded by state and federal governmental agencies, such as the NIH, the NIH’s National Institute of Neurological Disease and Stroke (</w:t>
      </w:r>
      <w:r>
        <w:rPr>
          <w:rFonts w:ascii="Arial" w:cs="Arial" w:eastAsia="Arial" w:hAnsi="Arial"/>
          <w:sz w:val="16"/>
          <w:szCs w:val="16"/>
          <w:i w:val="1"/>
          <w:iCs w:val="1"/>
          <w:color w:val="auto"/>
        </w:rPr>
        <w:t>NINDS</w:t>
      </w:r>
      <w:r>
        <w:rPr>
          <w:rFonts w:ascii="Arial" w:cs="Arial" w:eastAsia="Arial" w:hAnsi="Arial"/>
          <w:sz w:val="16"/>
          <w:szCs w:val="16"/>
          <w:color w:val="auto"/>
        </w:rPr>
        <w:t>) and the NIMH, and the California Institute for Regenerative Medicine (</w:t>
      </w:r>
      <w:r>
        <w:rPr>
          <w:rFonts w:ascii="Arial" w:cs="Arial" w:eastAsia="Arial" w:hAnsi="Arial"/>
          <w:sz w:val="16"/>
          <w:szCs w:val="16"/>
          <w:i w:val="1"/>
          <w:iCs w:val="1"/>
          <w:color w:val="auto"/>
        </w:rPr>
        <w:t>CIRM</w:t>
      </w:r>
      <w:r>
        <w:rPr>
          <w:rFonts w:ascii="Arial" w:cs="Arial" w:eastAsia="Arial" w:hAnsi="Arial"/>
          <w:sz w:val="16"/>
          <w:szCs w:val="16"/>
          <w:color w:val="auto"/>
        </w:rPr>
        <w:t>).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As of March 31, 2017, we had federal and state net operating loss carryforwards of $77.1 million and $67.6 million, respectively, which begin to expire in fiscal 2018.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we fail to attract and retain senior management and key scientific personnel, we may be unable to successfully produce, develop and commercialize AV-101, drug rescue NCEs, other potential product candidates and other commercial applications of our stem cell technology.</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and scientific and technical personnel. We are highly dependent upon our Chief Executive Officer, President and Chief Scientific Officer, Chief Medical Officer and Chief Financial Officer, as well as other employees, consultants and scientific collaborators. As of the date of this Report, we have nine full-time employees, which may make us more reliant on our individual employees than companies with a greater number of employees. The loss of services of any of these individuals could delay or prevent the successful development of AV-101, drug rescue NCEs, other product candidates, and other applications of our stem cell technology, including our production and assessment of potential drug recuse NCEs or disrupt our administrative functions.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and administrative activities. We may not be able to attract and retain quality personnel on acceptable terms.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rely on a diverse range of strategic consultants and advisors, including manufacturing, scientific and clinical development, and regulatory advisors, to assist us in designing and implementing our research and development and regulatory strategies and plans,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we seek to advance development of AV-101 for MDD and other CNS-related conditions, as well as stem cell technology-related drug rescue and RM programs, we will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develop AV-101, drug rescue NCEs, other product candidates, or regenerative medicine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205" w:lineRule="exact"/>
        <w:rPr>
          <w:sz w:val="20"/>
          <w:szCs w:val="20"/>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demand for products that we may develop;</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ectPr>
          <w:pgSz w:w="11900" w:h="16838" w:orient="portrait"/>
          <w:cols w:equalWidth="0" w:num="1">
            <w:col w:w="11420"/>
          </w:cols>
          <w:pgMar w:left="240" w:top="131"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As a public company, we incur significant administrative workload and expenses to comply with U.S. regulations and requirements imposed by The NASDAQ Stock Market concerning corporate governance and public disclosure.</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public company with common stock listed on The NASDAQ Capital Market, we must comply with various laws, regulations and requirements, including certain provisions of the Sarbanes-Oxley Act of 2002, as well as rules implemented by the SEC and The NASDAQ Stock Market. Complying with these statutes, regulations and requirements, including our public company reporting requirements, continues to occupy a significant amount of the time of management and involves significant accounting, legal and other expenses. Furthermore, these laws, regulations and requirements require us to observe greater corporate governance practices than we have employed in the past, including, but not limited to maintaining a sufficient number of independent directors, increased frequency of board meetings, and holding annual stockholder meetings. Our efforts to comply with these regulations are likely to result in increased general and administrative expenses and management time and attention directed to compliance activities.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AV-101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businesses or products, or form strategic alliances, in the future, and we may not realize the benefits of such acquisitions.</w:t>
      </w:r>
    </w:p>
    <w:p>
      <w:pPr>
        <w:spacing w:after="0" w:line="24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strive to protect and enhance the proprietary technologies that we believe are important to our business, including seeking patents intended to cover our products and compositions, their methods of use and any other inventions we consider are important to the development of our business. We also rely on trade secrets to protect aspects of our business that are not amenable to, or that we do not consider appropriate for, patent protection.</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to defend and enforce our patents, should they issue,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 applications related to AV-101 and we own and have licensed patents and patent applications related to human pluripotent stem cell technology.</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have an issued patent relating to AV-101 in the European Union, we cannot yet provide any assurances that any of our numerous pending U.S. and additional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patent positions of biotechnology and pharmaceutical companies, including our patent position, involve complex legal and factual questions, and, therefore, the issuance, scope, validity and enforceability of any additional patent claims that we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Furthermore, though a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25" w:lineRule="exact"/>
        <w:rPr>
          <w:sz w:val="20"/>
          <w:szCs w:val="20"/>
          <w:color w:val="auto"/>
        </w:rPr>
      </w:pPr>
    </w:p>
    <w:p>
      <w:pPr>
        <w:ind w:left="980" w:hanging="486"/>
        <w:spacing w:after="0" w:line="268"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of our AV-101 or other pending patent applications, if issued, will include claims having a scope sufficient to protect AV-101 or any other products or product candidates, particularly considering that the compound patent to AV-101 has expired;</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of our patents, if issued, will be found to ultimately be valid and enforceable;</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or proprietary rights of others.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was successfully asserted against us and we could not obtain such a license, we may be forced to stop or delay developing, manufacturing, selling or otherwise commercializing our product candidates.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197" w:lineRule="exact"/>
        <w:rPr>
          <w:sz w:val="20"/>
          <w:szCs w:val="20"/>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obtain a license from the holder of the asserted intellectual property, which license may not be available on reasonable terms, if at all; and</w:t>
      </w:r>
    </w:p>
    <w:p>
      <w:pPr>
        <w:spacing w:after="0" w:line="248" w:lineRule="exact"/>
        <w:rPr>
          <w:rFonts w:ascii="Arial" w:cs="Arial" w:eastAsia="Arial" w:hAnsi="Arial"/>
          <w:sz w:val="16"/>
          <w:szCs w:val="16"/>
          <w:color w:val="auto"/>
        </w:rPr>
      </w:pPr>
    </w:p>
    <w:p>
      <w:pPr>
        <w:ind w:left="980" w:hanging="486"/>
        <w:spacing w:after="0" w:line="268"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7"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U.S. Patent and Trademark Office (</w:t>
      </w:r>
      <w:r>
        <w:rPr>
          <w:rFonts w:ascii="Arial" w:cs="Arial" w:eastAsia="Arial" w:hAnsi="Arial"/>
          <w:sz w:val="16"/>
          <w:szCs w:val="16"/>
          <w:i w:val="1"/>
          <w:iCs w:val="1"/>
          <w:color w:val="auto"/>
        </w:rPr>
        <w:t>USPTO</w:t>
      </w:r>
      <w:r>
        <w:rPr>
          <w:rFonts w:ascii="Arial" w:cs="Arial" w:eastAsia="Arial" w:hAnsi="Arial"/>
          <w:sz w:val="16"/>
          <w:szCs w:val="16"/>
          <w:color w:val="auto"/>
        </w:rPr>
        <w:t>), European Patent Office (</w:t>
      </w:r>
      <w:r>
        <w:rPr>
          <w:rFonts w:ascii="Arial" w:cs="Arial" w:eastAsia="Arial" w:hAnsi="Arial"/>
          <w:sz w:val="16"/>
          <w:szCs w:val="16"/>
          <w:i w:val="1"/>
          <w:iCs w:val="1"/>
          <w:color w:val="auto"/>
        </w:rPr>
        <w:t>EPO</w:t>
      </w:r>
      <w:r>
        <w:rPr>
          <w:rFonts w:ascii="Arial" w:cs="Arial" w:eastAsia="Arial" w:hAnsi="Arial"/>
          <w:sz w:val="16"/>
          <w:szCs w:val="16"/>
          <w:color w:val="auto"/>
        </w:rPr>
        <w:t>)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licensors, which could be expensive, time-consuming and unsuccessful.</w:t>
      </w:r>
    </w:p>
    <w:p>
      <w:pPr>
        <w:spacing w:after="0" w:line="26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we or one of our licensing partners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EPO,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w:t>
      </w:r>
      <w:r>
        <w:rPr>
          <w:rFonts w:ascii="Arial" w:cs="Arial" w:eastAsia="Arial" w:hAnsi="Arial"/>
          <w:sz w:val="16"/>
          <w:szCs w:val="16"/>
          <w:i w:val="1"/>
          <w:iCs w:val="1"/>
          <w:color w:val="auto"/>
        </w:rPr>
        <w:t>Business—Intellectual Property</w:t>
      </w:r>
      <w:r>
        <w:rPr>
          <w:rFonts w:ascii="Arial" w:cs="Arial" w:eastAsia="Arial" w:hAnsi="Arial"/>
          <w:sz w:val="16"/>
          <w:szCs w:val="16"/>
          <w:color w:val="auto"/>
        </w:rPr>
        <w:t>” herein for a description of our license agreements, which includes a description of the termination provisions of these agreements.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86" w:lineRule="exact"/>
        <w:rPr>
          <w:sz w:val="20"/>
          <w:szCs w:val="20"/>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25" w:lineRule="exact"/>
        <w:rPr>
          <w:rFonts w:ascii="Arial" w:cs="Arial" w:eastAsia="Arial" w:hAnsi="Arial"/>
          <w:sz w:val="18"/>
          <w:szCs w:val="18"/>
          <w:color w:val="auto"/>
        </w:rPr>
      </w:pPr>
    </w:p>
    <w:p>
      <w:pPr>
        <w:ind w:left="980" w:right="20" w:hanging="486"/>
        <w:spacing w:after="0" w:line="268"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entered into several licenses to support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39"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4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6"/>
          <w:szCs w:val="16"/>
          <w:i w:val="1"/>
          <w:iCs w:val="1"/>
          <w:color w:val="auto"/>
        </w:rPr>
        <w:t>Bayh-Dole Act</w:t>
      </w:r>
      <w:r>
        <w:rPr>
          <w:rFonts w:ascii="Arial" w:cs="Arial" w:eastAsia="Arial" w:hAnsi="Arial"/>
          <w:sz w:val="16"/>
          <w:szCs w:val="16"/>
          <w:color w:val="auto"/>
        </w:rPr>
        <w: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recent U.S. Supreme Court rulings have narrowed the scope of patent protection available in certain circumstances and weakened the rights of patent owners in certain situations. The full impact of these decisions is not yet known. For example, on March 20, 2012 in Mayo Collaborative Services, DBA Mayo Medical Laboratories, et al. v. Prometheus Laboratories, Inc.,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Association for Molecular Pathology v. Myriad Genetics, Inc., the Court held that claims to isolated genomic DNA are not patentable, but claims to complementary DNA molecules are patent eligible because they are not a natural product. The effect of the decision on patents for other isolated natural products is uncertain. 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Ariosa Diagnostics, Inc. v. Sequenom, Inc., the Court of Appeals for the Federal Circuit held that methods for detecting fetal genetic defects were not patent eligible subject matter.</w:t>
      </w:r>
    </w:p>
    <w:p>
      <w:pPr>
        <w:spacing w:after="0" w:line="18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97" w:lineRule="exact"/>
        <w:rPr>
          <w:sz w:val="20"/>
          <w:szCs w:val="20"/>
          <w:color w:val="auto"/>
        </w:rPr>
      </w:pPr>
    </w:p>
    <w:p>
      <w:pPr>
        <w:ind w:left="980" w:right="20" w:hanging="486"/>
        <w:spacing w:after="0" w:line="268"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5" w:lineRule="exact"/>
        <w:rPr>
          <w:rFonts w:ascii="Arial" w:cs="Arial" w:eastAsia="Arial" w:hAnsi="Arial"/>
          <w:sz w:val="18"/>
          <w:szCs w:val="18"/>
          <w:color w:val="auto"/>
        </w:rPr>
      </w:pPr>
    </w:p>
    <w:p>
      <w:pPr>
        <w:ind w:left="980" w:hanging="486"/>
        <w:spacing w:after="0" w:line="268"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as a result of legal challenges by our competitors;</w:t>
      </w:r>
    </w:p>
    <w:p>
      <w:pPr>
        <w:spacing w:after="0" w:line="18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ectPr>
          <w:pgSz w:w="11900" w:h="16838" w:orient="portrait"/>
          <w:cols w:equalWidth="0" w:num="1">
            <w:col w:w="11420"/>
          </w:cols>
          <w:pgMar w:left="240" w:top="131" w:right="239" w:bottom="616"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616" w:gutter="0" w:footer="0" w:header="0"/>
          <w:type w:val="continuous"/>
        </w:sectPr>
      </w:pPr>
    </w:p>
    <w:bookmarkStart w:id="50" w:name="page51"/>
    <w:bookmarkEnd w:id="5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limited public market for our securities may adversely affect an investor’s ability to liquidate an investment in the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is currently quoted on The NASDAQ Capital Market, however, there is presently limited trading activity. We can give no assurance that an active market will develop, or if developed, that it will be sustained. If an investor acquires shares of our common stock, the investor may not be able to liquidate the shares should there be a need or desire to do so.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market price for our common stock, similar to other biopharmaceutical companies, is likely to be volatile. The market price of our common stock may fluctuate significantly in response to a number of factors, most of which we cannot control, including, among others:</w:t>
      </w:r>
    </w:p>
    <w:p>
      <w:pPr>
        <w:spacing w:after="0" w:line="186" w:lineRule="exact"/>
        <w:rPr>
          <w:sz w:val="20"/>
          <w:szCs w:val="20"/>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failure of the FDA to approve our product candidates;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these sales or issuances are occurring or might occur, could significantly reduce the market price of our common stock and impair our ability to raise adequate capital through the sale of additional equity securities.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stock market in general, and small biopharmaceutical companies like ours in particular, have frequently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20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Historically, there has been a limited public market for shares of our common stock.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of our current institutional stockholders own a substantial portion of our outstanding capital stock, including our common stock, Series A Preferred, Series B Preferred, and Series C Preferred, all of which preferred stock is convertible into a substantial number of shares of common stock. Accordingly, institutional stockholders may exert significant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Furthermore, the interests of our principal institutional stockholders may not always coincide with your interests or the interests of other stockholders may act in a manner that advances its best interests and not necessarily those of other stockholders, including seeking a premium value for its common stock, which might affect the prevailing market price for our common stock.</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analysts issue other unfavorable commentary or cease publishing reports about us or our business.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Our Restated Articles of Incorporation (the </w:t>
      </w:r>
      <w:r>
        <w:rPr>
          <w:rFonts w:ascii="Arial" w:cs="Arial" w:eastAsia="Arial" w:hAnsi="Arial"/>
          <w:sz w:val="16"/>
          <w:szCs w:val="16"/>
          <w:i w:val="1"/>
          <w:iCs w:val="1"/>
          <w:color w:val="auto"/>
        </w:rPr>
        <w:t>Articles</w:t>
      </w:r>
      <w:r>
        <w:rPr>
          <w:rFonts w:ascii="Arial" w:cs="Arial" w:eastAsia="Arial" w:hAnsi="Arial"/>
          <w:sz w:val="16"/>
          <w:szCs w:val="16"/>
          <w:color w:val="auto"/>
        </w:rPr>
        <w:t>) permit us to issue up to 10.0 million shares of preferred stock. Our Board of Directors has authorized the issuance of (i) 500,000 shares of Series A Preferred, all of which shares are issued and outstanding at June 30, 2017; (ii) 4.0 million shares of Series B 10% Convertible Preferred stock, of which approximately 1.2 million shares remain issued and outstanding at June 30, 2017; and (iii) 3.0 million shares of Series C Convertible Preferred Stock, of which approximately 2.3 million shares are issued and outstanding at June 30, 2017.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Since becoming a public company by means of a reverse merger in 2011, we have been subject to the reporting requirements of the Securities Exchange Act of 1934, as amended (</w:t>
      </w:r>
      <w:r>
        <w:rPr>
          <w:rFonts w:ascii="Arial" w:cs="Arial" w:eastAsia="Arial" w:hAnsi="Arial"/>
          <w:sz w:val="16"/>
          <w:szCs w:val="16"/>
          <w:i w:val="1"/>
          <w:iCs w:val="1"/>
          <w:color w:val="auto"/>
        </w:rPr>
        <w:t>Exchange Act</w:t>
      </w:r>
      <w:r>
        <w:rPr>
          <w:rFonts w:ascii="Arial" w:cs="Arial" w:eastAsia="Arial" w:hAnsi="Arial"/>
          <w:sz w:val="16"/>
          <w:szCs w:val="16"/>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money that we could otherwise use to achieve our research and development and other strategic objectives.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to Professional Services Providers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14, 2017, we issued 50,000 shares of our unregistered common stock for services provided by our contract research organization under the terms of a negotiated work order. The shares were issued in a private placement transaction exempt from registration under the Securities Act, in reliance on Section 4(2) thereof and Rule 506 of Regulation D thereunder.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of Common Stock and Warrants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August 9, 2017, in a self-placed private placement transaction, we sold to an accredited investor units consisting of (i) 28,572 shares of our unregistered common stock and (ii) warrants exercisable through April 30, 2021 to purchase 28,572 unregistered shares of our common stock at an exercise price of $4.00 per share. The warrants are not exercisable until six months and one day following the date of issuance. We received cash proceeds of $50,000 from this sale of our securities, which we expect to use for general corporate purposes. The securities were issued in a placement transaction exempt from registration under the Securities Act, in reliance on Section 4(2) thereof and Rule 506 of Regulation D thereunder.</w:t>
      </w:r>
    </w:p>
    <w:p>
      <w:pPr>
        <w:sectPr>
          <w:pgSz w:w="11900" w:h="16838" w:orient="portrait"/>
          <w:cols w:equalWidth="0" w:num="1">
            <w:col w:w="11420"/>
          </w:cols>
          <w:pgMar w:left="240" w:top="131" w:right="23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3" w:name="page54"/>
    <w:bookmarkEnd w:id="5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380" w:type="dxa"/>
            <w:vAlign w:val="bottom"/>
          </w:tcPr>
          <w:p>
            <w:pPr>
              <w:ind w:left="47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hyperlink>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3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Certification of the Principal Executive Officer required by Rule 13a-14(a) under the Securities Exchange Act of 1934, as amended, as adopted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hyperlink>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3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1"/>
              </w:rPr>
              <w:t>Certification of the Principal Financial Officer required by Rule 13a-14(a) under the Securities Exchange Act of 1934, as amended, as adopted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40" w:right="20" w:hanging="1032"/>
        <w:spacing w:after="0" w:line="268" w:lineRule="auto"/>
        <w:tabs>
          <w:tab w:leader="none" w:pos="1040" w:val="left"/>
        </w:tabs>
        <w:numPr>
          <w:ilvl w:val="0"/>
          <w:numId w:val="26"/>
        </w:numPr>
        <w:rPr>
          <w:rFonts w:ascii="Arial" w:cs="Arial" w:eastAsia="Arial" w:hAnsi="Arial"/>
          <w:sz w:val="18"/>
          <w:szCs w:val="18"/>
          <w:u w:val="single" w:color="auto"/>
          <w:color w:val="0000EE"/>
        </w:rPr>
      </w:pPr>
      <w:r>
        <w:rPr>
          <w:rFonts w:ascii="Arial" w:cs="Arial" w:eastAsia="Arial" w:hAnsi="Arial"/>
          <w:sz w:val="18"/>
          <w:szCs w:val="18"/>
          <w:color w:val="auto"/>
        </w:rPr>
        <w:t>Certification of the Principal Executive and Financial Officers required by Rule 13a-14(b) and Section 1350 of Chapter 63 of Title 18 of the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274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Instance Document</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56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56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56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August 14,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557" w:right="49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25"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left="660" w:hanging="652"/>
        <w:spacing w:after="0" w:line="370" w:lineRule="auto"/>
        <w:tabs>
          <w:tab w:leader="none" w:pos="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16" w:lineRule="exact"/>
        <w:rPr>
          <w:rFonts w:ascii="Arial" w:cs="Arial" w:eastAsia="Arial" w:hAnsi="Arial"/>
          <w:sz w:val="15"/>
          <w:szCs w:val="15"/>
          <w:color w:val="auto"/>
        </w:rPr>
      </w:pPr>
    </w:p>
    <w:p>
      <w:pPr>
        <w:ind w:left="660" w:hanging="652"/>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660" w:right="20" w:hanging="652"/>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firstLine="332"/>
        <w:spacing w:after="0" w:line="259" w:lineRule="auto"/>
        <w:tabs>
          <w:tab w:leader="none" w:pos="943"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firstLine="332"/>
        <w:spacing w:after="0" w:line="259" w:lineRule="auto"/>
        <w:tabs>
          <w:tab w:leader="none" w:pos="127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firstLine="332"/>
        <w:spacing w:after="0" w:line="332" w:lineRule="auto"/>
        <w:tabs>
          <w:tab w:leader="none" w:pos="958"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firstLine="332"/>
        <w:spacing w:after="0" w:line="259" w:lineRule="auto"/>
        <w:tabs>
          <w:tab w:leader="none" w:pos="976"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20" w:hanging="652"/>
        <w:spacing w:after="0" w:line="33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firstLine="332"/>
        <w:spacing w:after="0" w:line="268" w:lineRule="auto"/>
        <w:tabs>
          <w:tab w:leader="none" w:pos="1087"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firstLine="332"/>
        <w:spacing w:after="0" w:line="268" w:lineRule="auto"/>
        <w:tabs>
          <w:tab w:leader="none" w:pos="94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20"/>
                <w:szCs w:val="20"/>
                <w:color w:val="auto"/>
              </w:rPr>
            </w:pPr>
            <w:r>
              <w:rPr>
                <w:rFonts w:ascii="Arial" w:cs="Arial" w:eastAsia="Arial" w:hAnsi="Arial"/>
                <w:sz w:val="18"/>
                <w:szCs w:val="18"/>
                <w:color w:val="auto"/>
              </w:rPr>
              <w:t>August 14, 2017</w:t>
            </w:r>
          </w:p>
        </w:tc>
        <w:tc>
          <w:tcPr>
            <w:tcW w:w="1920" w:type="dxa"/>
            <w:vAlign w:val="bottom"/>
            <w:gridSpan w:val="2"/>
          </w:tcPr>
          <w:p>
            <w:pPr>
              <w:spacing w:after="0"/>
              <w:rPr>
                <w:sz w:val="20"/>
                <w:szCs w:val="20"/>
                <w:color w:val="auto"/>
              </w:rPr>
            </w:pPr>
            <w:r>
              <w:rPr>
                <w:rFonts w:ascii="Arial" w:cs="Arial" w:eastAsia="Arial" w:hAnsi="Arial"/>
                <w:sz w:val="18"/>
                <w:szCs w:val="18"/>
                <w:color w:val="auto"/>
              </w:rPr>
              <w:t>/s/ Shawn K. Singh</w:t>
            </w:r>
          </w:p>
        </w:tc>
      </w:tr>
      <w:tr>
        <w:trPr>
          <w:trHeight w:val="228"/>
        </w:trPr>
        <w:tc>
          <w:tcPr>
            <w:tcW w:w="6500" w:type="dxa"/>
            <w:vAlign w:val="bottom"/>
          </w:tcPr>
          <w:p>
            <w:pPr>
              <w:spacing w:after="0"/>
              <w:rPr>
                <w:sz w:val="19"/>
                <w:szCs w:val="19"/>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Shawn K. Singh</w:t>
            </w:r>
          </w:p>
        </w:tc>
        <w:tc>
          <w:tcPr>
            <w:tcW w:w="580" w:type="dxa"/>
            <w:vAlign w:val="bottom"/>
          </w:tcPr>
          <w:p>
            <w:pPr>
              <w:spacing w:after="0"/>
              <w:rPr>
                <w:sz w:val="19"/>
                <w:szCs w:val="19"/>
                <w:color w:val="auto"/>
              </w:rPr>
            </w:pPr>
          </w:p>
        </w:tc>
      </w:tr>
      <w:tr>
        <w:trPr>
          <w:trHeight w:val="222"/>
        </w:trPr>
        <w:tc>
          <w:tcPr>
            <w:tcW w:w="650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w w:val="90"/>
              </w:rPr>
              <w:t>Principal Executive Officer</w:t>
            </w:r>
          </w:p>
        </w:tc>
      </w:tr>
    </w:tbl>
    <w:p>
      <w:pPr>
        <w:sectPr>
          <w:pgSz w:w="11900" w:h="16838" w:orient="portrait"/>
          <w:cols w:equalWidth="0" w:num="1">
            <w:col w:w="11420"/>
          </w:cols>
          <w:pgMar w:left="240" w:top="34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25"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left="660" w:hanging="652"/>
        <w:spacing w:after="0" w:line="370" w:lineRule="auto"/>
        <w:tabs>
          <w:tab w:leader="none" w:pos="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16" w:lineRule="exact"/>
        <w:rPr>
          <w:rFonts w:ascii="Arial" w:cs="Arial" w:eastAsia="Arial" w:hAnsi="Arial"/>
          <w:sz w:val="15"/>
          <w:szCs w:val="15"/>
          <w:color w:val="auto"/>
        </w:rPr>
      </w:pPr>
    </w:p>
    <w:p>
      <w:pPr>
        <w:ind w:left="660" w:hanging="652"/>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660" w:right="20" w:hanging="652"/>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firstLine="332"/>
        <w:spacing w:after="0" w:line="259" w:lineRule="auto"/>
        <w:tabs>
          <w:tab w:leader="none" w:pos="943"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firstLine="332"/>
        <w:spacing w:after="0" w:line="259" w:lineRule="auto"/>
        <w:tabs>
          <w:tab w:leader="none" w:pos="127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firstLine="332"/>
        <w:spacing w:after="0" w:line="332" w:lineRule="auto"/>
        <w:tabs>
          <w:tab w:leader="none" w:pos="958"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firstLine="332"/>
        <w:spacing w:after="0" w:line="259" w:lineRule="auto"/>
        <w:tabs>
          <w:tab w:leader="none" w:pos="976"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20" w:hanging="652"/>
        <w:spacing w:after="0" w:line="33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firstLine="332"/>
        <w:spacing w:after="0" w:line="268" w:lineRule="auto"/>
        <w:tabs>
          <w:tab w:leader="none" w:pos="1087"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firstLine="332"/>
        <w:spacing w:after="0" w:line="268" w:lineRule="auto"/>
        <w:tabs>
          <w:tab w:leader="none" w:pos="948"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20"/>
                <w:szCs w:val="20"/>
                <w:color w:val="auto"/>
              </w:rPr>
            </w:pPr>
            <w:r>
              <w:rPr>
                <w:rFonts w:ascii="Arial" w:cs="Arial" w:eastAsia="Arial" w:hAnsi="Arial"/>
                <w:sz w:val="18"/>
                <w:szCs w:val="18"/>
                <w:color w:val="auto"/>
              </w:rPr>
              <w:t>August 14, 2017</w:t>
            </w:r>
          </w:p>
        </w:tc>
        <w:tc>
          <w:tcPr>
            <w:tcW w:w="1880" w:type="dxa"/>
            <w:vAlign w:val="bottom"/>
            <w:gridSpan w:val="2"/>
          </w:tcPr>
          <w:p>
            <w:pPr>
              <w:spacing w:after="0"/>
              <w:rPr>
                <w:sz w:val="20"/>
                <w:szCs w:val="20"/>
                <w:color w:val="auto"/>
              </w:rPr>
            </w:pPr>
            <w:r>
              <w:rPr>
                <w:rFonts w:ascii="Arial" w:cs="Arial" w:eastAsia="Arial" w:hAnsi="Arial"/>
                <w:sz w:val="18"/>
                <w:szCs w:val="18"/>
                <w:color w:val="auto"/>
              </w:rPr>
              <w:t>/s/ Jerrold D. Dotson</w:t>
            </w:r>
          </w:p>
        </w:tc>
      </w:tr>
      <w:tr>
        <w:trPr>
          <w:trHeight w:val="228"/>
        </w:trPr>
        <w:tc>
          <w:tcPr>
            <w:tcW w:w="5840" w:type="dxa"/>
            <w:vAlign w:val="bottom"/>
          </w:tcPr>
          <w:p>
            <w:pPr>
              <w:spacing w:after="0"/>
              <w:rPr>
                <w:sz w:val="19"/>
                <w:szCs w:val="19"/>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Jerrold D. Dotson</w:t>
            </w:r>
          </w:p>
        </w:tc>
        <w:tc>
          <w:tcPr>
            <w:tcW w:w="420" w:type="dxa"/>
            <w:vAlign w:val="bottom"/>
          </w:tcPr>
          <w:p>
            <w:pPr>
              <w:spacing w:after="0"/>
              <w:rPr>
                <w:sz w:val="19"/>
                <w:szCs w:val="19"/>
                <w:color w:val="auto"/>
              </w:rPr>
            </w:pPr>
          </w:p>
        </w:tc>
      </w:tr>
      <w:tr>
        <w:trPr>
          <w:trHeight w:val="222"/>
        </w:trPr>
        <w:tc>
          <w:tcPr>
            <w:tcW w:w="584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w w:val="91"/>
              </w:rPr>
              <w:t>Principal Financial Officer</w:t>
            </w:r>
          </w:p>
        </w:tc>
      </w:tr>
    </w:tbl>
    <w:p>
      <w:pPr>
        <w:sectPr>
          <w:pgSz w:w="11900" w:h="16838" w:orient="portrait"/>
          <w:cols w:equalWidth="0" w:num="1">
            <w:col w:w="11420"/>
          </w:cols>
          <w:pgMar w:left="240" w:top="34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for the quarter ended June 30, 2017 as filed with the Securities and Exchange Commission on the date hereof (the “</w:t>
      </w:r>
      <w:r>
        <w:rPr>
          <w:rFonts w:ascii="Arial" w:cs="Arial" w:eastAsia="Arial" w:hAnsi="Arial"/>
          <w:sz w:val="18"/>
          <w:szCs w:val="18"/>
          <w:i w:val="1"/>
          <w:iCs w:val="1"/>
          <w:color w:val="auto"/>
        </w:rPr>
        <w:t>Report</w:t>
      </w:r>
      <w:r>
        <w:rPr>
          <w:rFonts w:ascii="Arial" w:cs="Arial" w:eastAsia="Arial" w:hAnsi="Arial"/>
          <w:sz w:val="18"/>
          <w:szCs w:val="18"/>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19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 (d)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August 14,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32"/>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2020-01-18T01:24:07Z</dcterms:created>
  <dcterms:modified xsi:type="dcterms:W3CDTF">2020-01-18T01:24:07Z</dcterms:modified>
</cp:coreProperties>
</file>