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SEC Only (as permitted by Rule 14a-6(e)(2))</w:t>
      </w:r>
    </w:p>
    <w:p>
      <w:pPr>
        <w:spacing w:after="0" w:line="9"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Additional Materials</w:t>
      </w:r>
    </w:p>
    <w:p>
      <w:pPr>
        <w:spacing w:after="0" w:line="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6"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466090</wp:posOffset>
            </wp:positionV>
            <wp:extent cx="1235075" cy="797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26, 2019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19" w:lineRule="exact"/>
        <w:rPr>
          <w:sz w:val="20"/>
          <w:szCs w:val="20"/>
          <w:color w:val="auto"/>
        </w:rPr>
      </w:pPr>
    </w:p>
    <w:p>
      <w:pPr>
        <w:jc w:val="both"/>
        <w:ind w:left="180" w:right="60" w:firstLine="648"/>
        <w:spacing w:after="0" w:line="259" w:lineRule="auto"/>
        <w:rPr>
          <w:sz w:val="20"/>
          <w:szCs w:val="20"/>
          <w:color w:val="auto"/>
        </w:rPr>
      </w:pPr>
      <w:r>
        <w:rPr>
          <w:rFonts w:ascii="Arial" w:cs="Arial" w:eastAsia="Arial" w:hAnsi="Arial"/>
          <w:sz w:val="18"/>
          <w:szCs w:val="18"/>
          <w:color w:val="auto"/>
        </w:rPr>
        <w:t xml:space="preserve">You are cordially invited to attend the 2019 Annual Meeting of Stockholders of VistaGen Therapeutics, Inc. (the </w:t>
      </w:r>
      <w:r>
        <w:rPr>
          <w:rFonts w:ascii="Arial" w:cs="Arial" w:eastAsia="Arial" w:hAnsi="Arial"/>
          <w:sz w:val="18"/>
          <w:szCs w:val="18"/>
          <w:i w:val="1"/>
          <w:iCs w:val="1"/>
          <w:color w:val="auto"/>
        </w:rPr>
        <w:t>Annual Meeting</w:t>
      </w:r>
      <w:r>
        <w:rPr>
          <w:rFonts w:ascii="Arial" w:cs="Arial" w:eastAsia="Arial" w:hAnsi="Arial"/>
          <w:sz w:val="18"/>
          <w:szCs w:val="18"/>
          <w:color w:val="auto"/>
        </w:rPr>
        <w:t>). The Annual Meeting will be held at the San Francisco Airport Marriott Waterfront Hotel, located at 1800 Old Bayshore Highway, Burlingame, California 94010, on Thursday, September 5, 2019, at 10:00 a.m. local time.</w:t>
      </w:r>
    </w:p>
    <w:p>
      <w:pPr>
        <w:spacing w:after="0" w:line="194" w:lineRule="exact"/>
        <w:rPr>
          <w:sz w:val="20"/>
          <w:szCs w:val="20"/>
          <w:color w:val="auto"/>
        </w:rPr>
      </w:pPr>
    </w:p>
    <w:p>
      <w:pPr>
        <w:jc w:val="both"/>
        <w:ind w:left="180" w:right="60" w:firstLine="648"/>
        <w:spacing w:after="0" w:line="298" w:lineRule="auto"/>
        <w:rPr>
          <w:sz w:val="20"/>
          <w:szCs w:val="20"/>
          <w:color w:val="auto"/>
        </w:rPr>
      </w:pPr>
      <w:r>
        <w:rPr>
          <w:rFonts w:ascii="Arial" w:cs="Arial" w:eastAsia="Arial" w:hAnsi="Arial"/>
          <w:sz w:val="16"/>
          <w:szCs w:val="16"/>
          <w:color w:val="auto"/>
        </w:rPr>
        <w:t xml:space="preserve">Details of the business to be conducted at the Annual Meeting are described both in the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you have received in the mail and in this Proxy Statement. We have also made our Annual Report on Form 10-K for our fiscal year ended March 31, 2019 (</w:t>
      </w:r>
      <w:r>
        <w:rPr>
          <w:rFonts w:ascii="Arial" w:cs="Arial" w:eastAsia="Arial" w:hAnsi="Arial"/>
          <w:sz w:val="16"/>
          <w:szCs w:val="16"/>
          <w:i w:val="1"/>
          <w:iCs w:val="1"/>
          <w:color w:val="auto"/>
        </w:rPr>
        <w:t>Annual Report</w:t>
      </w:r>
      <w:r>
        <w:rPr>
          <w:rFonts w:ascii="Arial" w:cs="Arial" w:eastAsia="Arial" w:hAnsi="Arial"/>
          <w:sz w:val="16"/>
          <w:szCs w:val="16"/>
          <w:color w:val="auto"/>
        </w:rPr>
        <w:t>) available to you with this Proxy Statement. We encourage you to read our Annual Report. It includes our audited financial statements and provides information about recent company highlights, upcoming milestones and progress executing on key priorities of our corporate strategy.</w:t>
      </w:r>
    </w:p>
    <w:p>
      <w:pPr>
        <w:spacing w:after="0" w:line="167" w:lineRule="exact"/>
        <w:rPr>
          <w:sz w:val="20"/>
          <w:szCs w:val="20"/>
          <w:color w:val="auto"/>
        </w:rPr>
      </w:pPr>
    </w:p>
    <w:p>
      <w:pPr>
        <w:jc w:val="both"/>
        <w:ind w:left="180" w:right="60" w:firstLine="648"/>
        <w:spacing w:after="0" w:line="256" w:lineRule="auto"/>
        <w:rPr>
          <w:sz w:val="20"/>
          <w:szCs w:val="20"/>
          <w:color w:val="auto"/>
        </w:rPr>
      </w:pPr>
      <w:r>
        <w:rPr>
          <w:rFonts w:ascii="Arial" w:cs="Arial" w:eastAsia="Arial" w:hAnsi="Arial"/>
          <w:sz w:val="18"/>
          <w:szCs w:val="18"/>
          <w:color w:val="auto"/>
        </w:rPr>
        <w:t>As part of our efforts to conserve environmental resources and prevent unnecessary corporate expenses, we have elected to provide access to our proxy materials electronically over the Internet, rather than producing and mailing paper copies. We believe that providing our proxy materials over the Internet increases our stockholders’ ability to access information they need, while also conserving natural resources and reducing the costs of our Annual Meeting.</w:t>
      </w:r>
    </w:p>
    <w:p>
      <w:pPr>
        <w:spacing w:after="0" w:line="191" w:lineRule="exact"/>
        <w:rPr>
          <w:sz w:val="20"/>
          <w:szCs w:val="20"/>
          <w:color w:val="auto"/>
        </w:rPr>
      </w:pPr>
    </w:p>
    <w:p>
      <w:pPr>
        <w:jc w:val="both"/>
        <w:ind w:left="180" w:right="60" w:firstLine="648"/>
        <w:spacing w:after="0" w:line="310" w:lineRule="auto"/>
        <w:rPr>
          <w:sz w:val="20"/>
          <w:szCs w:val="20"/>
          <w:color w:val="auto"/>
        </w:rPr>
      </w:pPr>
      <w:r>
        <w:rPr>
          <w:rFonts w:ascii="Arial" w:cs="Arial" w:eastAsia="Arial" w:hAnsi="Arial"/>
          <w:sz w:val="16"/>
          <w:szCs w:val="16"/>
          <w:color w:val="auto"/>
        </w:rPr>
        <w:t xml:space="preserve">Regardless of whether you plan to attend our Annual Meeting in person, </w:t>
      </w:r>
      <w:r>
        <w:rPr>
          <w:rFonts w:ascii="Arial" w:cs="Arial" w:eastAsia="Arial" w:hAnsi="Arial"/>
          <w:sz w:val="16"/>
          <w:szCs w:val="16"/>
          <w:b w:val="1"/>
          <w:bCs w:val="1"/>
          <w:color w:val="auto"/>
        </w:rPr>
        <w:t>please read the accompanying Proxy Statement and then vote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Internet, telephone or postal mail as promptly as possible. </w:t>
      </w:r>
      <w:r>
        <w:rPr>
          <w:rFonts w:ascii="Arial" w:cs="Arial" w:eastAsia="Arial" w:hAnsi="Arial"/>
          <w:sz w:val="16"/>
          <w:szCs w:val="16"/>
          <w:color w:val="auto"/>
        </w:rPr>
        <w:t>Please refer to the Notice for instructions on submitting your votes. Voting promptly will save us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expense in further soliciting proxies and will ensure that your shares are represented at the Annual Meeting.</w:t>
      </w:r>
    </w:p>
    <w:p>
      <w:pPr>
        <w:spacing w:after="0" w:line="157" w:lineRule="exact"/>
        <w:rPr>
          <w:sz w:val="20"/>
          <w:szCs w:val="20"/>
          <w:color w:val="auto"/>
        </w:rPr>
      </w:pPr>
    </w:p>
    <w:p>
      <w:pPr>
        <w:jc w:val="both"/>
        <w:ind w:left="180" w:right="60" w:firstLine="648"/>
        <w:spacing w:after="0" w:line="268" w:lineRule="auto"/>
        <w:rPr>
          <w:sz w:val="20"/>
          <w:szCs w:val="20"/>
          <w:color w:val="auto"/>
        </w:rPr>
      </w:pPr>
      <w:r>
        <w:rPr>
          <w:rFonts w:ascii="Arial" w:cs="Arial" w:eastAsia="Arial" w:hAnsi="Arial"/>
          <w:sz w:val="18"/>
          <w:szCs w:val="18"/>
          <w:color w:val="auto"/>
        </w:rPr>
        <w:t>Our Board of Directors has unanimously approved the proposals set forth in the accompanying Proxy Statement and we recommend that you vote in favor of each such proposal.</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look forward to seeing you at our Annual Meeting.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165735</wp:posOffset>
            </wp:positionV>
            <wp:extent cx="1689735"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 S. Saxe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363220</wp:posOffset>
            </wp:positionV>
            <wp:extent cx="1235075" cy="797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5,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25" w:lineRule="exact"/>
        <w:rPr>
          <w:sz w:val="20"/>
          <w:szCs w:val="20"/>
          <w:color w:val="auto"/>
        </w:rPr>
      </w:pPr>
    </w:p>
    <w:p>
      <w:pPr>
        <w:jc w:val="both"/>
        <w:ind w:left="180" w:right="60" w:firstLine="486"/>
        <w:spacing w:after="0" w:line="306" w:lineRule="auto"/>
        <w:rPr>
          <w:sz w:val="20"/>
          <w:szCs w:val="20"/>
          <w:color w:val="auto"/>
        </w:rPr>
      </w:pPr>
      <w:r>
        <w:rPr>
          <w:rFonts w:ascii="Arial" w:cs="Arial" w:eastAsia="Arial" w:hAnsi="Arial"/>
          <w:sz w:val="16"/>
          <w:szCs w:val="16"/>
          <w:color w:val="auto"/>
        </w:rPr>
        <w:t xml:space="preserve">We are pleased to invite you to attend the 2019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or </w:t>
      </w:r>
      <w:r>
        <w:rPr>
          <w:rFonts w:ascii="Arial" w:cs="Arial" w:eastAsia="Arial" w:hAnsi="Arial"/>
          <w:sz w:val="16"/>
          <w:szCs w:val="16"/>
          <w:i w:val="1"/>
          <w:iCs w:val="1"/>
          <w:color w:val="auto"/>
        </w:rPr>
        <w:t>our</w:t>
      </w:r>
      <w:r>
        <w:rPr>
          <w:rFonts w:ascii="Arial" w:cs="Arial" w:eastAsia="Arial" w:hAnsi="Arial"/>
          <w:sz w:val="16"/>
          <w:szCs w:val="16"/>
          <w:color w:val="auto"/>
        </w:rPr>
        <w:t>), which will be held at the San Francisco Airport Marriott Waterfront Hotel, located at 1800 Old Bayshore Highway, Burlingame, California 94010, on Thursday, September 5, 2019, at 10:00 a.m. local time, for the following purposes:</w:t>
      </w:r>
    </w:p>
    <w:p>
      <w:pPr>
        <w:spacing w:after="0" w:line="161" w:lineRule="exact"/>
        <w:rPr>
          <w:sz w:val="20"/>
          <w:szCs w:val="20"/>
          <w:color w:val="auto"/>
        </w:rPr>
      </w:pPr>
    </w:p>
    <w:p>
      <w:pPr>
        <w:ind w:left="820" w:hanging="241"/>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six directors to our Board of Directors, each to serve until our 2020 Annual Meeting of Stockholders, or until her or his respective successor is elected and qualified;</w:t>
      </w:r>
    </w:p>
    <w:p>
      <w:pPr>
        <w:spacing w:after="0" w:line="185" w:lineRule="exact"/>
        <w:rPr>
          <w:rFonts w:ascii="Arial" w:cs="Arial" w:eastAsia="Arial" w:hAnsi="Arial"/>
          <w:sz w:val="18"/>
          <w:szCs w:val="18"/>
          <w:color w:val="auto"/>
        </w:rPr>
      </w:pPr>
    </w:p>
    <w:p>
      <w:pPr>
        <w:ind w:left="820" w:hanging="241"/>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approve an amendment to the Company’s Restated Articles of Incorporation to increase the authorized number of shares of common stock from 100.0 million shares to 175.0 million shares (the </w:t>
      </w:r>
      <w:r>
        <w:rPr>
          <w:rFonts w:ascii="Arial" w:cs="Arial" w:eastAsia="Arial" w:hAnsi="Arial"/>
          <w:sz w:val="18"/>
          <w:szCs w:val="18"/>
          <w:i w:val="1"/>
          <w:iCs w:val="1"/>
          <w:color w:val="auto"/>
        </w:rPr>
        <w:t>Charter Amendment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820" w:hanging="24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our 2019 Omnibus Equity Incentive Plan (</w:t>
      </w:r>
      <w:r>
        <w:rPr>
          <w:rFonts w:ascii="Arial" w:cs="Arial" w:eastAsia="Arial" w:hAnsi="Arial"/>
          <w:sz w:val="18"/>
          <w:szCs w:val="18"/>
          <w:i w:val="1"/>
          <w:iCs w:val="1"/>
          <w:color w:val="auto"/>
        </w:rPr>
        <w:t>2019 Plan</w:t>
      </w:r>
      <w:r>
        <w:rPr>
          <w:rFonts w:ascii="Arial" w:cs="Arial" w:eastAsia="Arial" w:hAnsi="Arial"/>
          <w:sz w:val="18"/>
          <w:szCs w:val="18"/>
          <w:color w:val="auto"/>
        </w:rPr>
        <w:t xml:space="preserve"> ) and ratify all issuances thereunder to date;</w:t>
      </w:r>
    </w:p>
    <w:p>
      <w:pPr>
        <w:spacing w:after="0" w:line="225" w:lineRule="exact"/>
        <w:rPr>
          <w:rFonts w:ascii="Arial" w:cs="Arial" w:eastAsia="Arial" w:hAnsi="Arial"/>
          <w:sz w:val="18"/>
          <w:szCs w:val="18"/>
          <w:color w:val="auto"/>
        </w:rPr>
      </w:pPr>
    </w:p>
    <w:p>
      <w:pPr>
        <w:ind w:left="820" w:hanging="24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our 2019 Employee 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820" w:hanging="24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our Named Executive Officers;</w:t>
      </w:r>
    </w:p>
    <w:p>
      <w:pPr>
        <w:spacing w:after="0" w:line="225" w:lineRule="exact"/>
        <w:rPr>
          <w:rFonts w:ascii="Arial" w:cs="Arial" w:eastAsia="Arial" w:hAnsi="Arial"/>
          <w:sz w:val="18"/>
          <w:szCs w:val="18"/>
          <w:color w:val="auto"/>
        </w:rPr>
      </w:pPr>
    </w:p>
    <w:p>
      <w:pPr>
        <w:ind w:left="820" w:hanging="241"/>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OUM &amp; Co. LLP as our independent registered public accountants for our fiscal year ending March 31, 2020; and</w:t>
      </w:r>
    </w:p>
    <w:p>
      <w:pPr>
        <w:spacing w:after="0" w:line="248" w:lineRule="exact"/>
        <w:rPr>
          <w:rFonts w:ascii="Arial" w:cs="Arial" w:eastAsia="Arial" w:hAnsi="Arial"/>
          <w:sz w:val="16"/>
          <w:szCs w:val="16"/>
          <w:color w:val="auto"/>
        </w:rPr>
      </w:pPr>
    </w:p>
    <w:p>
      <w:pPr>
        <w:ind w:left="820" w:hanging="241"/>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upon such other matters as may properly come before the Annual Meeting or any adjournment or postponement of the Annual Meeting.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matters are more fully discussed in the attached Proxy Statement.</w:t>
      </w:r>
    </w:p>
    <w:p>
      <w:pPr>
        <w:spacing w:after="0" w:line="225" w:lineRule="exact"/>
        <w:rPr>
          <w:sz w:val="20"/>
          <w:szCs w:val="20"/>
          <w:color w:val="auto"/>
        </w:rPr>
      </w:pPr>
    </w:p>
    <w:p>
      <w:pPr>
        <w:jc w:val="both"/>
        <w:ind w:left="180" w:right="60" w:firstLine="486"/>
        <w:spacing w:after="0" w:line="253" w:lineRule="auto"/>
        <w:rPr>
          <w:sz w:val="20"/>
          <w:szCs w:val="20"/>
          <w:color w:val="auto"/>
        </w:rPr>
      </w:pPr>
      <w:r>
        <w:rPr>
          <w:rFonts w:ascii="Arial" w:cs="Arial" w:eastAsia="Arial" w:hAnsi="Arial"/>
          <w:sz w:val="18"/>
          <w:szCs w:val="18"/>
          <w:color w:val="auto"/>
        </w:rPr>
        <w:t>We have elected to provide access to our proxy materials primarily electronically over the Internet, pursuant to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We believe this process expedites our stockholders’ receipt of proxy materials, conserves natural resources and reduces the costs of the Annual Meeting. On or about July 26, 2019, we mailed a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xml:space="preserve">) to each of our stockholders entitled to notice of and to vote at the Annual Meeting, which contained instructions for accessing the attached Proxy Statement, our Annual Report on Form 10-K for our fiscal year ended March 31, 2019 (the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voting instructions. The Notice also included instructions on how you can receive a paper copy of your proxy materials. </w:t>
      </w:r>
      <w:r>
        <w:rPr>
          <w:rFonts w:ascii="Arial" w:cs="Arial" w:eastAsia="Arial" w:hAnsi="Arial"/>
          <w:sz w:val="18"/>
          <w:szCs w:val="18"/>
          <w:b w:val="1"/>
          <w:bCs w:val="1"/>
          <w:color w:val="auto"/>
        </w:rPr>
        <w:t>The Proxy Statement and the Annual Report both are available on the Internet at:</w:t>
      </w:r>
      <w:r>
        <w:rPr>
          <w:rFonts w:ascii="Arial" w:cs="Arial" w:eastAsia="Arial" w:hAnsi="Arial"/>
          <w:sz w:val="18"/>
          <w:szCs w:val="18"/>
          <w:color w:val="auto"/>
        </w:rPr>
        <w:t xml:space="preserve"> </w:t>
      </w:r>
      <w:r>
        <w:rPr>
          <w:rFonts w:ascii="Arial" w:cs="Arial" w:eastAsia="Arial" w:hAnsi="Arial"/>
          <w:sz w:val="18"/>
          <w:szCs w:val="18"/>
          <w:b w:val="1"/>
          <w:bCs w:val="1"/>
          <w:color w:val="auto"/>
        </w:rPr>
        <w:t>www.envisionreports.com/VTGN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left="180" w:right="60" w:firstLine="486"/>
        <w:spacing w:after="0" w:line="294" w:lineRule="auto"/>
        <w:rPr>
          <w:sz w:val="20"/>
          <w:szCs w:val="20"/>
          <w:color w:val="auto"/>
        </w:rPr>
      </w:pPr>
      <w:r>
        <w:rPr>
          <w:rFonts w:ascii="Arial" w:cs="Arial" w:eastAsia="Arial" w:hAnsi="Arial"/>
          <w:sz w:val="16"/>
          <w:szCs w:val="16"/>
          <w:color w:val="auto"/>
        </w:rPr>
        <w:t xml:space="preserve">The close of business on Friday, July 12, 2019 (the </w:t>
      </w:r>
      <w:r>
        <w:rPr>
          <w:rFonts w:ascii="Arial" w:cs="Arial" w:eastAsia="Arial" w:hAnsi="Arial"/>
          <w:sz w:val="16"/>
          <w:szCs w:val="16"/>
          <w:i w:val="1"/>
          <w:iCs w:val="1"/>
          <w:color w:val="auto"/>
        </w:rPr>
        <w:t>Record Date</w:t>
      </w:r>
      <w:r>
        <w:rPr>
          <w:rFonts w:ascii="Arial" w:cs="Arial" w:eastAsia="Arial" w:hAnsi="Arial"/>
          <w:sz w:val="16"/>
          <w:szCs w:val="16"/>
          <w:color w:val="auto"/>
        </w:rPr>
        <w:t>)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at our corporate offices, located at 343 Allerton Avenue, South San Francisco, California 94080, during normal business hours for a period of ten days prior to the Annual Meeting, and at the time and place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260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YOUR VOTES ARE IMPORTANT</w:t>
      </w:r>
    </w:p>
    <w:p>
      <w:pPr>
        <w:spacing w:after="0" w:line="225" w:lineRule="exact"/>
        <w:rPr>
          <w:sz w:val="20"/>
          <w:szCs w:val="20"/>
          <w:color w:val="auto"/>
        </w:rPr>
      </w:pPr>
    </w:p>
    <w:p>
      <w:pPr>
        <w:jc w:val="both"/>
        <w:ind w:left="120" w:right="220"/>
        <w:spacing w:after="0" w:line="256" w:lineRule="auto"/>
        <w:rPr>
          <w:sz w:val="20"/>
          <w:szCs w:val="20"/>
          <w:color w:val="auto"/>
        </w:rPr>
      </w:pPr>
      <w:r>
        <w:rPr>
          <w:rFonts w:ascii="Arial" w:cs="Arial" w:eastAsia="Arial" w:hAnsi="Arial"/>
          <w:sz w:val="18"/>
          <w:szCs w:val="18"/>
          <w:b w:val="1"/>
          <w:bCs w:val="1"/>
          <w:color w:val="auto"/>
        </w:rPr>
        <w:t>All stockholders are cordially invited to attend the Annual Meeting in person. However, to ensure your representation at the Annual Meeting, you are urged to vote by Internet, telephone or postal mail in advance of the Annual Meeting, as promptly as possible. Submitting your votes in advance of the Annual Meeting assures that a quorum will be present at the Annual Meeting and will avoid the Company incurring additional expense for duplicate proxy solicitations. Any stockholder attending the Annual Meeting may vote in person, even if he or she has returned a proxy prior to the Annual Meeting.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6"/>
          <w:szCs w:val="16"/>
          <w:b w:val="1"/>
          <w:bCs w:val="1"/>
          <w:color w:val="auto"/>
        </w:rPr>
        <w:t xml:space="preserve">Whether or not you expect to attend the Annual Meeting in person, we urge you to vote your shares in advance of the Annual Meeting, as promptly as possible, by Internet, telephone or postal mail so that your shares may be represented and voted at the Annual Meeting. </w:t>
      </w:r>
      <w:r>
        <w:rPr>
          <w:rFonts w:ascii="Arial" w:cs="Arial" w:eastAsia="Arial" w:hAnsi="Arial"/>
          <w:sz w:val="16"/>
          <w:szCs w:val="16"/>
          <w:color w:val="auto"/>
        </w:rPr>
        <w:t>If your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held in the name of a bank, broker, brokerage firm or other fiduciary, please follow the instructions on the voting instruction card furnished by the record holder.</w:t>
      </w:r>
    </w:p>
    <w:p>
      <w:pPr>
        <w:spacing w:after="0" w:line="15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Our Board of Directors has unanimously recommended that you vote “FOR” each of the Director nominees identified in Proposal No. 1, and "FOR" Proposals No. 2, 3, 4, 5 and 6, each of which is described in detail in the accompanying Proxy Statement.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ind w:left="4800" w:right="520" w:hanging="4306"/>
        <w:spacing w:after="0" w:line="776"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ANNUAL REPORT AND PROXY STATEMENT ARE AVAILABLE ON THE INTERNET AT www.envisionreports.com/VTGN </w:t>
      </w: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-291465</wp:posOffset>
            </wp:positionV>
            <wp:extent cx="150939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377190"/>
                    </a:xfrm>
                    <a:prstGeom prst="rect">
                      <a:avLst/>
                    </a:prstGeom>
                    <a:noFill/>
                  </pic:spPr>
                </pic:pic>
              </a:graphicData>
            </a:graphic>
          </wp:anchor>
        </w:drawing>
      </w:r>
    </w:p>
    <w:p>
      <w:pPr>
        <w:spacing w:after="0" w:line="10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Jerrold D. Dotson</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363220</wp:posOffset>
            </wp:positionV>
            <wp:extent cx="123507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enclosed proxy is solicited on behalf of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 </w:t>
      </w:r>
      <w:r>
        <w:rPr>
          <w:rFonts w:ascii="Arial" w:cs="Arial" w:eastAsia="Arial" w:hAnsi="Arial"/>
          <w:sz w:val="18"/>
          <w:szCs w:val="18"/>
          <w:color w:val="auto"/>
        </w:rPr>
        <w:t>or</w:t>
      </w:r>
      <w:r>
        <w:rPr>
          <w:rFonts w:ascii="Arial" w:cs="Arial" w:eastAsia="Arial" w:hAnsi="Arial"/>
          <w:sz w:val="18"/>
          <w:szCs w:val="18"/>
          <w:i w:val="1"/>
          <w:iCs w:val="1"/>
          <w:color w:val="auto"/>
        </w:rPr>
        <w:t xml:space="preserve"> our</w:t>
      </w:r>
      <w:r>
        <w:rPr>
          <w:rFonts w:ascii="Arial" w:cs="Arial" w:eastAsia="Arial" w:hAnsi="Arial"/>
          <w:sz w:val="18"/>
          <w:szCs w:val="18"/>
          <w:color w:val="auto"/>
        </w:rPr>
        <w:t>), for use at the Company’s 2019 Annual Meeting of Stockholders (the</w:t>
      </w:r>
      <w:r>
        <w:rPr>
          <w:rFonts w:ascii="Arial" w:cs="Arial" w:eastAsia="Arial" w:hAnsi="Arial"/>
          <w:sz w:val="18"/>
          <w:szCs w:val="18"/>
          <w:i w:val="1"/>
          <w:iCs w:val="1"/>
          <w:color w:val="auto"/>
        </w:rPr>
        <w:t xml:space="preserve"> Annual Meeting</w:t>
      </w:r>
      <w:r>
        <w:rPr>
          <w:rFonts w:ascii="Arial" w:cs="Arial" w:eastAsia="Arial" w:hAnsi="Arial"/>
          <w:sz w:val="18"/>
          <w:szCs w:val="18"/>
          <w:color w:val="auto"/>
        </w:rPr>
        <w:t>) to be held on Friday, September 5, 2019, at 10:00 a.m. local</w:t>
      </w:r>
      <w:r>
        <w:rPr>
          <w:rFonts w:ascii="Arial" w:cs="Arial" w:eastAsia="Arial" w:hAnsi="Arial"/>
          <w:sz w:val="18"/>
          <w:szCs w:val="18"/>
          <w:i w:val="1"/>
          <w:iCs w:val="1"/>
          <w:color w:val="auto"/>
        </w:rPr>
        <w:t xml:space="preserve"> </w:t>
      </w:r>
      <w:r>
        <w:rPr>
          <w:rFonts w:ascii="Arial" w:cs="Arial" w:eastAsia="Arial" w:hAnsi="Arial"/>
          <w:sz w:val="18"/>
          <w:szCs w:val="18"/>
          <w:color w:val="auto"/>
        </w:rPr>
        <w:t>time, and at any adjournment or postponement thereof, at the San Francisco Airport Marriott Waterfront Hotel, located at 1800 Old Bayshore Highway, Burlingame, California 94010.</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provide access to the proxy materials for the Annual Meeting primarily over the Internet in accordance with the U.S. Securities and Exchange Commission’s (</w:t>
      </w:r>
      <w:r>
        <w:rPr>
          <w:rFonts w:ascii="Arial" w:cs="Arial" w:eastAsia="Arial" w:hAnsi="Arial"/>
          <w:sz w:val="18"/>
          <w:szCs w:val="18"/>
          <w:i w:val="1"/>
          <w:iCs w:val="1"/>
          <w:color w:val="auto"/>
        </w:rPr>
        <w:t>SEC</w:t>
      </w:r>
      <w:r>
        <w:rPr>
          <w:rFonts w:ascii="Arial" w:cs="Arial" w:eastAsia="Arial" w:hAnsi="Arial"/>
          <w:sz w:val="18"/>
          <w:szCs w:val="18"/>
          <w:color w:val="auto"/>
        </w:rPr>
        <w:t xml:space="preserve">) “notice and access” rules. On or about July 26, 2019, we mailed a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to each of our stockholders entitled to notice of and to vote at the Annual Meeting. The Notice contained instructions for accessing this Proxy Statement, our Annual Report on Form 10-K for our fiscal year ended March 31, 2019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and Annual Meeting voting instructions. The Notice also included instructions on how you can receive a paper copy of your proxy materials. </w:t>
      </w:r>
      <w:r>
        <w:rPr>
          <w:rFonts w:ascii="Arial" w:cs="Arial" w:eastAsia="Arial" w:hAnsi="Arial"/>
          <w:sz w:val="18"/>
          <w:szCs w:val="18"/>
          <w:b w:val="1"/>
          <w:bCs w:val="1"/>
          <w:color w:val="auto"/>
        </w:rPr>
        <w:t>This Proxy Statement and the Annual Report are available on the Internet at:</w:t>
      </w:r>
      <w:r>
        <w:rPr>
          <w:rFonts w:ascii="Arial" w:cs="Arial" w:eastAsia="Arial" w:hAnsi="Arial"/>
          <w:sz w:val="18"/>
          <w:szCs w:val="18"/>
          <w:color w:val="auto"/>
        </w:rPr>
        <w:t xml:space="preserve"> </w:t>
      </w:r>
      <w:r>
        <w:rPr>
          <w:rFonts w:ascii="Arial" w:cs="Arial" w:eastAsia="Arial" w:hAnsi="Arial"/>
          <w:sz w:val="18"/>
          <w:szCs w:val="18"/>
          <w:b w:val="1"/>
          <w:bCs w:val="1"/>
          <w:color w:val="auto"/>
        </w:rPr>
        <w:t>www.envisionreports.com/VTGN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jc w:val="both"/>
        <w:ind w:firstLine="690"/>
        <w:spacing w:after="0" w:line="256" w:lineRule="auto"/>
        <w:rPr>
          <w:sz w:val="20"/>
          <w:szCs w:val="20"/>
          <w:color w:val="auto"/>
        </w:rPr>
      </w:pPr>
      <w:r>
        <w:rPr>
          <w:rFonts w:ascii="Arial" w:cs="Arial" w:eastAsia="Arial" w:hAnsi="Arial"/>
          <w:sz w:val="18"/>
          <w:szCs w:val="18"/>
          <w:color w:val="auto"/>
        </w:rPr>
        <w:t xml:space="preserve">The specific proposals to be considered and acted upon at the Annual Meeting are each described in this Proxy Statement. Only holders of our common stock as of the close of business on Friday, July 12, 2019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 and to vote at the Annual Meeting. On the Record Date, there were 42,622,965 shares of our common stock issued and outstanding. Each holder of common stock is entitled to one vote for each share held as of the Record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order for any business to be conducted at the Annual Meeting, the holders of more than 50% of the shares entitled to vote must be represented at the Annual Meeting, either in person or by properly executed proxy. If a quorum is not present at the scheduled time of the Annual Meeting, the stockholders who are present may adjourn the Annual Meeting until a quorum is present. The time and place of the adjourned Annual Meeting will be announced at the time the adjournment is taken, and no other notice will be given. An adjournment will have no effect on the business that may be conducted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w:t>
      </w:r>
    </w:p>
    <w:p>
      <w:pPr>
        <w:spacing w:after="0" w:line="258"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six nominees who receive the greatest number of votes cast at the Annual Meeting by the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person or by proxy, and entitled to vote will be elected to serve on our Board of Directors until our 2020 Annual Meeting of Stockholders, or until her or his successor is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ind w:firstLine="486"/>
        <w:spacing w:after="0" w:line="254" w:lineRule="auto"/>
        <w:rPr>
          <w:sz w:val="20"/>
          <w:szCs w:val="20"/>
          <w:color w:val="auto"/>
        </w:rPr>
      </w:pPr>
      <w:r>
        <w:rPr>
          <w:rFonts w:ascii="Arial" w:cs="Arial" w:eastAsia="Arial" w:hAnsi="Arial"/>
          <w:sz w:val="18"/>
          <w:szCs w:val="18"/>
          <w:i w:val="1"/>
          <w:iCs w:val="1"/>
          <w:color w:val="auto"/>
        </w:rPr>
        <w:t xml:space="preserve">Proposal No. 2: Amendment to Increase the Company’s Authorized Common Stock. </w:t>
      </w:r>
      <w:r>
        <w:rPr>
          <w:rFonts w:ascii="Arial" w:cs="Arial" w:eastAsia="Arial" w:hAnsi="Arial"/>
          <w:sz w:val="18"/>
          <w:szCs w:val="18"/>
          <w:color w:val="auto"/>
        </w:rPr>
        <w:t>On June 13, 2019, our Board unanimously approved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Restated Articles of Incorporation to increase the number of authorized shares of common stock thereunder from 100 million to 175 million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Pursuant to our Restated Articles of Incorporation, our Amended and Restated Bylaws and the Nevada Revised Statutes, the Charter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must be approved by holders of a majority of our outstanding shares of common stock before taking effect. A copy of the Charter Amendment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 The affirmative “FOR” vote of a majority of our outstanding shares of common stock entitled to vote as of the Record Date is required to approve this proposal.</w:t>
      </w:r>
    </w:p>
    <w:p>
      <w:pPr>
        <w:spacing w:after="0" w:line="198" w:lineRule="exact"/>
        <w:rPr>
          <w:sz w:val="20"/>
          <w:szCs w:val="20"/>
          <w:color w:val="auto"/>
        </w:rPr>
      </w:pPr>
    </w:p>
    <w:p>
      <w:pPr>
        <w:jc w:val="both"/>
        <w:ind w:firstLine="539"/>
        <w:spacing w:after="0" w:line="291" w:lineRule="auto"/>
        <w:rPr>
          <w:sz w:val="20"/>
          <w:szCs w:val="20"/>
          <w:color w:val="auto"/>
        </w:rPr>
      </w:pPr>
      <w:r>
        <w:rPr>
          <w:rFonts w:ascii="Arial" w:cs="Arial" w:eastAsia="Arial" w:hAnsi="Arial"/>
          <w:sz w:val="16"/>
          <w:szCs w:val="16"/>
          <w:i w:val="1"/>
          <w:iCs w:val="1"/>
          <w:color w:val="auto"/>
        </w:rPr>
        <w:t xml:space="preserve">Proposal No. 3: Approval of the Adoption of the Company’s 2019 Omnibus Equity Incentive Plan and Ratification of All Issuances Thereunder to Date. </w:t>
      </w:r>
      <w:r>
        <w:rPr>
          <w:rFonts w:ascii="Arial" w:cs="Arial" w:eastAsia="Arial" w:hAnsi="Arial"/>
          <w:sz w:val="16"/>
          <w:szCs w:val="16"/>
          <w:color w:val="auto"/>
        </w:rPr>
        <w:t>Our Board unanimously approved the Company’s 2019 Omnibus Equity Incentive Plan (</w:t>
      </w:r>
      <w:r>
        <w:rPr>
          <w:rFonts w:ascii="Arial" w:cs="Arial" w:eastAsia="Arial" w:hAnsi="Arial"/>
          <w:sz w:val="16"/>
          <w:szCs w:val="16"/>
          <w:i w:val="1"/>
          <w:iCs w:val="1"/>
          <w:color w:val="auto"/>
        </w:rPr>
        <w:t>2019 Plan</w:t>
      </w:r>
      <w:r>
        <w:rPr>
          <w:rFonts w:ascii="Arial" w:cs="Arial" w:eastAsia="Arial" w:hAnsi="Arial"/>
          <w:sz w:val="16"/>
          <w:szCs w:val="16"/>
          <w:color w:val="auto"/>
        </w:rPr>
        <w:t xml:space="preserve">) on May 27, 2019 and the Compensation Committee of the Board subsequently issued options to purchase 170,000 shares of our common stock under the terms of the 2019 Plan, subject to approval of the 2019 Plan by the Company’s stockholders. A copy of the 2019 Plan is attached to this Proxy Statement as </w:t>
      </w:r>
      <w:r>
        <w:rPr>
          <w:rFonts w:ascii="Arial" w:cs="Arial" w:eastAsia="Arial" w:hAnsi="Arial"/>
          <w:sz w:val="16"/>
          <w:szCs w:val="16"/>
          <w:u w:val="single" w:color="auto"/>
          <w:color w:val="auto"/>
        </w:rPr>
        <w:t>Appendix B</w:t>
      </w:r>
      <w:r>
        <w:rPr>
          <w:rFonts w:ascii="Arial" w:cs="Arial" w:eastAsia="Arial" w:hAnsi="Arial"/>
          <w:sz w:val="16"/>
          <w:szCs w:val="16"/>
          <w:color w:val="auto"/>
          <w:highlight w:val="white"/>
        </w:rPr>
        <w:t>.</w:t>
      </w:r>
      <w:r>
        <w:rPr>
          <w:rFonts w:ascii="Arial" w:cs="Arial" w:eastAsia="Arial" w:hAnsi="Arial"/>
          <w:sz w:val="16"/>
          <w:szCs w:val="16"/>
          <w:color w:val="auto"/>
        </w:rPr>
        <w:t xml:space="preserve"> The affirmative “FOR” vote of a majority of the shares present in person or by proxy at the Annual Meeting and entitled to vote is necessary of approval of this proposal. If approved, this proposal will become effective only subject to the affirmative vote on Proposal No. 2.</w:t>
      </w:r>
    </w:p>
    <w:p>
      <w:pPr>
        <w:spacing w:after="0" w:line="174" w:lineRule="exact"/>
        <w:rPr>
          <w:sz w:val="20"/>
          <w:szCs w:val="20"/>
          <w:color w:val="auto"/>
        </w:rPr>
      </w:pPr>
    </w:p>
    <w:p>
      <w:pPr>
        <w:jc w:val="both"/>
        <w:ind w:firstLine="535"/>
        <w:spacing w:after="0" w:line="256" w:lineRule="auto"/>
        <w:rPr>
          <w:sz w:val="20"/>
          <w:szCs w:val="20"/>
          <w:color w:val="auto"/>
        </w:rPr>
      </w:pPr>
      <w:r>
        <w:rPr>
          <w:rFonts w:ascii="Arial" w:cs="Arial" w:eastAsia="Arial" w:hAnsi="Arial"/>
          <w:sz w:val="18"/>
          <w:szCs w:val="18"/>
          <w:i w:val="1"/>
          <w:iCs w:val="1"/>
          <w:color w:val="auto"/>
        </w:rPr>
        <w:t xml:space="preserve">Proposal No. 4: Approval of the Adoption of the Company’s 2019 Employee Stock Purchase Plan. </w:t>
      </w:r>
      <w:r>
        <w:rPr>
          <w:rFonts w:ascii="Arial" w:cs="Arial" w:eastAsia="Arial" w:hAnsi="Arial"/>
          <w:sz w:val="18"/>
          <w:szCs w:val="18"/>
          <w:color w:val="auto"/>
        </w:rPr>
        <w:t>Our Board unanimously approved our 2019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xml:space="preserve">) on June 13, 2019. A copy of the 2019 ESPP is attached to this Proxy Statement as </w:t>
      </w:r>
      <w:r>
        <w:rPr>
          <w:rFonts w:ascii="Arial" w:cs="Arial" w:eastAsia="Arial" w:hAnsi="Arial"/>
          <w:sz w:val="18"/>
          <w:szCs w:val="18"/>
          <w:u w:val="single" w:color="auto"/>
          <w:color w:val="auto"/>
        </w:rPr>
        <w:t>Appendix C</w:t>
      </w:r>
      <w:r>
        <w:rPr>
          <w:rFonts w:ascii="Arial" w:cs="Arial" w:eastAsia="Arial" w:hAnsi="Arial"/>
          <w:sz w:val="18"/>
          <w:szCs w:val="18"/>
          <w:color w:val="auto"/>
          <w:highlight w:val="white"/>
        </w:rPr>
        <w:t>.</w:t>
      </w:r>
      <w:r>
        <w:rPr>
          <w:rFonts w:ascii="Arial" w:cs="Arial" w:eastAsia="Arial" w:hAnsi="Arial"/>
          <w:sz w:val="18"/>
          <w:szCs w:val="18"/>
          <w:color w:val="auto"/>
        </w:rPr>
        <w:t xml:space="preserve"> The affirmative “FOR” vote of a majority of the shares present in person or by proxy at the Annual Meeting and entitled to vote is necessary of approval of this proposal. If approved, this proposal will become effective only subject to the affirmative vote on Proposal No. 2.</w:t>
      </w:r>
    </w:p>
    <w:p>
      <w:pPr>
        <w:spacing w:after="0" w:line="197"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i w:val="1"/>
          <w:iCs w:val="1"/>
          <w:color w:val="auto"/>
        </w:rPr>
        <w:t xml:space="preserve">Proposal No. 5: Approval, on a Non-Binding Advisory Basis, of the Compensation Paid to our Named Executive Officers. </w:t>
      </w:r>
      <w:r>
        <w:rPr>
          <w:rFonts w:ascii="Arial" w:cs="Arial" w:eastAsia="Arial" w:hAnsi="Arial"/>
          <w:sz w:val="16"/>
          <w:szCs w:val="16"/>
          <w:color w:val="auto"/>
        </w:rPr>
        <w:t xml:space="preserve">This proposal calls for a non-binding, advisory vote regarding the compensation paid to our Named Executive Officers (the </w:t>
      </w:r>
      <w:r>
        <w:rPr>
          <w:rFonts w:ascii="Arial" w:cs="Arial" w:eastAsia="Arial" w:hAnsi="Arial"/>
          <w:sz w:val="16"/>
          <w:szCs w:val="16"/>
          <w:i w:val="1"/>
          <w:iCs w:val="1"/>
          <w:color w:val="auto"/>
        </w:rPr>
        <w:t>Say-on-Pay Vote</w:t>
      </w:r>
      <w:r>
        <w:rPr>
          <w:rFonts w:ascii="Arial" w:cs="Arial" w:eastAsia="Arial" w:hAnsi="Arial"/>
          <w:sz w:val="16"/>
          <w:szCs w:val="16"/>
          <w:color w:val="auto"/>
        </w:rPr>
        <w:t>). Accordingly, there is no "required vote" that would constitute approval of this proposal. However, our Board, including the Compensation Committee of the Board, values the opinions of our stockholders and will consider the result of the vote when making future decisions regarding our executive compensation policies and practices.</w:t>
      </w:r>
    </w:p>
    <w:p>
      <w:pPr>
        <w:spacing w:after="0" w:line="16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Proposal No. 6: Ratification of Appointment of our Independent Registered Public Accounting Firm. </w:t>
      </w:r>
      <w:r>
        <w:rPr>
          <w:rFonts w:ascii="Arial" w:cs="Arial" w:eastAsia="Arial" w:hAnsi="Arial"/>
          <w:sz w:val="18"/>
          <w:szCs w:val="18"/>
          <w:color w:val="auto"/>
        </w:rPr>
        <w:t>The affirmative “FOR”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Annual Meeting and entitled to vote is required for the ratification of the selection of OUM &amp; Co. LLP as our independent registered public accounting firm for our current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brokerage firm or other nominee, your broker, brokerage firm or nominee may not be permitted to exercise voting discretion with respect to some of the matters to be acted upon. If you do not give your broker, brokerage firm or nominee specific instructions regarding such matters, your proxy will be deemed a “broker non-vote.”</w:t>
      </w:r>
    </w:p>
    <w:p>
      <w:pPr>
        <w:spacing w:after="0" w:line="20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noted above, the six director nominees identified under Proposal No. 1 who receive the most votes at the Annual Meeting will be elected, thus abstentions and broker non-votes will have no effect on the outcome of Proposal No. 1.</w:t>
      </w:r>
    </w:p>
    <w:p>
      <w:pPr>
        <w:spacing w:after="0" w:line="18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As also noted above, approval of the Charter Amendment described in Proposal No. 2 requires the affirmative vote of a majority of our outstanding shares of common stock entitled to vote as of the Record Date. Accordingly, abstentions and broker non-votes have the effect of a vote against Proposal No. 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 w:name="page7"/>
    <w:bookmarkEnd w:id="6"/>
    <w:p>
      <w:pPr>
        <w:jc w:val="both"/>
        <w:ind w:firstLine="648"/>
        <w:spacing w:after="0" w:line="306" w:lineRule="auto"/>
        <w:rPr>
          <w:sz w:val="20"/>
          <w:szCs w:val="20"/>
          <w:color w:val="auto"/>
        </w:rPr>
      </w:pPr>
      <w:r>
        <w:rPr>
          <w:rFonts w:ascii="Arial" w:cs="Arial" w:eastAsia="Arial" w:hAnsi="Arial"/>
          <w:sz w:val="16"/>
          <w:szCs w:val="16"/>
          <w:color w:val="auto"/>
        </w:rPr>
        <w:t>Under Nevada law and our Amended and Restated Bylaws, each other matter (other than the election of directors and the Charter Amendment) will be determined by the vote of the holders of a majority of the voting power present or represented by proxy at the Annual Meeting. For this matter, abstentions and any broker non-votes cast will not be counted as votes in favor of such proposal, and will also not be counted as shares voting on such matter.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If your proxy is properly returned to the Company, the shares represented thereby will be voted at the Annual Meeting in accordance with the instructions specified thereon. If you return your proxy without specifying how the shares represented thereby are to be voted, the proxy will be voted in the manner unanimously approved by our Board, as follows: (i)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thesix director nominees proposed by our Board; (ii)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Charter Amendment,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2019 Plan; (iv)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2019 ESPP; (v)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Say-on-Pay Vote; (vi)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OUM &amp; Co. LLP as our independent registered public accounting firm for our current fiscal year; and (vii) at the discretion of the proxy holders on any other matter that may properly come before the Annual Meeting or any adjournment or postponement thereof.</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attending the Annual Meeting and voting in person. Attendance at the Annual Meeting alone will not revoke your proxy. If you are a stockholder whose shares are not registered in your own name, you will need additional documentation from your broker, brokerage firm or record holder to vote personally at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the Notice, as well as the preparation and posting on the Internet of this Proxy Statement and any additional solicitation materials furnished to the stockholders. 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 Except as described above, we do not presently intend to solicit proxies other than by the Internet, telephone, email and postal mail.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nor more than seven directors, and that upon any change in the number of directors, any newly created directorships or eliminated directorships shall be apportioned by the remaining members of the Board or by stockholders. Our Board currently consists of six directors, and these six directors are nominated for election at the Annual Meeting to serve until our next annual meeting of stockholders, or until her or his successor is duly elected and qualified. Each nominee has confirmed that he or she is able and willing to continue serving as a director if elected. If any of the nominees becomes unable or unwilling to serve, your proxy will be voted for the election of a substitute nominee recommended by the current Board.</w:t>
      </w:r>
    </w:p>
    <w:p>
      <w:pPr>
        <w:spacing w:after="0" w:line="198"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Upon recommendation of the members of its Corporate Governance and Nominating Committee, the Board has nominated for election as directors at our Annual Meeting Mr. Shawn K. Singh, Dr. H. Ralph Snodgrass, Mr. Jon S. Saxe, Dr. Brian J. Underdown, Dr. Jerry B. Gin and Ms. Ann M. Cunningham.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six nominees receiving the highest number of affirmative votes will be elected. Unless otherwise instructed or unless authority to vote is withheld, shares represented by executed proxies will be voted “FOR” the election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election of Mr. Singh, Dr. Snodgrass, Mr. Saxe, Dr. Underdown, Dr. Gin and Ms.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Cunningham.</w:t>
      </w:r>
    </w:p>
    <w:p>
      <w:pPr>
        <w:spacing w:after="0" w:line="21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780" w:type="dxa"/>
            <w:vAlign w:val="bottom"/>
            <w:gridSpan w:val="3"/>
          </w:tcPr>
          <w:p>
            <w:pPr>
              <w:ind w:left="8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60" w:type="dxa"/>
            <w:vAlign w:val="bottom"/>
          </w:tcPr>
          <w:p>
            <w:pPr>
              <w:jc w:val="center"/>
              <w:ind w:left="332"/>
              <w:spacing w:after="0"/>
              <w:rPr>
                <w:sz w:val="20"/>
                <w:szCs w:val="20"/>
                <w:color w:val="auto"/>
              </w:rPr>
            </w:pPr>
            <w:r>
              <w:rPr>
                <w:rFonts w:ascii="Arial" w:cs="Arial" w:eastAsia="Arial" w:hAnsi="Arial"/>
                <w:sz w:val="18"/>
                <w:szCs w:val="18"/>
                <w:b w:val="1"/>
                <w:bCs w:val="1"/>
                <w:color w:val="auto"/>
                <w:w w:val="82"/>
              </w:rPr>
              <w:t>Age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89"/>
              </w:rPr>
              <w:t>56</w:t>
            </w: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H. Ralph Snodgrass, Ph.D.</w:t>
            </w:r>
          </w:p>
        </w:tc>
        <w:tc>
          <w:tcPr>
            <w:tcW w:w="98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69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9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20" w:type="dxa"/>
            <w:vAlign w:val="bottom"/>
          </w:tcPr>
          <w:p>
            <w:pPr>
              <w:spacing w:after="0"/>
              <w:rPr>
                <w:sz w:val="21"/>
                <w:szCs w:val="21"/>
                <w:color w:val="auto"/>
              </w:rPr>
            </w:pPr>
          </w:p>
        </w:tc>
        <w:tc>
          <w:tcPr>
            <w:tcW w:w="3640" w:type="dxa"/>
            <w:vAlign w:val="bottom"/>
          </w:tcPr>
          <w:p>
            <w:pPr>
              <w:spacing w:after="0" w:line="243"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(2)</w:t>
            </w:r>
          </w:p>
        </w:tc>
        <w:tc>
          <w:tcPr>
            <w:tcW w:w="98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78</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9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320"/>
        </w:trPr>
        <w:tc>
          <w:tcPr>
            <w:tcW w:w="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(4)</w:t>
            </w:r>
          </w:p>
        </w:tc>
        <w:tc>
          <w:tcPr>
            <w:tcW w:w="98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51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the Corporate Governance and Nominating Committee.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5680" w:hanging="112"/>
        <w:spacing w:after="0"/>
        <w:tabs>
          <w:tab w:leader="none" w:pos="5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 w:name="page9"/>
    <w:bookmarkEnd w:id="8"/>
    <w:p>
      <w:pPr>
        <w:jc w:val="both"/>
        <w:ind w:firstLine="648"/>
        <w:spacing w:after="0" w:line="301" w:lineRule="auto"/>
        <w:rPr>
          <w:sz w:val="20"/>
          <w:szCs w:val="20"/>
          <w:color w:val="auto"/>
        </w:rPr>
      </w:pPr>
      <w:r>
        <w:rPr>
          <w:rFonts w:ascii="Arial" w:cs="Arial" w:eastAsia="Arial" w:hAnsi="Arial"/>
          <w:sz w:val="15"/>
          <w:szCs w:val="15"/>
          <w:b w:val="1"/>
          <w:bCs w:val="1"/>
          <w:i w:val="1"/>
          <w:iCs w:val="1"/>
          <w:color w:val="auto"/>
        </w:rPr>
        <w:t xml:space="preserve">Shawn K. Singh </w:t>
      </w:r>
      <w:r>
        <w:rPr>
          <w:rFonts w:ascii="Arial" w:cs="Arial" w:eastAsia="Arial" w:hAnsi="Arial"/>
          <w:sz w:val="15"/>
          <w:szCs w:val="15"/>
          <w:color w:val="auto"/>
        </w:rPr>
        <w:t>has served as our Chief Executive Officer since August 2009, first as the Chief Executive Officer of VistaGen Therapeutics, Inc.,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California corporation (</w:t>
      </w:r>
      <w:r>
        <w:rPr>
          <w:rFonts w:ascii="Arial" w:cs="Arial" w:eastAsia="Arial" w:hAnsi="Arial"/>
          <w:sz w:val="15"/>
          <w:szCs w:val="15"/>
          <w:i w:val="1"/>
          <w:iCs w:val="1"/>
          <w:color w:val="auto"/>
        </w:rPr>
        <w:t>VistaGen California</w:t>
      </w:r>
      <w:r>
        <w:rPr>
          <w:rFonts w:ascii="Arial" w:cs="Arial" w:eastAsia="Arial" w:hAnsi="Arial"/>
          <w:sz w:val="15"/>
          <w:szCs w:val="15"/>
          <w:color w:val="auto"/>
        </w:rPr>
        <w:t xml:space="preserve">), then as Chief Executive Officer of the Company after the merger by and between VistaGen California and the Company on May 11, 2011 (the </w:t>
      </w:r>
      <w:r>
        <w:rPr>
          <w:rFonts w:ascii="Arial" w:cs="Arial" w:eastAsia="Arial" w:hAnsi="Arial"/>
          <w:sz w:val="15"/>
          <w:szCs w:val="15"/>
          <w:i w:val="1"/>
          <w:iCs w:val="1"/>
          <w:color w:val="auto"/>
        </w:rPr>
        <w:t>Merger</w:t>
      </w:r>
      <w:r>
        <w:rPr>
          <w:rFonts w:ascii="Arial" w:cs="Arial" w:eastAsia="Arial" w:hAnsi="Arial"/>
          <w:sz w:val="15"/>
          <w:szCs w:val="15"/>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5"/>
          <w:szCs w:val="15"/>
          <w:i w:val="1"/>
          <w:iCs w:val="1"/>
          <w:color w:val="auto"/>
        </w:rPr>
        <w:t>CRO</w:t>
      </w:r>
      <w:r>
        <w:rPr>
          <w:rFonts w:ascii="Arial" w:cs="Arial" w:eastAsia="Arial" w:hAnsi="Arial"/>
          <w:sz w:val="15"/>
          <w:szCs w:val="15"/>
          <w:color w:val="auto"/>
        </w:rPr>
        <w:t>) affiliated with Cato BioVentures. Mr. Singh served as President (part-time) of Echo Therapeutics, a medical device company, from September 2007 to June 2009, and as a member of its Board of Directors from September 2007 to December 2011. He also served as Chief Executive Officer (part- 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late-1993 to late-2000, and as a corporate finance associate of Morrison</w:t>
      </w:r>
    </w:p>
    <w:p>
      <w:pPr>
        <w:spacing w:after="0" w:line="3" w:lineRule="exact"/>
        <w:rPr>
          <w:sz w:val="20"/>
          <w:szCs w:val="20"/>
          <w:color w:val="auto"/>
        </w:rPr>
      </w:pPr>
    </w:p>
    <w:p>
      <w:pPr>
        <w:ind w:firstLine="8"/>
        <w:spacing w:after="0" w:line="323" w:lineRule="auto"/>
        <w:tabs>
          <w:tab w:leader="none" w:pos="183" w:val="left"/>
        </w:tabs>
        <w:numPr>
          <w:ilvl w:val="0"/>
          <w:numId w:val="8"/>
        </w:numPr>
        <w:rPr>
          <w:rFonts w:ascii="Arial" w:cs="Arial" w:eastAsia="Arial" w:hAnsi="Arial"/>
          <w:sz w:val="16"/>
          <w:szCs w:val="16"/>
          <w:color w:val="auto"/>
        </w:rPr>
      </w:pPr>
      <w:r>
        <w:rPr>
          <w:rFonts w:ascii="Arial" w:cs="Arial" w:eastAsia="Arial" w:hAnsi="Arial"/>
          <w:sz w:val="16"/>
          <w:szCs w:val="16"/>
          <w:color w:val="auto"/>
        </w:rPr>
        <w:t>Foerster LLP, an international law firm, from 1991 to late-1993. Mr. Singh earned a B.A. degree, with honors, from the University of California, Berkeley, and a Juris Doctor degree from the University of Maryland School of Law. Mr. Singh is a member of the State Bar of California.</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1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9" w:name="page10"/>
    <w:bookmarkEnd w:id="9"/>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Arbor Vita Corporation, Arcuo Medical, LLC, Cancer Prevention Pharmaceuticals, Inc., Lumos Pharma,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Board after the completion of the Merger. Dr. Underdown retired as a Venture Partner with Lumira Capital Corp.in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0" w:name="page11"/>
    <w:bookmarkEnd w:id="10"/>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2019.</w:t>
      </w:r>
    </w:p>
    <w:p>
      <w:pPr>
        <w:spacing w:after="0" w:line="24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In addition, in August 2018, we granted to each of our three then-incumbent independent directors options to purchase 75,000 shares of our common stock at an exercise price of $1.27 per share. Further, in August 2018, as permitted by our Amended and Restated 2016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we reduced the exercise price of outstanding options held by our independent directors having an exercise price over $1.56 per share to $1.50 per share. Lastly, in January 2019, we granted options to purchase 25,000 shares of our common stock to Ms. Cunningham in connection with her appointment to our Board. Each grant awarded to our independent directors during the year ended March 31, 2019 expires ten years after the date of grant.</w:t>
      </w:r>
    </w:p>
    <w:p>
      <w:pPr>
        <w:spacing w:after="0" w:line="170"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Subsequent to the year ended March 31, 2019, we granted options to purchase 50,000 shares of our common stock to each of our four independent directors under the terms of our 2016 Plan in May 2019.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gridSpan w:val="2"/>
          </w:tcPr>
          <w:p>
            <w:pPr>
              <w:jc w:val="right"/>
              <w:ind w:right="233"/>
              <w:spacing w:after="0"/>
              <w:rPr>
                <w:sz w:val="20"/>
                <w:szCs w:val="20"/>
                <w:color w:val="auto"/>
              </w:rPr>
            </w:pPr>
            <w:r>
              <w:rPr>
                <w:rFonts w:ascii="Arial" w:cs="Arial" w:eastAsia="Arial" w:hAnsi="Arial"/>
                <w:sz w:val="18"/>
                <w:szCs w:val="18"/>
                <w:b w:val="1"/>
                <w:bCs w:val="1"/>
                <w:color w:val="auto"/>
              </w:rPr>
              <w:t>Fees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Option</w:t>
            </w:r>
          </w:p>
        </w:tc>
        <w:tc>
          <w:tcPr>
            <w:tcW w:w="460" w:type="dxa"/>
            <w:vAlign w:val="bottom"/>
          </w:tcPr>
          <w:p>
            <w:pPr>
              <w:spacing w:after="0"/>
              <w:rPr>
                <w:sz w:val="18"/>
                <w:szCs w:val="18"/>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80" w:type="dxa"/>
            <w:vAlign w:val="bottom"/>
            <w:gridSpan w:val="3"/>
            <w:vMerge w:val="restart"/>
          </w:tcPr>
          <w:p>
            <w:pPr>
              <w:jc w:val="right"/>
              <w:ind w:right="113"/>
              <w:spacing w:after="0"/>
              <w:rPr>
                <w:sz w:val="20"/>
                <w:szCs w:val="20"/>
                <w:color w:val="auto"/>
              </w:rPr>
            </w:pPr>
            <w:r>
              <w:rPr>
                <w:rFonts w:ascii="Arial" w:cs="Arial" w:eastAsia="Arial" w:hAnsi="Arial"/>
                <w:sz w:val="18"/>
                <w:szCs w:val="18"/>
                <w:b w:val="1"/>
                <w:bCs w:val="1"/>
                <w:color w:val="auto"/>
              </w:rPr>
              <w:t>Paid in Cash</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30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ind w:right="132"/>
              <w:spacing w:after="0" w:line="271" w:lineRule="exact"/>
              <w:rPr>
                <w:sz w:val="20"/>
                <w:szCs w:val="20"/>
                <w:color w:val="auto"/>
              </w:rPr>
            </w:pPr>
            <w:r>
              <w:rPr>
                <w:rFonts w:ascii="Arial" w:cs="Arial" w:eastAsia="Arial" w:hAnsi="Arial"/>
                <w:sz w:val="18"/>
                <w:szCs w:val="18"/>
                <w:b w:val="1"/>
                <w:bCs w:val="1"/>
                <w:color w:val="auto"/>
                <w:w w:val="82"/>
              </w:rPr>
              <w:t xml:space="preserve">Awards </w:t>
            </w:r>
            <w:r>
              <w:rPr>
                <w:rFonts w:ascii="Arial" w:cs="Arial" w:eastAsia="Arial" w:hAnsi="Arial"/>
                <w:sz w:val="24"/>
                <w:szCs w:val="24"/>
                <w:b w:val="1"/>
                <w:bCs w:val="1"/>
                <w:color w:val="auto"/>
                <w:w w:val="82"/>
                <w:vertAlign w:val="superscript"/>
              </w:rPr>
              <w:t>(2)</w:t>
            </w:r>
          </w:p>
        </w:tc>
        <w:tc>
          <w:tcPr>
            <w:tcW w:w="460" w:type="dxa"/>
            <w:vAlign w:val="bottom"/>
          </w:tcPr>
          <w:p>
            <w:pPr>
              <w:spacing w:after="0"/>
              <w:rPr>
                <w:sz w:val="9"/>
                <w:szCs w:val="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Compensation</w:t>
            </w: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gridSpan w:val="2"/>
          </w:tcPr>
          <w:p>
            <w:pPr>
              <w:jc w:val="right"/>
              <w:ind w:right="12"/>
              <w:spacing w:after="0"/>
              <w:rPr>
                <w:sz w:val="20"/>
                <w:szCs w:val="20"/>
                <w:color w:val="auto"/>
              </w:rPr>
            </w:pPr>
            <w:r>
              <w:rPr>
                <w:rFonts w:ascii="Arial" w:cs="Arial" w:eastAsia="Arial" w:hAnsi="Arial"/>
                <w:sz w:val="12"/>
                <w:szCs w:val="12"/>
                <w:b w:val="1"/>
                <w:bCs w:val="1"/>
                <w:color w:val="auto"/>
              </w:rPr>
              <w:t>(1)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53"/>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580" w:type="dxa"/>
            <w:vAlign w:val="bottom"/>
          </w:tcPr>
          <w:p>
            <w:pPr>
              <w:ind w:left="440"/>
              <w:spacing w:after="0"/>
              <w:rPr>
                <w:sz w:val="20"/>
                <w:szCs w:val="20"/>
                <w:color w:val="auto"/>
              </w:rPr>
            </w:pPr>
            <w:r>
              <w:rPr>
                <w:rFonts w:ascii="Arial" w:cs="Arial" w:eastAsia="Arial" w:hAnsi="Arial"/>
                <w:sz w:val="18"/>
                <w:szCs w:val="18"/>
                <w:b w:val="1"/>
                <w:bCs w:val="1"/>
                <w:color w:val="auto"/>
                <w:w w:val="74"/>
              </w:rPr>
              <w:t>($</w:t>
            </w:r>
          </w:p>
        </w:tc>
        <w:tc>
          <w:tcPr>
            <w:tcW w:w="500" w:type="dxa"/>
            <w:vAlign w:val="bottom"/>
          </w:tcPr>
          <w:p>
            <w:pPr>
              <w:jc w:val="right"/>
              <w:ind w:right="353"/>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(3)</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52,500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89,929</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Arial" w:cs="Arial" w:eastAsia="Arial" w:hAnsi="Arial"/>
                <w:sz w:val="18"/>
                <w:szCs w:val="18"/>
                <w:color w:val="auto"/>
              </w:rPr>
              <w:t>Brian J. Underdown, Ph.D</w:t>
            </w:r>
            <w:r>
              <w:rPr>
                <w:rFonts w:ascii="Arial" w:cs="Arial" w:eastAsia="Arial" w:hAnsi="Arial"/>
                <w:sz w:val="24"/>
                <w:szCs w:val="24"/>
                <w:color w:val="auto"/>
                <w:vertAlign w:val="superscript"/>
              </w:rPr>
              <w:t>. (4)</w:t>
            </w:r>
          </w:p>
        </w:tc>
        <w:tc>
          <w:tcPr>
            <w:tcW w:w="25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52,500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89,217</w:t>
            </w:r>
          </w:p>
        </w:tc>
        <w:tc>
          <w:tcPr>
            <w:tcW w:w="460" w:type="dxa"/>
            <w:vAlign w:val="bottom"/>
          </w:tcPr>
          <w:p>
            <w:pPr>
              <w:jc w:val="right"/>
              <w:ind w:right="79"/>
              <w:spacing w:after="0"/>
              <w:rPr>
                <w:sz w:val="20"/>
                <w:szCs w:val="20"/>
                <w:color w:val="auto"/>
              </w:rPr>
            </w:pPr>
            <w:r>
              <w:rPr>
                <w:rFonts w:ascii="Arial" w:cs="Arial" w:eastAsia="Arial" w:hAnsi="Arial"/>
                <w:sz w:val="12"/>
                <w:szCs w:val="12"/>
                <w:color w:val="auto"/>
              </w:rPr>
              <w:t>(6)</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99,267</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(6)</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5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32,271</w:t>
            </w:r>
          </w:p>
        </w:tc>
        <w:tc>
          <w:tcPr>
            <w:tcW w:w="4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2"/>
        <w:spacing w:after="0" w:line="332"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2019, which amounts were paid in full during the fiscal year then ended.</w:t>
      </w:r>
    </w:p>
    <w:p>
      <w:pPr>
        <w:spacing w:after="0" w:line="139" w:lineRule="exact"/>
        <w:rPr>
          <w:rFonts w:ascii="Arial" w:cs="Arial" w:eastAsia="Arial" w:hAnsi="Arial"/>
          <w:sz w:val="16"/>
          <w:szCs w:val="16"/>
          <w:color w:val="auto"/>
        </w:rPr>
      </w:pPr>
    </w:p>
    <w:p>
      <w:pPr>
        <w:jc w:val="both"/>
        <w:ind w:left="320" w:hanging="312"/>
        <w:spacing w:after="0" w:line="288"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Mr. Saxe, Dr. Underdown, Dr. Gin or Ms. Cunningham with respect to any of such stock options awarded to them or modified during the fiscal year ended March 31, 2019. Rather, the amounts represent (i) the aggregate grant date fair value of options to purchase shares of our common stock awarded to Mr. Saxe, Dr. Underdown, Dr. Gin and Ms. Cunningham during our fiscal year ended March 31, 2019, and (ii) the modification date incremental fair value resulting from the reduction of exercise prices in excess of $1.56 per share to $1.50 per share for options previously granted to Mr. Saxe, Dr. Underdown and Dr. Gin,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modified options to purchase 1,375 shares of our common stock at $1.50 per share by Mr. Saxe, to date, Mr. Saxe, Dr. Underdown, Dr. Gin and Ms. Cunningham have not exercised such stock options, and there can be no assurance that any of them will ever realize any of the ASC 718 grant date fair value amounts presented in the “Option Awards” column.</w:t>
      </w:r>
    </w:p>
    <w:p>
      <w:pPr>
        <w:spacing w:after="0" w:line="200" w:lineRule="exact"/>
        <w:rPr>
          <w:rFonts w:ascii="Arial" w:cs="Arial" w:eastAsia="Arial" w:hAnsi="Arial"/>
          <w:sz w:val="16"/>
          <w:szCs w:val="16"/>
          <w:color w:val="auto"/>
        </w:rPr>
      </w:pPr>
    </w:p>
    <w:p>
      <w:pPr>
        <w:jc w:val="both"/>
        <w:ind w:left="320" w:hanging="312"/>
        <w:spacing w:after="0" w:line="284"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Saxe has served as the Chairman of our Board, the Chairman of our Audit Committee and a member of our Compensation Committee and Corporate Governance and Nominating Committee throughout our fiscal year ended March 31, 2019. At March 31, 2019, Mr. Saxe held: (i) 23,251 shares of our common stock; (ii) options to purchase 320,000 registered shares of our common stock, of which options to purchase 211,436 shares were exercisable; and</w:t>
      </w:r>
    </w:p>
    <w:p>
      <w:pPr>
        <w:spacing w:after="0" w:line="1" w:lineRule="exact"/>
        <w:rPr>
          <w:rFonts w:ascii="Arial" w:cs="Arial" w:eastAsia="Arial" w:hAnsi="Arial"/>
          <w:sz w:val="16"/>
          <w:szCs w:val="16"/>
          <w:color w:val="auto"/>
        </w:rPr>
      </w:pPr>
    </w:p>
    <w:p>
      <w:pPr>
        <w:ind w:left="620" w:hanging="301"/>
        <w:spacing w:after="0"/>
        <w:tabs>
          <w:tab w:leader="none" w:pos="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warrants to purchase 77,500 restricted shares of our common stock, all of which are exercisable.</w:t>
      </w:r>
    </w:p>
    <w:p>
      <w:pPr>
        <w:spacing w:after="0" w:line="218" w:lineRule="exact"/>
        <w:rPr>
          <w:rFonts w:ascii="Arial" w:cs="Arial" w:eastAsia="Arial" w:hAnsi="Arial"/>
          <w:sz w:val="18"/>
          <w:szCs w:val="18"/>
          <w:color w:val="auto"/>
        </w:rPr>
      </w:pPr>
    </w:p>
    <w:p>
      <w:pPr>
        <w:jc w:val="both"/>
        <w:ind w:left="320" w:hanging="312"/>
        <w:spacing w:after="0" w:line="256"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Underdown has served as a member of our Board, as the Chairman of our Compensation Committee and as a member of our Audit Committee and Corporate Governance and Nominating Committee throughout the fiscal year ended March 31, 2019. At March 31, 2019, Dr. Underdown held: (i) options to purchase 319,250 registered shares of our common stock, of which options to purchase 210,686 shares were exercisable; and (ii) warrants to purchase 77,500 restricted shares of our common stock, all of which are exercisable.</w:t>
      </w:r>
    </w:p>
    <w:p>
      <w:pPr>
        <w:spacing w:after="0" w:line="197" w:lineRule="exact"/>
        <w:rPr>
          <w:rFonts w:ascii="Arial" w:cs="Arial" w:eastAsia="Arial" w:hAnsi="Arial"/>
          <w:sz w:val="18"/>
          <w:szCs w:val="18"/>
          <w:color w:val="auto"/>
        </w:rPr>
      </w:pPr>
    </w:p>
    <w:p>
      <w:pPr>
        <w:jc w:val="both"/>
        <w:ind w:left="320" w:hanging="312"/>
        <w:spacing w:after="0" w:line="256"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Gin has served as a member of our Board, as the Chairman of our Corporate Governance and Nominating Committee and as a member of our Audit Committee and Compensation Committee throughout the fiscal year ended March 31, 2019. At March 31, 2019, Dr. Gin held: (i) 50,000 shares of our unregistered common stock, (ii) options to purchase 335,000 registered shares of our common stock of which 226,436 were exercisable; and (ii) warrants to purchase 50,000 restricted shares of our common stock, all of which are exercisable.</w:t>
      </w:r>
    </w:p>
    <w:p>
      <w:pPr>
        <w:spacing w:after="0" w:line="197" w:lineRule="exact"/>
        <w:rPr>
          <w:rFonts w:ascii="Arial" w:cs="Arial" w:eastAsia="Arial" w:hAnsi="Arial"/>
          <w:sz w:val="18"/>
          <w:szCs w:val="18"/>
          <w:color w:val="auto"/>
        </w:rPr>
      </w:pPr>
    </w:p>
    <w:p>
      <w:pPr>
        <w:jc w:val="both"/>
        <w:ind w:left="320" w:right="20" w:hanging="312"/>
        <w:spacing w:after="0" w:line="259"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2019, Ms. Cunningham held options to purchase 25,000 registered shares of our common stock, all of which were exercisable.</w:t>
      </w:r>
    </w:p>
    <w:p>
      <w:pPr>
        <w:spacing w:after="0" w:line="194" w:lineRule="exact"/>
        <w:rPr>
          <w:rFonts w:ascii="Arial" w:cs="Arial" w:eastAsia="Arial" w:hAnsi="Arial"/>
          <w:sz w:val="18"/>
          <w:szCs w:val="18"/>
          <w:color w:val="auto"/>
        </w:rPr>
      </w:pPr>
    </w:p>
    <w:p>
      <w:pPr>
        <w:ind w:left="320" w:hanging="312"/>
        <w:spacing w:after="0" w:line="332"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Dr. Gin and Ms. Cunningham during fiscal 2019 and the assumptions used in the Black Scholes Option Pricing Model to determine the grant date fair values of the respective awards and modifications.</w:t>
      </w: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5680" w:hanging="112"/>
        <w:spacing w:after="0"/>
        <w:tabs>
          <w:tab w:leader="none" w:pos="5680" w:val="left"/>
        </w:tabs>
        <w:numPr>
          <w:ilvl w:val="2"/>
          <w:numId w:val="9"/>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Option</w:t>
            </w:r>
          </w:p>
        </w:tc>
        <w:tc>
          <w:tcPr>
            <w:tcW w:w="140" w:type="dxa"/>
            <w:vAlign w:val="bottom"/>
          </w:tcPr>
          <w:p>
            <w:pPr>
              <w:spacing w:after="0"/>
              <w:rPr>
                <w:sz w:val="19"/>
                <w:szCs w:val="19"/>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93"/>
              </w:rPr>
              <w:t>Option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Option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Grant</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Modifications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Grant</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8/5/2018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8/29/2018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1/10/2019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Underdown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Cunningham</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32,271</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221,243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57,169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32,271</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310,683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99.29%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95.84%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Aggregate option shares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Mr. Saxe, Dr. Underdown and Dr. Gin were each granted an option to purchase 75,000 shares of our common stock on August 5, 2019. Ms. Cunningham was granted an option to purchase 25,000 shares of our common stock on January 10, 2019 upon her appointment to the Board.</w:t>
      </w:r>
    </w:p>
    <w:p>
      <w:pPr>
        <w:spacing w:after="0" w:line="1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Amounts shown for option modifications reflect the modification date incremental fair value resulting from the reduction of exercise prices in excess of $1.56 per share to $1.50 per share for options previously granted to Mr. Saxe, Dr. Underdown and Dr. Gin. Options to purchase 96,375 and 94,250 shares of our common stock and having pre-modification exercise prices from $1.96 per share to $10.00 per share were modified to reduce the exercise price to $1.50 per share for Mr. Saxe and Dr. Underdown, respectively. Options to purchase 110,000 shares of our common stock and having pre-modification exercise prices from $1.96 per share to $8.00 per share were modified to reduce the exercise price to $1.50 per share for Dr. Gin.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January 29, 2019, when the closing price of our common stock, as reported on the Nasdaq Capital Market, was $1.59 per share, Mr. Saxe exercised previously modified options to purchase an aggregate of 1,375 shares of our common stock at $1.50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met five times and acted by unanimous written consent four times during our fiscal year ended March 31, 2019. Our Audit Committee met four times. Our Compensation Committee met three times and acted by unanimous written consent once with respect to executive compensation matters and grants of equity securities and requested action by the entire Board with respect to modification of certain outstanding options. Our Corporate Governance and Nominating Committee met once with respect to its recommendation regarding the appointment of Ms. Cunningham to the Board and requested action by the entire Board for the formal appointment of Ms. Cunningham to the Board and with respect to resolutions to be presented to our stockholders at the annual meeting of stockholders and Board committee assignments. Each director serving during Fiscal 2019 attended all of the meetings of the Board and the committees of the Board upon which such director served that were held during the term of his or her service.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who was unavailable due to international travel, each of our directors attended our 2018 Annual Meeting of Stockholders in person.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background, employment and affiliations, including family relationships, our Board has determined that Mr. Saxe, Dr. Underdown and Dr. Gin are each “independent” as that term is defined by the rules of the Nasdaq Stock Market. Our Board has also determined that Mr. Saxe, Dr. Underdown and Dr. Gin, who together comprise our Audit Committee, Compensation Committee, and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Underdown and Dr. Gin, and, since January 10, 2019, Ms. Cunningham, serve as members of these committees.</w:t>
      </w:r>
    </w:p>
    <w:p>
      <w:pPr>
        <w:spacing w:after="0" w:line="197" w:lineRule="exact"/>
        <w:rPr>
          <w:sz w:val="20"/>
          <w:szCs w:val="20"/>
          <w:color w:val="auto"/>
        </w:rPr>
      </w:pPr>
    </w:p>
    <w:p>
      <w:pPr>
        <w:jc w:val="both"/>
        <w:ind w:right="6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7" w:lineRule="exact"/>
        <w:rPr>
          <w:sz w:val="20"/>
          <w:szCs w:val="20"/>
          <w:color w:val="auto"/>
        </w:rPr>
      </w:pPr>
    </w:p>
    <w:p>
      <w:pPr>
        <w:ind w:left="820" w:hanging="21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bookmarkStart w:id="14" w:name="page15"/>
    <w:bookmarkEnd w:id="14"/>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820" w:hanging="216"/>
        <w:spacing w:after="0" w:line="256"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7" w:lineRule="exact"/>
        <w:rPr>
          <w:rFonts w:ascii="Arial" w:cs="Arial" w:eastAsia="Arial" w:hAnsi="Arial"/>
          <w:sz w:val="18"/>
          <w:szCs w:val="18"/>
          <w:color w:val="auto"/>
        </w:rPr>
      </w:pPr>
    </w:p>
    <w:p>
      <w:pPr>
        <w:ind w:left="820" w:hanging="21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determiningChief Executive Officer compensation based on the evaluation;</w:t>
      </w:r>
    </w:p>
    <w:p>
      <w:pPr>
        <w:spacing w:after="0" w:line="185" w:lineRule="exact"/>
        <w:rPr>
          <w:rFonts w:ascii="Arial" w:cs="Arial" w:eastAsia="Arial" w:hAnsi="Arial"/>
          <w:sz w:val="18"/>
          <w:szCs w:val="18"/>
          <w:color w:val="auto"/>
        </w:rPr>
      </w:pPr>
    </w:p>
    <w:p>
      <w:pPr>
        <w:jc w:val="both"/>
        <w:ind w:left="820" w:hanging="216"/>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820" w:hanging="21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620" w:hanging="93"/>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1" w:lineRule="exact"/>
        <w:rPr>
          <w:sz w:val="20"/>
          <w:szCs w:val="20"/>
          <w:color w:val="auto"/>
        </w:rPr>
      </w:pPr>
    </w:p>
    <w:p>
      <w:pPr>
        <w:ind w:left="820" w:hanging="21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820" w:hanging="216"/>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has reviewed and discussed with management and OUM &amp; Co. LLP (</w:t>
      </w:r>
      <w:r>
        <w:rPr>
          <w:rFonts w:ascii="Arial" w:cs="Arial" w:eastAsia="Arial" w:hAnsi="Arial"/>
          <w:sz w:val="18"/>
          <w:szCs w:val="18"/>
          <w:i w:val="1"/>
          <w:iCs w:val="1"/>
          <w:color w:val="auto"/>
        </w:rPr>
        <w:t>OUM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2019. The Audit Committee has also discussed with OUM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2019.</w:t>
      </w:r>
    </w:p>
    <w:p>
      <w:pPr>
        <w:spacing w:after="0" w:line="1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J. Underdown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June 18, 2019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APPROVAL OF AN AMENDMENT TO OUR RESTATED ARTICLES OF INCORPORATION TO INCREASE THE NUMBER OF SHARES OF COMMON STOCK AUTHORIZED FOR ISSUANCE FROM 100 MILLION TO 175 MILLION</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June 13, 2019, our Board of Directors unanimously approved an amendment to our Restated Articles of Incorporation to increase the number of shares of common stock authorized therein from 100 million to 175 million (the </w:t>
      </w:r>
      <w:r>
        <w:rPr>
          <w:rFonts w:ascii="Arial" w:cs="Arial" w:eastAsia="Arial" w:hAnsi="Arial"/>
          <w:sz w:val="18"/>
          <w:szCs w:val="18"/>
          <w:i w:val="1"/>
          <w:iCs w:val="1"/>
          <w:color w:val="auto"/>
        </w:rPr>
        <w:t>Charter Amendment</w:t>
      </w:r>
      <w:r>
        <w:rPr>
          <w:rFonts w:ascii="Arial" w:cs="Arial" w:eastAsia="Arial" w:hAnsi="Arial"/>
          <w:sz w:val="18"/>
          <w:szCs w:val="18"/>
          <w:color w:val="auto"/>
        </w:rPr>
        <w:t xml:space="preserve">). Our stockholders are being asked to approve the Charter Amendment, a copy of which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Charter Amendment</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12, 2019, we had 42,622,965 shares of common stock issued and outstanding, 18,525,633 shares of common stock that were authorized but unissued, and 38,851,402 shares reserved for future issuance, consisting of (i) 750,000 shares issuable upon conversion of outstanding shares of our Series A Preferred Stock, (ii) 1,160,240 shares issuable upon conversion of outstanding shares of our Series B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(iii) 3,936,498 shares reserved for issuance as payment of accrued but unpaid dividends on outstanding shares of Series B Preferred, (iv) 2,318,012 shares issuable upon conversion of outstanding shares of our Series C Convertible Preferred Stock, (v) 21,453,402 shares issuable upon exercise of outstanding warrants, and (vi) 9,233,250 shares issuable upon exercise of outstanding stock options or reserved for future stock option grants.</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Board believes that the availability of additional authorized shares of common stock will provide the Company with necessary flexibility to not only provide a sufficient amount of shares for issuance under our 2019 Plan and our 2019 ESPP, but also to issue common stock for a variety of general corporate purposes as the Board may determine to be desirable including, without limitation, raising capital, future financings, investment opportunities, licensing agreements, acquisitions or other issuances. Without the proposed increase in the number of authorized shares of common stock, the number of remaining common shares may be insufficient to execute the Company’s corporate strategy and complete one or more of the above corporate actions, including utilizing the Company’s existing shelf registration statement declared effective by the SEC on May 12, 2017, when and if it is advisable and in the best interests of the stockholders to do so. Our Board and management believe that having the proposed additional authorized shares available to the Company for potential future issuance, upon approval of the Board, will be beneficial to our stockholders by allowing us to promptly consider and respond to future business opportunities as they arise, including in relation to capital raising activities to fund our ongoing clinical and nonclinical development of AV-101, PH94B and PH10, or to conduct clinical trials or other studies. The delay involved in calling and holding a stockholders' meeting to approve an increase in authorized shares at the time a business opportunity presents itself may prevent us from timely pursuing that opportunity, or may significantly adversely affect the economic or strategic value of that opportunity, and may have an adverse effect on our stockholders.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has not authorized the Company to take any action with respect to the shares that would be authorized under this Proposal No. 2, and the Company currently does not have any definitive plans, arrangements or understandings with respect to the issuance of the additional shares of common stock authorized by the proposed amendment to the Restated Articles of Incorporation. Moreover, in the event this Proposal No. 2 is not approved by holders of a majority of the Company’s outstanding shares of common stock as of the Record Date, our 2019 Plan, as described in Proposal No. 3, and our 2019 ESPP, as described in Proposal No. 4, will not take effect.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proposed Charter Amendment could, under certain circumstances, have an anti-takeover effect or delay or prevent a change in control of the Company by providing the Company with the capability to engage in actions that would be dilutive to a potential acquirer, to pursue alternative transactions, or to otherwise increase the potential cost to acquire control of the Company. Thus, while the Company currently has no intent to employ the additional unissued authorized shares as an anti-takeover device, the proposed Charter Amendment may have the effect of discouraging future unsolicited takeover attempts. The Board is not aware of any such attempt to take control of the Company, and would act in the best interest of stockholders if any attempt was made. The proposed Charter Amendment has only been prompted by business and financial considerations.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Effect of Charter Amendment</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proposed increase in the number of authorized shares of the Company's common stock will not change the number of shares of common stock outstanding, nor will it have any immediate dilutive effect or change the rights of current holders of the Company's common stock. However, the issuance of additional shares of common stock authorized by this Charter Amendment may occur at times or under circumstances so as to have a dilutive effect on earnings per share, book value per share or the percentage voting or ownership interest of the present holders of the Company's common stock.</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this Proposal No. 2 is approved, no further action by the stockholders would be necessary prior to the issuance of additional shares of common stock unless required by law or the rules of any stock exchange or national securities association on which the common stock is then listed or quoted. Under the proposed amendment, each of the newly authorized shares of common stock will have the same rights and privileges as currently authorized common stock. Adoption of the Charter Amendment will not affect the rights of the holders of currently outstanding common stock of the Company nor will it change the par value of the common stock, which will remain $0.001 per share. If the proposed amendment is adopted, it will become effective upon filing of an amendment to the Company's Restated Articles of Incorporation with the Nevada Secretary of State.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affirmative vote of a majority of the Company’s shares of common stock outstanding as of the Record Date, or 21,311,483 shares, is required to approve this Proposal No. 2 to effect the Charter Amendment in order to increase the number of shares of common stock authorized from 100 million to 175 million. Unless otherwise instructed on the proxy or unless authority to vote is withheld, shares represented by executed proxies will be voted “FOR” this Proposal No. 2.</w:t>
      </w:r>
    </w:p>
    <w:p>
      <w:pPr>
        <w:spacing w:after="0" w:line="191" w:lineRule="exact"/>
        <w:rPr>
          <w:sz w:val="20"/>
          <w:szCs w:val="20"/>
          <w:color w:val="auto"/>
        </w:rPr>
      </w:pPr>
    </w:p>
    <w:p>
      <w:pPr>
        <w:jc w:val="both"/>
        <w:ind w:firstLine="172"/>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Charter Amendment to increase the number of shares authorized under the Company’s Restated Articles of Incorporation from 100 million to 175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APPROVAL OF THE ADOPTION OF OUR 2019 OMNIBUS EQUITY INCENTIVE PLAN AND RATIFICATION OF ALL ISSUANCES THEREUNDER TO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Board unanimously approved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xml:space="preserve">) on May 27, 2019. Our stockholders are being asked to approve our 2019 Plan, a copy of which is attached hereto as </w:t>
      </w:r>
      <w:r>
        <w:rPr>
          <w:rFonts w:ascii="Arial" w:cs="Arial" w:eastAsia="Arial" w:hAnsi="Arial"/>
          <w:sz w:val="18"/>
          <w:szCs w:val="18"/>
          <w:u w:val="single" w:color="auto"/>
          <w:color w:val="auto"/>
        </w:rPr>
        <w:t>Appendix B</w:t>
      </w:r>
      <w:r>
        <w:rPr>
          <w:rFonts w:ascii="Arial" w:cs="Arial" w:eastAsia="Arial" w:hAnsi="Arial"/>
          <w:sz w:val="18"/>
          <w:szCs w:val="18"/>
          <w:color w:val="auto"/>
        </w:rPr>
        <w:t>. As of the date of this Proxy Statement, a total of 170,000 stock options have been issued under the 2019 Plan, subject to the approval of the 2019 Plan by our stockholders. Details regarding these issuances are presented below, under the section entitled “</w:t>
      </w:r>
      <w:r>
        <w:rPr>
          <w:rFonts w:ascii="Arial" w:cs="Arial" w:eastAsia="Arial" w:hAnsi="Arial"/>
          <w:sz w:val="18"/>
          <w:szCs w:val="18"/>
          <w:i w:val="1"/>
          <w:iCs w:val="1"/>
          <w:color w:val="auto"/>
        </w:rPr>
        <w:t>New Plan Benefits</w:t>
      </w:r>
      <w:r>
        <w:rPr>
          <w:rFonts w:ascii="Arial" w:cs="Arial" w:eastAsia="Arial" w:hAnsi="Arial"/>
          <w:sz w:val="18"/>
          <w:szCs w:val="18"/>
          <w:color w:val="auto"/>
        </w:rPr>
        <w:t>.” Adoption of the 2019 Plan is subject to both the approval of this Proposal No. 3 and the approval of Proposal No. 2 to increase the number of authorized shares of common stock that we may issue. If our stockholders approve this Proposal No. 3 but do not approve Proposal No. 2, then the 2019 Plan will not become effective.</w:t>
      </w:r>
    </w:p>
    <w:p>
      <w:pPr>
        <w:spacing w:after="0" w:line="1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If approved at the Annual Meeting, our 2019 Plan will supersede and replace the VistaGen Therapeutics, Inc. Amended and Restated 2016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and no new awards will be granted under the 2016 Plan thereafter. Any awards outstanding under the 2016 Plan on the date of approval of the 2019 Plan will remain subject to the 2016 Plan. Upon approval of our 2019 Plan, all shares of common stock remaining authorized and available for issuance under the 2016 Plan and any shares subject to outstanding awards under the 2016 Plan that subsequently expire, terminate, or are surrendered or forfeited for any reason without issuance of shares will automatically become available for issuance under our 2019 Plan.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purposes of our 2019 Plan are to enhance our ability to attract and retain highly qualified officers, non-employee directors, key employees and consultants, and to motivate those service providers to serve the Company and to expend maximum effort to improve our businessresults by providing to those service providers an opportunity to acquire or increase a direct proprietary interest in our operations and future success. The 2019 Plan also will allow us to promote greater ownership in our Company by the service providers in order to align the service providers’ interests more closely with the interests of our stockholders. Awards granted under the 2019 Plan are designed to qualify for special tax treatment under Section 422 of the Internal Revenue Code of 1986 (the </w:t>
      </w:r>
      <w:r>
        <w:rPr>
          <w:rFonts w:ascii="Arial" w:cs="Arial" w:eastAsia="Arial" w:hAnsi="Arial"/>
          <w:sz w:val="18"/>
          <w:szCs w:val="18"/>
          <w:i w:val="1"/>
          <w:iCs w:val="1"/>
          <w:color w:val="auto"/>
        </w:rPr>
        <w:t>Code</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features of the 2019 Plan are intended to align the interests of grantees receiving awards under the 2019 Plan with the interests of our stockholders:</w:t>
      </w:r>
    </w:p>
    <w:p>
      <w:pPr>
        <w:spacing w:after="0" w:line="186" w:lineRule="exact"/>
        <w:rPr>
          <w:sz w:val="20"/>
          <w:szCs w:val="20"/>
          <w:color w:val="auto"/>
        </w:rPr>
      </w:pPr>
    </w:p>
    <w:p>
      <w:pPr>
        <w:ind w:left="1300" w:hanging="644"/>
        <w:spacing w:after="0" w:line="26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Limitation on terms of stock options and stock appreciation rights</w:t>
      </w:r>
      <w:r>
        <w:rPr>
          <w:rFonts w:ascii="Arial" w:cs="Arial" w:eastAsia="Arial" w:hAnsi="Arial"/>
          <w:sz w:val="18"/>
          <w:szCs w:val="18"/>
          <w:color w:val="auto"/>
        </w:rPr>
        <w:t>. The maximum term of each stock option and stock appreciation right (</w:t>
      </w:r>
      <w:r>
        <w:rPr>
          <w:rFonts w:ascii="Arial" w:cs="Arial" w:eastAsia="Arial" w:hAnsi="Arial"/>
          <w:sz w:val="18"/>
          <w:szCs w:val="18"/>
          <w:i w:val="1"/>
          <w:iCs w:val="1"/>
          <w:color w:val="auto"/>
        </w:rPr>
        <w:t>SAR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ten years.</w:t>
      </w:r>
    </w:p>
    <w:p>
      <w:pPr>
        <w:spacing w:after="0" w:line="185" w:lineRule="exact"/>
        <w:rPr>
          <w:rFonts w:ascii="Arial" w:cs="Arial" w:eastAsia="Arial" w:hAnsi="Arial"/>
          <w:sz w:val="18"/>
          <w:szCs w:val="18"/>
          <w:color w:val="auto"/>
        </w:rPr>
      </w:pPr>
    </w:p>
    <w:p>
      <w:pPr>
        <w:ind w:left="1300" w:right="20" w:hanging="644"/>
        <w:spacing w:after="0" w:line="26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 grant of discounted stock options</w:t>
      </w:r>
      <w:r>
        <w:rPr>
          <w:rFonts w:ascii="Arial" w:cs="Arial" w:eastAsia="Arial" w:hAnsi="Arial"/>
          <w:sz w:val="18"/>
          <w:szCs w:val="18"/>
          <w:color w:val="auto"/>
        </w:rPr>
        <w:t>. The 2019 Plan prohibits the granting of stock options or SARs with an exercise price less than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common stock on the date of grant.</w:t>
      </w:r>
    </w:p>
    <w:p>
      <w:pPr>
        <w:spacing w:after="0" w:line="185" w:lineRule="exact"/>
        <w:rPr>
          <w:rFonts w:ascii="Arial" w:cs="Arial" w:eastAsia="Arial" w:hAnsi="Arial"/>
          <w:sz w:val="18"/>
          <w:szCs w:val="18"/>
          <w:color w:val="auto"/>
        </w:rPr>
      </w:pPr>
    </w:p>
    <w:p>
      <w:pPr>
        <w:ind w:left="1300" w:hanging="644"/>
        <w:spacing w:after="0" w:line="33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No liberal share recycling. </w:t>
      </w:r>
      <w:r>
        <w:rPr>
          <w:rFonts w:ascii="Arial" w:cs="Arial" w:eastAsia="Arial" w:hAnsi="Arial"/>
          <w:sz w:val="16"/>
          <w:szCs w:val="16"/>
          <w:color w:val="auto"/>
        </w:rPr>
        <w:t>Shares used to pay the exercise price or withholding taxes related to an outstanding award and unissued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the net settlement of outstanding options and SARs do not become available for issuance as future awards under the plan.</w:t>
      </w:r>
    </w:p>
    <w:p>
      <w:pPr>
        <w:spacing w:after="0" w:line="139"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Limits on immediate vesting. </w:t>
      </w:r>
      <w:r>
        <w:rPr>
          <w:rFonts w:ascii="Arial" w:cs="Arial" w:eastAsia="Arial" w:hAnsi="Arial"/>
          <w:sz w:val="18"/>
          <w:szCs w:val="18"/>
          <w:color w:val="auto"/>
        </w:rPr>
        <w:t>The 2019 Plan limits the number of shares that may be vested on the grant date of an award to no more than 25%</w:t>
      </w:r>
      <w:r>
        <w:rPr>
          <w:rFonts w:ascii="Arial" w:cs="Arial" w:eastAsia="Arial" w:hAnsi="Arial"/>
          <w:sz w:val="18"/>
          <w:szCs w:val="18"/>
          <w:i w:val="1"/>
          <w:iCs w:val="1"/>
          <w:color w:val="auto"/>
        </w:rPr>
        <w:t xml:space="preserve"> </w:t>
      </w:r>
      <w:r>
        <w:rPr>
          <w:rFonts w:ascii="Arial" w:cs="Arial" w:eastAsia="Arial" w:hAnsi="Arial"/>
          <w:sz w:val="18"/>
          <w:szCs w:val="18"/>
          <w:color w:val="auto"/>
        </w:rPr>
        <w:t>of any equity-based awards. Certain limited exceptions are permitted.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5620" w:hanging="96"/>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1300" w:right="20" w:hanging="644"/>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 single-trigger acceleration</w:t>
      </w:r>
      <w:r>
        <w:rPr>
          <w:rFonts w:ascii="Arial" w:cs="Arial" w:eastAsia="Arial" w:hAnsi="Arial"/>
          <w:sz w:val="18"/>
          <w:szCs w:val="18"/>
          <w:color w:val="auto"/>
        </w:rPr>
        <w:t>. Under the 2019 Plan, we do not automatically accelerate vesting of awards in connection with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the Company.</w:t>
      </w:r>
    </w:p>
    <w:p>
      <w:pPr>
        <w:spacing w:after="0" w:line="185" w:lineRule="exact"/>
        <w:rPr>
          <w:rFonts w:ascii="Arial" w:cs="Arial" w:eastAsia="Arial" w:hAnsi="Arial"/>
          <w:sz w:val="18"/>
          <w:szCs w:val="18"/>
          <w:color w:val="auto"/>
        </w:rPr>
      </w:pPr>
    </w:p>
    <w:p>
      <w:pPr>
        <w:ind w:left="1300" w:right="20" w:hanging="644"/>
        <w:spacing w:after="0" w:line="26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We do not pay dividends or dividend equivalents on stock options, SARs or other unearned awards, whether time- or performance-vesting.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2019 Plan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The principal features of our 2019 Plan are summarized below. The following summary of our 2019 Plan does not purport to be a complete description of all of the provisions of the 2019 Plan. It is qualified in its entirety by reference to the complete text of the 2019 Plan, which is attached to this Proxy Statement as </w:t>
      </w:r>
      <w:r>
        <w:rPr>
          <w:rFonts w:ascii="Arial" w:cs="Arial" w:eastAsia="Arial" w:hAnsi="Arial"/>
          <w:sz w:val="18"/>
          <w:szCs w:val="18"/>
          <w:i w:val="1"/>
          <w:iCs w:val="1"/>
          <w:u w:val="single" w:color="auto"/>
          <w:color w:val="auto"/>
        </w:rPr>
        <w:t>Appendix B</w:t>
      </w:r>
      <w:r>
        <w:rPr>
          <w:rFonts w:ascii="Arial" w:cs="Arial" w:eastAsia="Arial" w:hAnsi="Arial"/>
          <w:sz w:val="18"/>
          <w:szCs w:val="18"/>
          <w:i w:val="1"/>
          <w:i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Awards may be granted under the 2019 Plan to officers, employees and consultants of our Company and our subsidiaries and to our non-employee directors. Incentive stock options may be granted only to employees of our Company or one of our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Plan will be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Authorized Shares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 total of 7,500,000 shares of common stock are authorized for issuance under the 2019 Plan. In addition, any awards then outstanding under the 2016 Plan will remain subject to the 2016 Plan. Upon approval of the 2019 Plan, all shares of common stock remaining authorized and available for issuance under the 2016 Plan, approximately 1.4 million shares at July 12, 2019, and any shares then subject to outstanding awards under the 2016 Plan that subsequently expire, terminate, or are surrendered or forfeited for any reason without issuance of shares will automatically become available for issuance under the 2019 Plan.</w:t>
      </w:r>
    </w:p>
    <w:p>
      <w:pPr>
        <w:spacing w:after="0" w:line="16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If any award is canceled, terminates, expires or lapses for any reason prior to the issuance of shares or if shares are issued under the 2019 Plan and thereafter are forfeited to us, the shares subject to such awards and the forfeited shares will again be available for grant under the 2019 Plan. In addition, the following items will not count against the aggregate number of shares of common stock available for grant under the 2019 Plan:</w:t>
      </w:r>
    </w:p>
    <w:p>
      <w:pPr>
        <w:spacing w:after="0" w:line="161" w:lineRule="exact"/>
        <w:rPr>
          <w:sz w:val="20"/>
          <w:szCs w:val="20"/>
          <w:color w:val="auto"/>
        </w:rPr>
      </w:pPr>
    </w:p>
    <w:p>
      <w:pPr>
        <w:ind w:left="820" w:hanging="21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in cash of dividends or dividend equivalents under any outstanding award;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award that is settled in cash rather than by issuance of shares of common stock; and</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awards granted in assumption of or in substitution for awards previously granted by an acquired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Shares tendered or withheld to pay the option exercise price or tax withholding for any award (including restricted stock and restricted stock units) will continue to count against the aggregate number of shares of common stock available for grant under the 2019 Plan. In addition, the total number of shares covering stock-settled stock appreciation rights (</w:t>
      </w:r>
      <w:r>
        <w:rPr>
          <w:rFonts w:ascii="Arial" w:cs="Arial" w:eastAsia="Arial" w:hAnsi="Arial"/>
          <w:sz w:val="18"/>
          <w:szCs w:val="18"/>
          <w:i w:val="1"/>
          <w:iCs w:val="1"/>
          <w:color w:val="auto"/>
        </w:rPr>
        <w:t>SARs</w:t>
      </w:r>
      <w:r>
        <w:rPr>
          <w:rFonts w:ascii="Arial" w:cs="Arial" w:eastAsia="Arial" w:hAnsi="Arial"/>
          <w:sz w:val="18"/>
          <w:szCs w:val="18"/>
          <w:color w:val="auto"/>
        </w:rPr>
        <w:t>) or net-settled options will be counted against the pool of available shares, not just the net shares issued upon exercise. Any shares of common stock repurchased by us with cash proceeds from the exercise of options will not be added back to the pool of shares available for grant under the 2019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Adjustments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certain changes in the common stock occur by reason of any recapitalization, reclassification, stock split, reverse split, combination of shares, exchange of shares, stock dividend or other distribution payable in stock, or other increase or decrease in the common stock without our receipt of consideration, or if there occurs any spin-off, split-up, extraordinary cash dividend or other distribution of assets by us, we will equitably adjust the number and kind of securities for which stock options and other stock-based awards may be made under the 2019 Plan. In addition, if there occurs any spin-off, split-up, extraordinary cash dividend or other distribution of assets by us, we will equitably adjust the number and kind of securities subject to any outstanding awards and the exercise price of any outstanding stock options or SARs.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2019 Plan permits the granting of any or all of the following types of awards:</w:t>
      </w:r>
    </w:p>
    <w:p>
      <w:pPr>
        <w:spacing w:after="0" w:line="225" w:lineRule="exact"/>
        <w:rPr>
          <w:sz w:val="20"/>
          <w:szCs w:val="20"/>
          <w:color w:val="auto"/>
        </w:rPr>
      </w:pPr>
    </w:p>
    <w:p>
      <w:pPr>
        <w:jc w:val="both"/>
        <w:ind w:left="1300" w:hanging="644"/>
        <w:spacing w:after="0" w:line="289"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the holder to purchase a specified number of shares of common stock at a specified price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subject to the terms and conditions of the stock option grant. The Compensation Committee may grant either incentive stock options, which must comply with Section 422 of the Code,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common stock. At the time of grant, the Compensation Committee determines the terms and conditions of stock options, including the quantity, exercise price, vesting periods, term (which cannot exceed ten years) and other conditions on exercise.</w:t>
      </w:r>
    </w:p>
    <w:p>
      <w:pPr>
        <w:spacing w:after="0" w:line="172" w:lineRule="exact"/>
        <w:rPr>
          <w:rFonts w:ascii="Arial" w:cs="Arial" w:eastAsia="Arial" w:hAnsi="Arial"/>
          <w:sz w:val="16"/>
          <w:szCs w:val="16"/>
          <w:color w:val="auto"/>
        </w:rPr>
      </w:pPr>
    </w:p>
    <w:p>
      <w:pPr>
        <w:jc w:val="both"/>
        <w:ind w:left="1300" w:hanging="644"/>
        <w:spacing w:after="0" w:line="289"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Stock Appreciation Rights (SARs)</w:t>
      </w:r>
      <w:r>
        <w:rPr>
          <w:rFonts w:ascii="Arial" w:cs="Arial" w:eastAsia="Arial" w:hAnsi="Arial"/>
          <w:sz w:val="16"/>
          <w:szCs w:val="16"/>
          <w:color w:val="auto"/>
        </w:rPr>
        <w:t>. The Compensation Committee may grant SARs as a right in tandem with the number of shares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172" w:lineRule="exact"/>
        <w:rPr>
          <w:rFonts w:ascii="Arial" w:cs="Arial" w:eastAsia="Arial" w:hAnsi="Arial"/>
          <w:sz w:val="16"/>
          <w:szCs w:val="16"/>
          <w:color w:val="auto"/>
        </w:rPr>
      </w:pPr>
    </w:p>
    <w:p>
      <w:pPr>
        <w:jc w:val="both"/>
        <w:ind w:left="1300" w:hanging="644"/>
        <w:spacing w:after="0" w:line="290"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Restricted Stock Units and Other Stock-Based Awards </w:t>
      </w:r>
      <w:r>
        <w:rPr>
          <w:rFonts w:ascii="Arial" w:cs="Arial" w:eastAsia="Arial" w:hAnsi="Arial"/>
          <w:sz w:val="16"/>
          <w:szCs w:val="16"/>
          <w:color w:val="auto"/>
        </w:rPr>
        <w:t>. The Compensation Committee may grant awards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shares of common stock subject to specified restrictions, and restricted stock units, which represent the right to receive shares of the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 The Compensation Committee may also grant other types of equity or equity-based awards subject to the terms of the 2019 Plan and any other terms and conditions determined by the Compensation Committee.</w:t>
      </w:r>
    </w:p>
    <w:p>
      <w:pPr>
        <w:spacing w:after="0" w:line="172" w:lineRule="exact"/>
        <w:rPr>
          <w:rFonts w:ascii="Arial" w:cs="Arial" w:eastAsia="Arial" w:hAnsi="Arial"/>
          <w:sz w:val="16"/>
          <w:szCs w:val="16"/>
          <w:color w:val="auto"/>
        </w:rPr>
      </w:pPr>
    </w:p>
    <w:p>
      <w:pPr>
        <w:jc w:val="both"/>
        <w:ind w:left="1300" w:right="20" w:hanging="644"/>
        <w:spacing w:after="0" w:line="306"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Compensation Committee may condition the grant, exercise, vesting, or settlement of any award on such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conditions as it may specify. We refer to these awards as “performance awards.” The Compensation Committee may select such business criteria or other performance measures as it may deem appropriate in establishing any performance conditions.</w:t>
      </w:r>
    </w:p>
    <w:p>
      <w:pPr>
        <w:spacing w:after="0" w:line="200" w:lineRule="exact"/>
        <w:rPr>
          <w:rFonts w:ascii="Arial" w:cs="Arial" w:eastAsia="Arial" w:hAnsi="Arial"/>
          <w:sz w:val="16"/>
          <w:szCs w:val="16"/>
          <w:color w:val="auto"/>
        </w:rPr>
      </w:pPr>
    </w:p>
    <w:p>
      <w:pPr>
        <w:spacing w:after="0" w:line="392" w:lineRule="exact"/>
        <w:rPr>
          <w:rFonts w:ascii="Arial" w:cs="Arial" w:eastAsia="Arial" w:hAnsi="Arial"/>
          <w:sz w:val="16"/>
          <w:szCs w:val="16"/>
          <w:color w:val="auto"/>
        </w:rPr>
      </w:pPr>
    </w:p>
    <w:p>
      <w:pPr>
        <w:ind w:left="5620" w:hanging="96"/>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Limits on Immediate Vesting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 more than 25% of any equity-based awards granted under the 2019 Plan will vest on the grant date of such award. This requirement does not apply to</w:t>
      </w:r>
    </w:p>
    <w:p>
      <w:pPr>
        <w:spacing w:after="0" w:line="50" w:lineRule="exact"/>
        <w:rPr>
          <w:sz w:val="20"/>
          <w:szCs w:val="20"/>
          <w:color w:val="auto"/>
        </w:rPr>
      </w:pPr>
    </w:p>
    <w:p>
      <w:pPr>
        <w:jc w:val="both"/>
        <w:ind w:firstLine="8"/>
        <w:spacing w:after="0" w:line="255" w:lineRule="auto"/>
        <w:tabs>
          <w:tab w:leader="none" w:pos="2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cash and equity awards granted under the 2019 Plan will be subject to clawback, cancellation, recoupment, rescission, payback, reduction, or other similar action in accordance with the terms of any Company clawback or similar policy or any applicable law related to such actions, as may be in effect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Awards are not transferable other than by will or the laws of descent and distribution, except that in certain instances transfers may be made to or for the benefit of designated family members of the participant for no consideration.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change in control of the Company, the Compensation Committee may accelerate the time period relating to the exercise of any award. In addition, the Compensation Committee may take other action, including (a) providing for the purchase of any award for an amount of cash or other property that could have been received upon the exercise of such award had the award been currently exercisable, (b)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2019 Plan and requires consummation of the applicable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Termination and Amendment of the 2019 Plan</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Unless earlier terminated by the Board, the 2019 Plan will terminate, and no further awards may be granted, ten years after the date on which it is approved by stockholders. The board may amend, suspend or terminate the 2019 Plan at any time, except that, if required by applicable law, regulation or stock exchange rule, stockholder approval will be required for any amendment. The amendment, suspension or termination of the 2019 Plan or the amendment of an outstanding award generally may not, without a participant’s consent, materially impair the participant’s rights under an outstanding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Information</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i w:val="1"/>
          <w:iCs w:val="1"/>
          <w:color w:val="auto"/>
        </w:rPr>
        <w:t>The following is a brief summary of the U.S. federal income tax consequences of the 2019 Plan generally applicable to us and to participants in the 2019 Plan who are subject to U.S. federal taxes.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A participant generally will not recognize taxable income upon the grant or vesting of a nonqualified stock option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at least equal to the fair market value of the common stock on the date of grant and no additional deferral feature. Upon the exercise of a nonqualified stock option, a participant generally will recognize compensation taxable as ordinary income in an amount equal to the difference between the fair market value of the shares underlying the stock option on the date of exercise and the exercise price of the stock option. When a participant sells the shares, the participant will have short-term or long-term capital gain or loss, as the case may be, equal to the difference between the amount the participant received from the sale and the tax basis of the shares sold. The tax basis of the shares generally will be equal to the greater of the fair market value of the shares on the exercise date or the exercise price of the stock option.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generally will not recognize taxable income upon the grant of an incentive stock option. If a participant exercises</w:t>
      </w:r>
      <w:r>
        <w:rPr>
          <w:rFonts w:ascii="Arial" w:cs="Arial" w:eastAsia="Arial" w:hAnsi="Arial"/>
          <w:sz w:val="16"/>
          <w:szCs w:val="16"/>
          <w:i w:val="1"/>
          <w:iCs w:val="1"/>
          <w:color w:val="auto"/>
        </w:rPr>
        <w:t xml:space="preserve"> </w:t>
      </w:r>
      <w:r>
        <w:rPr>
          <w:rFonts w:ascii="Arial" w:cs="Arial" w:eastAsia="Arial" w:hAnsi="Arial"/>
          <w:sz w:val="16"/>
          <w:szCs w:val="16"/>
          <w:color w:val="auto"/>
        </w:rPr>
        <w:t>an incentive stock option during employment or within three months after employment ends (one year in the case of permanent and total disability), the participant will not recognize taxable income at the time of exercise for regular U.S. federal income tax purposes (although the participant generally will have taxable income for alternative minimum tax purposes at that time as if the stock option were a nonqualified stock option). If a participant sells or otherwise disposes of the shares acquired upon exercise of an incentive stock option after the later of (a) one year from the date the participant exercised the option and (b) two years from the grant date of the stock option, the participant generally will recognize long-term capital gain or loss equal to the difference between the amount the participant received in the disposition and the exercise price of the stock option. If a participant sells or otherwise disposes of shares acquired upon exercise of an incentive stock option before these holding period requirements are satisfied, the disposition will constitute a “disqualifying disposition,” and the participant generally will recognize taxable ordinary income in the year of disposition equal to the excess of the fair market value of the shares on the date of exercise over the exercise price of the stock option (or, if less, the excess of the amount realized on the disposition of the shares over the exercise price of the stock option). The balance of the participant’s gain on a disqualifying disposition, if any, will be taxed as short-term or long-term capital gain, as the case may be.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both nonqualified stock options and incentive stock options, special rules apply if a participant uses shares of common stock already held by the participant to pay the exercise price or if the shares received upon exercise of the stock option are subject to a substantial risk of forfeiture by the participant.</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generally will not recognize taxable income upon the grant or vesting of a SAR with a grant price at least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fair market value of common stock on the date of grant and no additional deferral feature. Upon the exercise of a SAR, a participant generally will recognize compensation taxable as ordinary income in an amount equal to the difference between the fair market value of the shares underlying the SAR on the date of exercise and the grant price of the SAR.</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Restricted Stock Awards, Restricted Stock Units, and Performance Awards. </w:t>
      </w:r>
      <w:r>
        <w:rPr>
          <w:rFonts w:ascii="Arial" w:cs="Arial" w:eastAsia="Arial" w:hAnsi="Arial"/>
          <w:sz w:val="18"/>
          <w:szCs w:val="18"/>
          <w:color w:val="auto"/>
        </w:rPr>
        <w:t>A participant generally will not have taxable income upon the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restricted stock units or performance awards. Instead, the participant will recognize ordinary income at the time of vesting or payout equal to the fair market value (on the vesting or payout date) of the shares or cash received minus any amount paid. For restricted stock only, a participant may instead elect to be taxed at the time of grant.</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Other Stock or Cash-Based Awards. </w:t>
      </w:r>
      <w:r>
        <w:rPr>
          <w:rFonts w:ascii="Arial" w:cs="Arial" w:eastAsia="Arial" w:hAnsi="Arial"/>
          <w:sz w:val="18"/>
          <w:szCs w:val="18"/>
          <w:color w:val="auto"/>
        </w:rPr>
        <w:t>The U.S. federal income tax consequences of other stock or cash-based awards will depend upon the specific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award.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Tax Consequences to Us. </w:t>
      </w:r>
      <w:r>
        <w:rPr>
          <w:rFonts w:ascii="Arial" w:cs="Arial" w:eastAsia="Arial" w:hAnsi="Arial"/>
          <w:sz w:val="18"/>
          <w:szCs w:val="18"/>
          <w:color w:val="auto"/>
        </w:rPr>
        <w:t>In the foregoing cases, we generally will be entitled to a deduction at the same time, and in the same amount, as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ordinary income, subject to limitations imposed under the Code.</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We intend that awards granted under the 2019 Plan comply with, or otherwise be exempt from, Section 409A of the Code, but make no</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or warranty to that effect.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We are authorized to deduct or withhold from any award granted or payment due under the 2019 Plan, or require a participant to remit</w:t>
      </w:r>
      <w:r>
        <w:rPr>
          <w:rFonts w:ascii="Arial" w:cs="Arial" w:eastAsia="Arial" w:hAnsi="Arial"/>
          <w:sz w:val="18"/>
          <w:szCs w:val="18"/>
          <w:i w:val="1"/>
          <w:iCs w:val="1"/>
          <w:color w:val="auto"/>
        </w:rPr>
        <w:t xml:space="preserve"> </w:t>
      </w:r>
      <w:r>
        <w:rPr>
          <w:rFonts w:ascii="Arial" w:cs="Arial" w:eastAsia="Arial" w:hAnsi="Arial"/>
          <w:sz w:val="18"/>
          <w:szCs w:val="18"/>
          <w:color w:val="auto"/>
        </w:rPr>
        <w:t>to us, the amount of any withholding taxes due in respect of the award or payment and to take such other action as may be necessary to satisfy all obligations for the payment of applicable withholding taxes. We are not required to issue any shares of common stock or otherwise settle an award under the 2019 Plan until all tax withholding obligations are satisfied.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Participation in the 2019 Plan is entirely within the discretion of the Compensation Committee. Because we cannot predict the rate at which the Compensation Committee will issue Awards or the terms of Awards granted under the 2019 Plan, it is not possible to determine the number of shares that will be purchased or the value of benefits that may be obtained by executive officers and other employees under the 2019 Plan in the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4" w:name="page25"/>
    <w:bookmarkEnd w:id="24"/>
    <w:p>
      <w:pPr>
        <w:ind w:firstLine="648"/>
        <w:spacing w:after="0" w:line="268" w:lineRule="auto"/>
        <w:rPr>
          <w:sz w:val="20"/>
          <w:szCs w:val="20"/>
          <w:color w:val="auto"/>
        </w:rPr>
      </w:pPr>
      <w:r>
        <w:rPr>
          <w:rFonts w:ascii="Arial" w:cs="Arial" w:eastAsia="Arial" w:hAnsi="Arial"/>
          <w:sz w:val="18"/>
          <w:szCs w:val="18"/>
          <w:color w:val="auto"/>
        </w:rPr>
        <w:t>The following table discloses information with respect to issuances under the 2019 Plan subject to the ratification of such grants by our stockholders through the date of this Proxy Statement to each of our current executive officers, independent directors and employees:</w:t>
      </w:r>
    </w:p>
    <w:p>
      <w:pPr>
        <w:sectPr>
          <w:pgSz w:w="11900" w:h="16838" w:orient="portrait"/>
          <w:cols w:equalWidth="0" w:num="1">
            <w:col w:w="11420"/>
          </w:cols>
          <w:pgMar w:left="240" w:top="7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Name and Position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EFF"/>
        </w:rPr>
        <w:t>H. Ralph Snodgrass,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President, Chief Scientific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EFF"/>
        </w:rPr>
        <w:t>Mark A 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shd w:val="clear" w:color="auto" w:fill="CCEEFF"/>
        </w:rPr>
        <w:t>Chief Medical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Vice President, Chief Financial Officer,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Vice President – Corporate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Employees (excluding executive officers)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Issuances</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2019 Omnibus</w:t>
      </w:r>
    </w:p>
    <w:p>
      <w:pPr>
        <w:spacing w:after="0" w:line="4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Equity</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u w:val="single" w:color="auto"/>
          <w:color w:val="auto"/>
        </w:rPr>
        <w:t>Incentive Plan</w:t>
      </w:r>
    </w:p>
    <w:p>
      <w:pPr>
        <w:spacing w:after="0" w:line="74"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946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4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170,000</w:t>
      </w:r>
    </w:p>
    <w:p>
      <w:pPr>
        <w:spacing w:after="0" w:line="200" w:lineRule="exact"/>
        <w:rPr>
          <w:sz w:val="20"/>
          <w:szCs w:val="20"/>
          <w:color w:val="auto"/>
        </w:rPr>
      </w:pPr>
    </w:p>
    <w:p>
      <w:pPr>
        <w:spacing w:after="0" w:line="24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170,000</w:t>
      </w:r>
    </w:p>
    <w:p>
      <w:pPr>
        <w:spacing w:after="0" w:line="248" w:lineRule="exact"/>
        <w:rPr>
          <w:sz w:val="20"/>
          <w:szCs w:val="20"/>
          <w:color w:val="auto"/>
        </w:rPr>
      </w:pPr>
    </w:p>
    <w:p>
      <w:pPr>
        <w:sectPr>
          <w:pgSz w:w="11900" w:h="16838" w:orient="portrait"/>
          <w:cols w:equalWidth="0" w:num="2">
            <w:col w:w="9480" w:space="720"/>
            <w:col w:w="1220"/>
          </w:cols>
          <w:pgMar w:left="240" w:top="779" w:right="239" w:bottom="1440" w:gutter="0" w:footer="0" w:header="0"/>
          <w:type w:val="continuous"/>
        </w:sectPr>
      </w:pPr>
    </w:p>
    <w:p>
      <w:pPr>
        <w:spacing w:after="0" w:line="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adoption of the 2019 Plan and ratification of issuances thereunder to date. In addition, the 2019 Plan will take effect only if the Charter Amendment presented in Proposal No. 2 is approved. Unless otherwise instructed on the proxy or unless authority to vote is withheld, shares represented by executed proxies will be voted “FOR” this Proposal No. 3.</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approval of the adoption of our 2019 Omnibus Equity Incentive Plan.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ADOPTION OF OUR 2019 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On June 13, 2019, our Board unanimously approved the VistaGen Therapeutics, Inc.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xml:space="preserve">), subject to approval by our stockholders. A copy of our 2019 ESPP is attached to this proxy statement as </w:t>
      </w:r>
      <w:r>
        <w:rPr>
          <w:rFonts w:ascii="Arial" w:cs="Arial" w:eastAsia="Arial" w:hAnsi="Arial"/>
          <w:sz w:val="18"/>
          <w:szCs w:val="18"/>
          <w:u w:val="single" w:color="auto"/>
          <w:color w:val="auto"/>
        </w:rPr>
        <w:t>Appendix C</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our 2019 ESPP, shares of our common stock will be available for purchase by eligible employees who participate in our 2019 ESPP. Eligible employees will be entitled to purchase, by means of payroll deductions, limited amounts of our common stock during periodic option periods under the 2019 ESPP. The 2019 ESPP will not be effective without stockholder approval, and will become effective only if the Charter Amendment described in Proposal No. 2 is approved by stockholders at the Annual Meeting.</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believes that our 2019 ESPP will help the Company attract, retain and motivate eligible employees and help further align the interests of eligible employees with those of the Company’s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Our 2019 ESPP</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 xml:space="preserve">The principal terms of our 2019 ESPP are summarized below. The discussion of our 2019 ESPP that follows is qualified in its entirety by the description of and full terms of the 2019 ESPP that are included as part of </w:t>
      </w:r>
      <w:r>
        <w:rPr>
          <w:rFonts w:ascii="Arial" w:cs="Arial" w:eastAsia="Arial" w:hAnsi="Arial"/>
          <w:sz w:val="18"/>
          <w:szCs w:val="18"/>
          <w:u w:val="single" w:color="auto"/>
          <w:color w:val="auto"/>
        </w:rPr>
        <w:t>Appendix C</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our 2019 ESPP is to provide eligible employees with an incentive to advance the best interests of the Company by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them with an opportunity to purchase shares of the Company’s common stock at a favorable price through accumulated payroll deductions. The 2019 ESPP is intended to qualify as an “employee stock purchase plan” under Section 423 of the Code.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the Board of Directors will administer the 2019 ESPP. The Compensation Committee has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interpret and apply the terms of the 2019 ESPP.</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Operation</w:t>
      </w:r>
      <w:r>
        <w:rPr>
          <w:rFonts w:ascii="Arial" w:cs="Arial" w:eastAsia="Arial" w:hAnsi="Arial"/>
          <w:sz w:val="18"/>
          <w:szCs w:val="18"/>
          <w:color w:val="auto"/>
        </w:rPr>
        <w:t>. The 2019 ESPP is generally expected to operate in consecutive semi-annual periods referred to as “option periods.” The first option period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commence on January 1, 2020 and end on the last trading day in the semi-annual period ending June 30, 2020, with successive option periods expected to begin on the first day of January and July and to terminate on the last trading day of June and December, respectively. The 2019 ESPP gives the Compensation Committee the flexibility to change the duration of future option periods. However, option periods may not last longer than the maximum period permitted under Section 423 of the Code. Section 423 of the Code generally limits the length of such offerings to either 5 years or 27 months, depending on the terms of the offering.</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On the first day of each option period (the </w:t>
      </w:r>
      <w:r>
        <w:rPr>
          <w:rFonts w:ascii="Arial" w:cs="Arial" w:eastAsia="Arial" w:hAnsi="Arial"/>
          <w:sz w:val="16"/>
          <w:szCs w:val="16"/>
          <w:i w:val="1"/>
          <w:iCs w:val="1"/>
          <w:color w:val="auto"/>
        </w:rPr>
        <w:t>Grant Date</w:t>
      </w:r>
      <w:r>
        <w:rPr>
          <w:rFonts w:ascii="Arial" w:cs="Arial" w:eastAsia="Arial" w:hAnsi="Arial"/>
          <w:sz w:val="16"/>
          <w:szCs w:val="16"/>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not increase or decrease his or her payroll deductions during the option period. A participant may instead elect to withdraw from any option period prior to the last day of the option period, in which case the participant’s payroll deductions will be refunded and the participant’s outstanding options will terminate.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participant’s payroll deductions under the 2019 ESPP will be credited to a bookkeeping account in his or her name under the 2019 ESPP.</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jc w:val="both"/>
        <w:ind w:firstLine="648"/>
        <w:spacing w:after="0" w:line="289" w:lineRule="auto"/>
        <w:rPr>
          <w:sz w:val="20"/>
          <w:szCs w:val="20"/>
          <w:color w:val="auto"/>
        </w:rPr>
      </w:pPr>
      <w:r>
        <w:rPr>
          <w:rFonts w:ascii="Arial" w:cs="Arial" w:eastAsia="Arial" w:hAnsi="Arial"/>
          <w:sz w:val="16"/>
          <w:szCs w:val="16"/>
          <w:color w:val="auto"/>
        </w:rPr>
        <w:t xml:space="preserve">Each option granted under the 2019 ESPP will automatically be exercised on the last day of the respective option period (referred to as the </w:t>
      </w:r>
      <w:r>
        <w:rPr>
          <w:rFonts w:ascii="Arial" w:cs="Arial" w:eastAsia="Arial" w:hAnsi="Arial"/>
          <w:sz w:val="16"/>
          <w:szCs w:val="16"/>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The number of shares acquired by a participant upon exercise of his or her option will be determined by dividing the participant’s 2019 ESPP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as of the Exercise Date for the option period by the purchase price of the option. The purchase price for each option is generally expected to equal the lesser of (1) 85% of the fair market value of a share of the Company’s common stock on the applicable Grant Date, or (2) 85% of the fair market value of a share of the Company’s common stock on the applicable Exercise Date. However, the 2019 ESPP gives the Compensation Committee the flexibility to change the purchase price for future option periods that is consistent with Section 423 of the Code. A participant’s 2019 ESPP account will be reduced upon exercise of his or her option by the amount used to pay the purchase price of the shares acquired by the participant. No interest will be paid to any participant or credited to any account under the 2019 ESPP.</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Only certain employees will be eligible to participate in the 2019 ESPP. All employees of the Company and any subsidiaries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been designated by the Compensation Committee as eligible to participate in an option period will generally be eligible to participate in such offering period. However, the following employees will not be eligible to participate in such option period:</w:t>
      </w:r>
    </w:p>
    <w:p>
      <w:pPr>
        <w:spacing w:after="0" w:line="194" w:lineRule="exact"/>
        <w:rPr>
          <w:sz w:val="20"/>
          <w:szCs w:val="20"/>
          <w:color w:val="auto"/>
        </w:rPr>
      </w:pPr>
    </w:p>
    <w:p>
      <w:pPr>
        <w:ind w:left="820" w:hanging="35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employees whose customary employment is for not more than 20 hours per week;</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employees whose customary employment is for not more than five months per calendar year; and</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employees who are citizens or residents of a foreign jurisdiction if the grant of an option is prohibited under the local laws of the jurisdiction.</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i w:val="1"/>
          <w:iCs w:val="1"/>
          <w:color w:val="auto"/>
        </w:rPr>
        <w:t>Limits on Authorized Shares; Limits on Contributions</w:t>
      </w:r>
      <w:r>
        <w:rPr>
          <w:rFonts w:ascii="Arial" w:cs="Arial" w:eastAsia="Arial" w:hAnsi="Arial"/>
          <w:sz w:val="18"/>
          <w:szCs w:val="18"/>
          <w:color w:val="auto"/>
        </w:rPr>
        <w:t>. If the Company’s stockholders approve the 2019 ESPP at the Annual Meeting, a maximum of</w:t>
      </w:r>
      <w:r>
        <w:rPr>
          <w:rFonts w:ascii="Arial" w:cs="Arial" w:eastAsia="Arial" w:hAnsi="Arial"/>
          <w:sz w:val="18"/>
          <w:szCs w:val="18"/>
          <w:i w:val="1"/>
          <w:iCs w:val="1"/>
          <w:color w:val="auto"/>
        </w:rPr>
        <w:t xml:space="preserve"> </w:t>
      </w:r>
      <w:r>
        <w:rPr>
          <w:rFonts w:ascii="Arial" w:cs="Arial" w:eastAsia="Arial" w:hAnsi="Arial"/>
          <w:sz w:val="18"/>
          <w:szCs w:val="18"/>
          <w:color w:val="auto"/>
        </w:rPr>
        <w:t>1,000,000 shares of the Company’s common stock may be purchased under the 2019 ESPP.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Participation in the 2019 ESPP is also subject to the following limits:</w:t>
      </w:r>
    </w:p>
    <w:p>
      <w:pPr>
        <w:spacing w:after="0" w:line="225" w:lineRule="exact"/>
        <w:rPr>
          <w:sz w:val="20"/>
          <w:szCs w:val="20"/>
          <w:color w:val="auto"/>
        </w:rPr>
      </w:pPr>
    </w:p>
    <w:p>
      <w:pPr>
        <w:ind w:left="820" w:right="20" w:hanging="353"/>
        <w:spacing w:after="0" w:line="268"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spacing w:after="0" w:line="185" w:lineRule="exact"/>
        <w:rPr>
          <w:rFonts w:ascii="Arial" w:cs="Arial" w:eastAsia="Arial" w:hAnsi="Arial"/>
          <w:sz w:val="18"/>
          <w:szCs w:val="18"/>
          <w:color w:val="auto"/>
        </w:rPr>
      </w:pPr>
    </w:p>
    <w:p>
      <w:pPr>
        <w:ind w:left="820" w:right="20" w:hanging="353"/>
        <w:spacing w:after="0" w:line="33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39" w:lineRule="exact"/>
        <w:rPr>
          <w:rFonts w:ascii="Arial" w:cs="Arial" w:eastAsia="Arial" w:hAnsi="Arial"/>
          <w:sz w:val="16"/>
          <w:szCs w:val="16"/>
          <w:color w:val="auto"/>
        </w:rPr>
      </w:pPr>
    </w:p>
    <w:p>
      <w:pPr>
        <w:jc w:val="both"/>
        <w:ind w:left="820" w:hanging="353"/>
        <w:spacing w:after="0" w:line="25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participant will not be granted an option under the 2019 ESPP if it would cause the participant to own stock and/or hold outstanding options to purchase stock possessing five percent (5.0%) or more of the total combined voting power or value of all classes of stock of the Company or of its parent or one of its subsidiaries or to the extent it would exceed certain other limits under the Code.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$25,000 and the 5% ownership limitations referred to above are required under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If a participant ceases to be an eligible employee for any reason, his or her payroll deductions will automatically cease.</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Generally in the event of a proposed sale of all or substantially all of the assets, property or stock of the Company, a</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merger or consolidation of the Company with or into one or more corporations, or a dissolution or liquidation of the Company, unless a successor corporation or a parent or subsidiary thereof assumes or substitutes new options for all outstanding options, (i) the Board shall establish a new Exercise Date that is before the date of the corporate transaction and (ii) upon such effective date any unexercised options shall expire.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As is customary in stock incentive plans of this nature, the number of shares of stock available under the 2019 ESPP or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options, is subject to adjustment in the event of certain reorganizations, combinations, recapitalization of shares, stock splits, reverse stock split, subdivision or other similar change in respect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A participant’s rights with respect to options or the purchase of shares under the 2019 ESPP, as well as payroll deductions credited</w:t>
      </w:r>
      <w:r>
        <w:rPr>
          <w:rFonts w:ascii="Arial" w:cs="Arial" w:eastAsia="Arial" w:hAnsi="Arial"/>
          <w:sz w:val="18"/>
          <w:szCs w:val="18"/>
          <w:i w:val="1"/>
          <w:iCs w:val="1"/>
          <w:color w:val="auto"/>
        </w:rPr>
        <w:t xml:space="preserve"> </w:t>
      </w:r>
      <w:r>
        <w:rPr>
          <w:rFonts w:ascii="Arial" w:cs="Arial" w:eastAsia="Arial" w:hAnsi="Arial"/>
          <w:sz w:val="18"/>
          <w:szCs w:val="18"/>
          <w:color w:val="auto"/>
        </w:rPr>
        <w:t>to his or her 2019 ESPP account, may not be assigned, transferred, pledged or otherwise disposed of in any way except by will or the laws of descent and distribution.</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The Board generally may amend, suspend, or terminate the 2019 ESPP at any time and in any manner, except that stockholder approval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Subject to stockholder approval, our 2019 ESPP will become effective on January 1, 2020 and will continue in effect until the earlier of such time</w:t>
      </w:r>
      <w:r>
        <w:rPr>
          <w:rFonts w:ascii="Arial" w:cs="Arial" w:eastAsia="Arial" w:hAnsi="Arial"/>
          <w:sz w:val="18"/>
          <w:szCs w:val="18"/>
          <w:i w:val="1"/>
          <w:iCs w:val="1"/>
          <w:color w:val="auto"/>
        </w:rPr>
        <w:t xml:space="preserve"> </w:t>
      </w:r>
      <w:r>
        <w:rPr>
          <w:rFonts w:ascii="Arial" w:cs="Arial" w:eastAsia="Arial" w:hAnsi="Arial"/>
          <w:sz w:val="18"/>
          <w:szCs w:val="18"/>
          <w:color w:val="auto"/>
        </w:rPr>
        <w:t>as all of the shares of the Company’s common stock subject to the 2019 ESPP have been sold under the 2019 ESPP or December 31, 2030, unless terminated earlier by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the 2019 ESPP</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is a general summary of the current federal income tax principles applicable to the 2019 ESPP. The following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2019 ESPP is intended to qualify as an “employee stock purchase plan” under Section 423 of the Code. Participant contributions to the 2019 ESPP through payroll deductions are made on an after-tax basis. That is, a participant’s payroll deductions that are contributed to the 2019 ESPP are deducted from compensation that is taxable to the participant and for which the Company is generally entitled to a tax deduction.</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Generally, no taxable income is recognized by a participant with respect to either the grant or exercise of his or her 2019 ESPP option. The Company will have no tax deduction with respect to either of those events. A participant will generally recognize income (or loss) only upon a sale or disposition of any shares that the participant acquires under the 2019 ESPP. The particular tax consequences of a sale or disposition of shares acquired under the 2019 ESPP depend on whether the participant has held the shares for a “Required Holding Period” before selling or disposing of the shares. The Required Holding Period ends on the later of (1) two years after the Grant Date of the offering period in which the participant acquired the shares, or (2) one year after the Exercise Date on which the participant acquired the shares.</w:t>
      </w:r>
    </w:p>
    <w:p>
      <w:pPr>
        <w:spacing w:after="0" w:line="1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participant holds the shares for the Required Holding Period and then sells the shares at a price in excess of the purchase price paid for the shares, the gain on the sale of the shares will be taxed as ordinary income to the participant to the extent of the lesser of (1) the amount by which the fair market value of the shares on the Grant Date of the offering period in which the participant acquired the shares exceeded the purchase price of the shares (calculated as though the shares had been purchased on the Grant Date), or (2) the gain on the sale of the shares. Any portion of the participant’s gain on the sale of the shares not taxed as ordinary income will be taxed as long-term capital gain. If the participant holds the shares for the Required Holding Period and then sells the shares at a price less than the purchase price paid for the shares, the loss on the sale will be treated as a long-term capital loss to the participant. The Company will not be entitled to a tax deduction with respect to any shares held by the participant for the Required Holding Period, regardless of whether the shares are eventually sold at a gain or a loss.</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participant has a “Disqualifying Disposition” if the participant disposes of the shares before the participant has held the shares for the Required Holding Period. If the participant sells the shares in a Disqualifying Disposition, the participant will realize ordinary income in an amount equal to the difference between the purchase price paid for the shares and the fair market value of the shares on the Exercise Date on which the participant acquired the shares, and the Company generally will be entitled to a corresponding tax deduction. In addition, if the participant makes a Disqualifying Disposition of the shares at a price in excess of the fair market value of the shares on the Exercise Date, the participant will realize capital gain in an amount equal to the difference between the selling price of the shares and the fair market value of the shares on the Exercise Date. Alternatively, if the participant makes a Disqualifying Disposition of the shares at a price less than the fair market value of the shares on the Exercise Date, the participant will realize a capital loss in an amount equal to the difference between the fair market value of the shares on the Exercise Date and the selling price of the shares. The Company will not be entitled to a tax deduction with respect to any capital gain realized by a participant.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Benefits under the 2019 ESPP</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benefits that will be received by or allocated to eligible employees under the 2019 ESPP cannot be determined at this time because the amount of payroll deductions contributed to purchase shares of the Company’s common stock under the 2019 ESPP (subject to the limitations discussed above) is entirely within the discretion of each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31" w:lineRule="exact"/>
        <w:rPr>
          <w:sz w:val="20"/>
          <w:szCs w:val="20"/>
          <w:color w:val="auto"/>
        </w:rPr>
      </w:pPr>
    </w:p>
    <w:p>
      <w:pPr>
        <w:jc w:val="both"/>
        <w:ind w:firstLine="660"/>
        <w:spacing w:after="0" w:line="256"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adoption of our 2019 ESPP. In addition, our 2019 ESPP will not take effect unless the Charter Amendment, as described in Proposal No. 2, is approved by stockholders at the Annual Meeting. Unless otherwise instructed on the proxy or unless authority to vote is withheld, shares represented by executed proxies will be voted “FOR” this Proposal No. 4.</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unanimously recommends that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approval of the adoption of the 2019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026" w:gutter="0" w:footer="0" w:header="0"/>
        </w:sectPr>
      </w:pPr>
    </w:p>
    <w:bookmarkStart w:id="28" w:name="page29"/>
    <w:bookmarkEnd w:id="28"/>
    <w:p>
      <w:pPr>
        <w:jc w:val="center"/>
        <w:ind w:right="100"/>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We are providing our stockholders with the opportunity to approve, on a non-binding advisory basis, the compensation of our Named Executive Officers as disclosed in this Proxy Statement in accordance with the SEC’s rules. This Say-on-Pay Vote is required by the Dodd-Frank Wall Street Reform and Consumer Protection Act of 2010, which added Section 14A to the Exchange Act.</w:t>
      </w:r>
    </w:p>
    <w:p>
      <w:pPr>
        <w:spacing w:after="0" w:line="194" w:lineRule="exact"/>
        <w:rPr>
          <w:sz w:val="20"/>
          <w:szCs w:val="20"/>
          <w:color w:val="auto"/>
        </w:rPr>
      </w:pPr>
    </w:p>
    <w:p>
      <w:pPr>
        <w:jc w:val="both"/>
        <w:ind w:right="100" w:firstLine="648"/>
        <w:spacing w:after="0" w:line="291" w:lineRule="auto"/>
        <w:rPr>
          <w:sz w:val="20"/>
          <w:szCs w:val="20"/>
          <w:color w:val="auto"/>
        </w:rPr>
      </w:pPr>
      <w:r>
        <w:rPr>
          <w:rFonts w:ascii="Arial" w:cs="Arial" w:eastAsia="Arial" w:hAnsi="Arial"/>
          <w:sz w:val="16"/>
          <w:szCs w:val="16"/>
          <w:color w:val="auto"/>
        </w:rPr>
        <w:t>Our executive compensation programs are designed to attract key employees and to retain, motivate and reward our executive officers for their performance and contribution to our long-term success. Under these programs, our executive officers are rewarded for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4" w:lineRule="exact"/>
        <w:rPr>
          <w:sz w:val="20"/>
          <w:szCs w:val="20"/>
          <w:color w:val="auto"/>
        </w:rPr>
      </w:pPr>
    </w:p>
    <w:p>
      <w:pPr>
        <w:jc w:val="both"/>
        <w:ind w:right="80" w:firstLine="648"/>
        <w:spacing w:after="0" w:line="294" w:lineRule="auto"/>
        <w:rPr>
          <w:sz w:val="20"/>
          <w:szCs w:val="20"/>
          <w:color w:val="auto"/>
        </w:rPr>
      </w:pPr>
      <w:r>
        <w:rPr>
          <w:rFonts w:ascii="Arial" w:cs="Arial" w:eastAsia="Arial" w:hAnsi="Arial"/>
          <w:sz w:val="16"/>
          <w:szCs w:val="16"/>
          <w:color w:val="auto"/>
        </w:rPr>
        <w:t>The “Executive Compensation” section below describes, in detail, our executive compensation programs and the decisions made by management and the Board with respect to the fiscal years ended March 31, 2019 and 2018. 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70"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As an advisory vote, the outcome of this proposal is not binding. The outcome of this Say-on-Pay Vote does not overrule any prior or future decision by the Company or the Board, including decisions made by the Compensation Committee, create or imply any change to the fiduciary duties of the Company or the Board, or create or imply any additional fiduciary duties for the Company or the Board. However, management and the Compensation Committee value the opinions expressed by our stockholders in their vote on this proposal and will consider the outcome of the vote when making future compensation decisions for Named Executive Officers.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FOLLOWING ADVISORY RESOLUTION:</w:t>
      </w:r>
    </w:p>
    <w:p>
      <w:pPr>
        <w:spacing w:after="0" w:line="225" w:lineRule="exact"/>
        <w:rPr>
          <w:sz w:val="20"/>
          <w:szCs w:val="20"/>
          <w:color w:val="auto"/>
        </w:rPr>
      </w:pPr>
    </w:p>
    <w:p>
      <w:pPr>
        <w:jc w:val="both"/>
        <w:ind w:left="820" w:right="660" w:firstLine="648"/>
        <w:spacing w:after="0" w:line="31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rules of the Securities and Exchange Commission, including the disclosure under “Executive Compensation”, the compensation tables and accompanying narrative disclosure, and any related material disclosed in this Proxy Statement, is hereby approved.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5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this advisory, non-binding matter, the affirmative vote of at least a majority of the votes cast at the Annual Meeting is required to approve this Proposal No. 5. Unless otherwise instructed on the proxy or unless authority to vote is withheld, shares represented by executed proxies will be voted “FOR” this Proposal No. 5.</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non-binding advisory resolution above, approving of the compensation paid to the Company’s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56</w:t>
            </w:r>
          </w:p>
        </w:tc>
        <w:tc>
          <w:tcPr>
            <w:tcW w:w="100" w:type="dxa"/>
            <w:vAlign w:val="bottom"/>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4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69</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63</w:t>
            </w: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Jerrold D. Dotson, CPA</w:t>
            </w:r>
          </w:p>
        </w:tc>
        <w:tc>
          <w:tcPr>
            <w:tcW w:w="104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66</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53</w:t>
            </w: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Corporate Development</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4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5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(NASDAQ: SBOT), a leader in sustainable manufacture of KLH, an immune-stimulating protein widely used in the field of active immunotherapy,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Group, a subsidiary of @titude Global, the world's largest independent global investor relations consulting firm,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During the years ended March 31, 2019 and 2018, each Named Executive Officer (</w:t>
      </w:r>
      <w:r>
        <w:rPr>
          <w:rFonts w:ascii="Arial" w:cs="Arial" w:eastAsia="Arial" w:hAnsi="Arial"/>
          <w:sz w:val="16"/>
          <w:szCs w:val="16"/>
          <w:i w:val="1"/>
          <w:iCs w:val="1"/>
          <w:color w:val="auto"/>
        </w:rPr>
        <w:t>NEO</w:t>
      </w:r>
      <w:r>
        <w:rPr>
          <w:rFonts w:ascii="Arial" w:cs="Arial" w:eastAsia="Arial" w:hAnsi="Arial"/>
          <w:sz w:val="16"/>
          <w:szCs w:val="16"/>
          <w:color w:val="auto"/>
        </w:rPr>
        <w:t>) serving during those periods was awarded a bonus by the Compensation Committee in the amount set forth in the Summary Compensation Table below. Payment of any bonus amounts is at the discretion of the Compensation Committee which may consider factors other than attainment of individual or corporate goals in its determination of bonus amounts to be granted.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left="120"/>
        <w:spacing w:after="0"/>
        <w:rPr>
          <w:sz w:val="20"/>
          <w:szCs w:val="20"/>
          <w:color w:val="auto"/>
        </w:rPr>
      </w:pPr>
      <w:r>
        <w:rPr>
          <w:rFonts w:ascii="Arial" w:cs="Arial" w:eastAsia="Arial" w:hAnsi="Arial"/>
          <w:sz w:val="18"/>
          <w:szCs w:val="18"/>
          <w:b w:val="1"/>
          <w:bCs w:val="1"/>
          <w:color w:val="auto"/>
        </w:rPr>
        <w:t>2019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2019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92"/>
              <w:spacing w:after="0"/>
              <w:rPr>
                <w:sz w:val="20"/>
                <w:szCs w:val="20"/>
                <w:color w:val="auto"/>
              </w:rPr>
            </w:pPr>
            <w:r>
              <w:rPr>
                <w:rFonts w:ascii="Arial" w:cs="Arial" w:eastAsia="Arial" w:hAnsi="Arial"/>
                <w:sz w:val="18"/>
                <w:szCs w:val="18"/>
                <w:b w:val="1"/>
                <w:bCs w:val="1"/>
                <w:color w:val="auto"/>
                <w:w w:val="89"/>
              </w:rPr>
              <w:t>Option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Other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26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rPr>
              <w:t>Salary</w:t>
            </w:r>
          </w:p>
        </w:tc>
        <w:tc>
          <w:tcPr>
            <w:tcW w:w="260" w:type="dxa"/>
            <w:vAlign w:val="bottom"/>
          </w:tcPr>
          <w:p>
            <w:pPr>
              <w:spacing w:after="0"/>
              <w:rPr>
                <w:sz w:val="18"/>
                <w:szCs w:val="18"/>
                <w:color w:val="auto"/>
              </w:rPr>
            </w:pPr>
          </w:p>
        </w:tc>
        <w:tc>
          <w:tcPr>
            <w:tcW w:w="1240" w:type="dxa"/>
            <w:vAlign w:val="bottom"/>
            <w:gridSpan w:val="2"/>
          </w:tcPr>
          <w:p>
            <w:pPr>
              <w:ind w:left="240"/>
              <w:spacing w:after="0" w:line="217" w:lineRule="exact"/>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24"/>
                <w:szCs w:val="24"/>
                <w:b w:val="1"/>
                <w:bCs w:val="1"/>
                <w:color w:val="auto"/>
                <w:vertAlign w:val="superscript"/>
              </w:rPr>
              <w:t>(9)</w:t>
            </w:r>
          </w:p>
        </w:tc>
        <w:tc>
          <w:tcPr>
            <w:tcW w:w="1100" w:type="dxa"/>
            <w:vAlign w:val="bottom"/>
          </w:tcPr>
          <w:p>
            <w:pPr>
              <w:jc w:val="center"/>
              <w:ind w:left="92"/>
              <w:spacing w:after="0" w:line="217"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2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4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100" w:type="dxa"/>
            <w:vAlign w:val="bottom"/>
          </w:tcPr>
          <w:p>
            <w:pPr>
              <w:jc w:val="center"/>
              <w:ind w:left="92"/>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466,365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110,305</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8"/>
                <w:szCs w:val="18"/>
                <w:color w:val="auto"/>
              </w:rPr>
              <w:t xml:space="preserve">374,445 </w:t>
            </w:r>
            <w:r>
              <w:rPr>
                <w:rFonts w:ascii="Arial" w:cs="Arial" w:eastAsia="Arial" w:hAnsi="Arial"/>
                <w:sz w:val="24"/>
                <w:szCs w:val="24"/>
                <w:color w:val="auto"/>
                <w:vertAlign w:val="superscript"/>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951,115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424,597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206,369</w:t>
            </w:r>
          </w:p>
        </w:tc>
        <w:tc>
          <w:tcPr>
            <w:tcW w:w="120" w:type="dxa"/>
            <w:vAlign w:val="bottom"/>
          </w:tcPr>
          <w:p>
            <w:pPr>
              <w:spacing w:after="0"/>
              <w:rPr>
                <w:sz w:val="18"/>
                <w:szCs w:val="18"/>
                <w:color w:val="auto"/>
              </w:rPr>
            </w:pPr>
          </w:p>
        </w:tc>
        <w:tc>
          <w:tcPr>
            <w:tcW w:w="1400" w:type="dxa"/>
            <w:vAlign w:val="bottom"/>
            <w:gridSpan w:val="3"/>
          </w:tcPr>
          <w:p>
            <w:pPr>
              <w:jc w:val="right"/>
              <w:ind w:right="140"/>
              <w:spacing w:after="0" w:line="216" w:lineRule="exact"/>
              <w:rPr>
                <w:sz w:val="20"/>
                <w:szCs w:val="20"/>
                <w:color w:val="auto"/>
              </w:rPr>
            </w:pPr>
            <w:r>
              <w:rPr>
                <w:rFonts w:ascii="Arial" w:cs="Arial" w:eastAsia="Arial" w:hAnsi="Arial"/>
                <w:sz w:val="18"/>
                <w:szCs w:val="18"/>
                <w:color w:val="auto"/>
              </w:rPr>
              <w:t xml:space="preserve">641,934 </w:t>
            </w:r>
            <w:r>
              <w:rPr>
                <w:rFonts w:ascii="Arial" w:cs="Arial" w:eastAsia="Arial" w:hAnsi="Arial"/>
                <w:sz w:val="24"/>
                <w:szCs w:val="24"/>
                <w:color w:val="auto"/>
                <w:vertAlign w:val="superscript"/>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1,272,900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393,991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73,444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174,823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642,258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128,001</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436,980 </w:t>
            </w:r>
            <w:r>
              <w:rPr>
                <w:rFonts w:ascii="Arial" w:cs="Arial" w:eastAsia="Arial" w:hAnsi="Arial"/>
                <w:sz w:val="24"/>
                <w:szCs w:val="24"/>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941,205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73,444</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154,922 </w:t>
            </w:r>
            <w:r>
              <w:rPr>
                <w:rFonts w:ascii="Arial" w:cs="Arial" w:eastAsia="Arial" w:hAnsi="Arial"/>
                <w:sz w:val="24"/>
                <w:szCs w:val="24"/>
                <w:color w:val="auto"/>
                <w:vertAlign w:val="superscript"/>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622,357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376,224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146,287</w:t>
            </w:r>
          </w:p>
        </w:tc>
        <w:tc>
          <w:tcPr>
            <w:tcW w:w="120" w:type="dxa"/>
            <w:vAlign w:val="bottom"/>
          </w:tcPr>
          <w:p>
            <w:pPr>
              <w:spacing w:after="0"/>
              <w:rPr>
                <w:sz w:val="21"/>
                <w:szCs w:val="21"/>
                <w:color w:val="auto"/>
              </w:rPr>
            </w:pPr>
          </w:p>
        </w:tc>
        <w:tc>
          <w:tcPr>
            <w:tcW w:w="1400" w:type="dxa"/>
            <w:vAlign w:val="bottom"/>
            <w:gridSpan w:val="3"/>
          </w:tcPr>
          <w:p>
            <w:pPr>
              <w:jc w:val="right"/>
              <w:ind w:right="140"/>
              <w:spacing w:after="0" w:line="243" w:lineRule="exact"/>
              <w:rPr>
                <w:sz w:val="20"/>
                <w:szCs w:val="20"/>
                <w:color w:val="auto"/>
              </w:rPr>
            </w:pPr>
            <w:r>
              <w:rPr>
                <w:rFonts w:ascii="Arial" w:cs="Arial" w:eastAsia="Arial" w:hAnsi="Arial"/>
                <w:sz w:val="18"/>
                <w:szCs w:val="18"/>
                <w:color w:val="auto"/>
              </w:rPr>
              <w:t xml:space="preserve">458,461 </w:t>
            </w:r>
            <w:r>
              <w:rPr>
                <w:rFonts w:ascii="Arial" w:cs="Arial" w:eastAsia="Arial" w:hAnsi="Arial"/>
                <w:sz w:val="24"/>
                <w:szCs w:val="24"/>
                <w:color w:val="auto"/>
                <w:vertAlign w:val="superscript"/>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980,972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344,992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64,749</w:t>
            </w:r>
          </w:p>
        </w:tc>
        <w:tc>
          <w:tcPr>
            <w:tcW w:w="120" w:type="dxa"/>
            <w:vAlign w:val="bottom"/>
          </w:tcPr>
          <w:p>
            <w:pPr>
              <w:spacing w:after="0"/>
              <w:rPr>
                <w:sz w:val="21"/>
                <w:szCs w:val="21"/>
                <w:color w:val="auto"/>
              </w:rPr>
            </w:pPr>
          </w:p>
        </w:tc>
        <w:tc>
          <w:tcPr>
            <w:tcW w:w="1400" w:type="dxa"/>
            <w:vAlign w:val="bottom"/>
            <w:gridSpan w:val="3"/>
          </w:tcPr>
          <w:p>
            <w:pPr>
              <w:jc w:val="right"/>
              <w:ind w:right="140"/>
              <w:spacing w:after="0" w:line="243" w:lineRule="exact"/>
              <w:rPr>
                <w:sz w:val="20"/>
                <w:szCs w:val="20"/>
                <w:color w:val="auto"/>
              </w:rPr>
            </w:pPr>
            <w:r>
              <w:rPr>
                <w:rFonts w:ascii="Arial" w:cs="Arial" w:eastAsia="Arial" w:hAnsi="Arial"/>
                <w:sz w:val="18"/>
                <w:szCs w:val="18"/>
                <w:color w:val="auto"/>
              </w:rPr>
              <w:t xml:space="preserve">131,326 </w:t>
            </w:r>
            <w:r>
              <w:rPr>
                <w:rFonts w:ascii="Arial" w:cs="Arial" w:eastAsia="Arial" w:hAnsi="Arial"/>
                <w:sz w:val="24"/>
                <w:szCs w:val="24"/>
                <w:color w:val="auto"/>
                <w:vertAlign w:val="superscript"/>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541,067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125,389</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423,935 </w:t>
            </w:r>
            <w:r>
              <w:rPr>
                <w:rFonts w:ascii="Arial" w:cs="Arial" w:eastAsia="Arial" w:hAnsi="Arial"/>
                <w:sz w:val="24"/>
                <w:szCs w:val="24"/>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871,801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Arial" w:cs="Arial" w:eastAsia="Arial" w:hAnsi="Arial"/>
                <w:sz w:val="18"/>
                <w:szCs w:val="18"/>
                <w:i w:val="1"/>
                <w:iCs w:val="1"/>
                <w:color w:val="auto"/>
              </w:rPr>
              <w:t>Officer and Secretary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line="243"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268,750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50,874</w:t>
            </w:r>
          </w:p>
        </w:tc>
        <w:tc>
          <w:tcPr>
            <w:tcW w:w="120" w:type="dxa"/>
            <w:vAlign w:val="bottom"/>
          </w:tcPr>
          <w:p>
            <w:pPr>
              <w:spacing w:after="0"/>
              <w:rPr>
                <w:sz w:val="21"/>
                <w:szCs w:val="21"/>
                <w:color w:val="auto"/>
              </w:rPr>
            </w:pPr>
          </w:p>
        </w:tc>
        <w:tc>
          <w:tcPr>
            <w:tcW w:w="1400" w:type="dxa"/>
            <w:vAlign w:val="bottom"/>
            <w:gridSpan w:val="3"/>
          </w:tcPr>
          <w:p>
            <w:pPr>
              <w:jc w:val="right"/>
              <w:ind w:right="140"/>
              <w:spacing w:after="0" w:line="243" w:lineRule="exact"/>
              <w:rPr>
                <w:sz w:val="20"/>
                <w:szCs w:val="20"/>
                <w:color w:val="auto"/>
              </w:rPr>
            </w:pPr>
            <w:r>
              <w:rPr>
                <w:rFonts w:ascii="Arial" w:cs="Arial" w:eastAsia="Arial" w:hAnsi="Arial"/>
                <w:sz w:val="18"/>
                <w:szCs w:val="18"/>
                <w:color w:val="auto"/>
              </w:rPr>
              <w:t xml:space="preserve">187,017 </w:t>
            </w:r>
            <w:r>
              <w:rPr>
                <w:rFonts w:ascii="Arial" w:cs="Arial" w:eastAsia="Arial" w:hAnsi="Arial"/>
                <w:sz w:val="24"/>
                <w:szCs w:val="24"/>
                <w:color w:val="auto"/>
                <w:vertAlign w:val="superscript"/>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506,641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 Development</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240,833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83,125</w:t>
            </w:r>
          </w:p>
        </w:tc>
        <w:tc>
          <w:tcPr>
            <w:tcW w:w="12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8"/>
                <w:szCs w:val="18"/>
                <w:color w:val="auto"/>
              </w:rPr>
              <w:t xml:space="preserve">323,984 </w:t>
            </w:r>
            <w:r>
              <w:rPr>
                <w:rFonts w:ascii="Arial" w:cs="Arial" w:eastAsia="Arial" w:hAnsi="Arial"/>
                <w:sz w:val="24"/>
                <w:szCs w:val="24"/>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647,942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460" w:hanging="452"/>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adjusted Mr. Singh’s base annual salary to $434,460 effective in July 2017 and to $477,000 effective in July 2018. Pursuant to his employment agreement, Mr. Singh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jc w:val="both"/>
        <w:ind w:left="460" w:hanging="452"/>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adjusted Dr. Snodgrass’ base annual salary to $384,965 effective in July 2017 and to $397,000 effective in July 2018. Pursuant to his employment agreement, Dr. Snodgrass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Dr. Smith became our Chief Medical Officer upon his employment effective June 18, 2016. During our fiscal year ended March 31, 2018, Dr. Smith’s annual base cash salary was $384,965. The Compensation Committee adjusted Dr. Smith’s base annual salary to $397,000 effective in July 2018.</w:t>
      </w:r>
    </w:p>
    <w:p>
      <w:pPr>
        <w:spacing w:after="0" w:line="139"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2018, Mr. Dotson’s annual base cash salary was $329,970. The Compensation Committee adjusted Mr. Dotson’s base annual salary to $350,000 effective in July 2018.</w:t>
      </w:r>
    </w:p>
    <w:p>
      <w:pPr>
        <w:spacing w:after="0" w:line="194"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During our fiscal year ended March 31, 2018, Mr. McPartland’s annual base cash salary was $250,000. The Compensation Committee adjusted Mr. McPartland’s base annual salary to $275,000 effective in July 2018.</w:t>
      </w:r>
    </w:p>
    <w:p>
      <w:pPr>
        <w:spacing w:after="0" w:line="194" w:lineRule="exact"/>
        <w:rPr>
          <w:rFonts w:ascii="Arial" w:cs="Arial" w:eastAsia="Arial" w:hAnsi="Arial"/>
          <w:sz w:val="18"/>
          <w:szCs w:val="18"/>
          <w:color w:val="auto"/>
        </w:rPr>
      </w:pPr>
    </w:p>
    <w:p>
      <w:pPr>
        <w:jc w:val="both"/>
        <w:ind w:left="460" w:hanging="452"/>
        <w:spacing w:after="0" w:line="28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w:t>
      </w:r>
    </w:p>
    <w:p>
      <w:pPr>
        <w:spacing w:after="0" w:line="1" w:lineRule="exact"/>
        <w:rPr>
          <w:rFonts w:ascii="Arial" w:cs="Arial" w:eastAsia="Arial" w:hAnsi="Arial"/>
          <w:sz w:val="16"/>
          <w:szCs w:val="16"/>
          <w:color w:val="auto"/>
        </w:rPr>
      </w:pPr>
    </w:p>
    <w:p>
      <w:pPr>
        <w:jc w:val="both"/>
        <w:ind w:left="460"/>
        <w:spacing w:after="0" w:line="302" w:lineRule="auto"/>
        <w:rPr>
          <w:rFonts w:ascii="Arial" w:cs="Arial" w:eastAsia="Arial" w:hAnsi="Arial"/>
          <w:sz w:val="16"/>
          <w:szCs w:val="16"/>
          <w:color w:val="auto"/>
        </w:rPr>
      </w:pPr>
      <w:r>
        <w:rPr>
          <w:rFonts w:ascii="Arial" w:cs="Arial" w:eastAsia="Arial" w:hAnsi="Arial"/>
          <w:sz w:val="16"/>
          <w:szCs w:val="16"/>
          <w:color w:val="auto"/>
        </w:rPr>
        <w:t>–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modified options to purchase 25,375 and 2,500 shares of our common stock at $1.50 per share by Mr. Singh and Dr. Snodgrass, respectively, to date, none of the NEOs have exercised any of such options to purchase common stock, and there can be no assurance that any of them will ever realize any of the ASC 718 grant date fair value amounts presented in the Option Awards column.</w:t>
      </w:r>
    </w:p>
    <w:p>
      <w:pPr>
        <w:spacing w:after="0" w:line="16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185" w:lineRule="exact"/>
        <w:rPr>
          <w:rFonts w:ascii="Arial" w:cs="Arial" w:eastAsia="Arial" w:hAnsi="Arial"/>
          <w:sz w:val="18"/>
          <w:szCs w:val="18"/>
          <w:color w:val="auto"/>
        </w:rPr>
      </w:pPr>
    </w:p>
    <w:p>
      <w:pPr>
        <w:ind w:left="5620" w:hanging="96"/>
        <w:spacing w:after="0"/>
        <w:tabs>
          <w:tab w:leader="none" w:pos="56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93"/>
              </w:rPr>
              <w:t>Option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Option Grant</w:t>
            </w:r>
          </w:p>
        </w:tc>
        <w:tc>
          <w:tcPr>
            <w:tcW w:w="2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Modifications</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Option Award Compensation – Fiscal Year Ended March 31, 2019</w:t>
            </w:r>
          </w:p>
        </w:tc>
        <w:tc>
          <w:tcPr>
            <w:tcW w:w="18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96"/>
              </w:rPr>
              <w:t>8/5/2018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8/29/2018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1/14/2019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174,823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131,326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187,017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467,068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276,456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279,009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1,022,553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5"/>
              </w:rPr>
              <w:t>Option Grant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Modifications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Option Grant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Option Shares Granted - Fiscal Year Ended March 31, 2019</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8/5/2018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rPr>
              <w:t>8/29/2018</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1/14/2019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Option Grant</w:t>
            </w: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w:t>
            </w:r>
          </w:p>
        </w:tc>
        <w:tc>
          <w:tcPr>
            <w:tcW w:w="280" w:type="dxa"/>
            <w:vAlign w:val="bottom"/>
          </w:tcPr>
          <w:p>
            <w:pPr>
              <w:spacing w:after="0"/>
              <w:rPr>
                <w:sz w:val="24"/>
                <w:szCs w:val="2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Option Grant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Modifications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Option Award Assumptions – Fiscal Year Ended March 31, 2019</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8/5/2018</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8/29/2018</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2"/>
              </w:rPr>
              <w:t>1/14/2019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1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99.29%</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Fair value per share</w:t>
            </w:r>
          </w:p>
        </w:tc>
        <w:tc>
          <w:tcPr>
            <w:tcW w:w="11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0.988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240"/>
        <w:spacing w:after="0" w:line="290"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2" w:lineRule="exact"/>
        <w:rPr>
          <w:sz w:val="20"/>
          <w:szCs w:val="20"/>
          <w:color w:val="auto"/>
        </w:rPr>
      </w:pPr>
    </w:p>
    <w:p>
      <w:pPr>
        <w:jc w:val="both"/>
        <w:ind w:lef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Mr. Singh, Dr. Snodgrass, Dr. Smith, Mr. Dotson and Mr. McPartland during Fiscal 2018 and the assumptions used in the Black Scholes Option Pricing Model to determine the grant date fair values of the respective awards and modifications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20" w:hanging="96"/>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Option Award Compensation – Fiscal Year Ended March 31, 2018</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Option Grant</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Option Grant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4/26/2017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9/19/2017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w w:val="96"/>
              </w:rPr>
              <w:t>2/2/2018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172,632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150,369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436,980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138,106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113,979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171,850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423,935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138,106</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128,888</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323,984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863,161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541,401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880,731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2,285,293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Option Shares Granted - Fiscal Year Ended March 31, 2018</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5"/>
              </w:rPr>
              <w:t>Option Grant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Option Grant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Option Grant</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b w:val="1"/>
                <w:bCs w:val="1"/>
                <w:color w:val="auto"/>
              </w:rPr>
              <w:t>4/26/2017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9/19/2017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2/2/2018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Snodgrass</w:t>
            </w: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Dotson</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1,025,000</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 Award Assumptions – Fiscal Year Ended March 31, 2018</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Option Grant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Option Grant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Option Grant</w:t>
            </w:r>
          </w:p>
        </w:tc>
        <w:tc>
          <w:tcPr>
            <w:tcW w:w="0" w:type="dxa"/>
            <w:vAlign w:val="bottom"/>
          </w:tcPr>
          <w:p>
            <w:pPr>
              <w:spacing w:after="0"/>
              <w:rPr>
                <w:sz w:val="1"/>
                <w:szCs w:val="1"/>
                <w:color w:val="auto"/>
              </w:rPr>
            </w:pPr>
          </w:p>
        </w:tc>
      </w:tr>
      <w:tr>
        <w:trPr>
          <w:trHeight w:val="216"/>
        </w:trPr>
        <w:tc>
          <w:tcPr>
            <w:tcW w:w="60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4/26/2017</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9/19/2017</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2/2/2018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Fair value per share</w:t>
            </w:r>
          </w:p>
        </w:tc>
        <w:tc>
          <w:tcPr>
            <w:tcW w:w="1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reported in the Bonus column reflect bonuses earned during the years ended March 31, 2019 and 2018, respectively, by each NEO for attainment of performance-based objectives during the applicable period. Bonus amounts earned during the years ended March 31, 2018 and 2019 were paid to each NEO during the subsequent fiscal year.</w:t>
      </w:r>
    </w:p>
    <w:p>
      <w:pPr>
        <w:spacing w:after="0" w:line="194"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For the bonus amounts reported for the year ended March 31, 2018, amounts reported reflects an adjustment to previously disclosed bonus amounts in order to accurately reflect amounts earned by each NEO for the attainment of performance-based objectives during fiscal 2018, rather than bonus amounts paid during fiscal 2018 which were attributable to performance-based objectives attained during the year ended March 31, 2017.</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None of the NEOs is entitled to any perquisites or other personal benefits that, in the aggregate, are worth over $50,000 or over 10% of their base salary.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left="120"/>
        <w:spacing w:after="0"/>
        <w:rPr>
          <w:sz w:val="20"/>
          <w:szCs w:val="20"/>
          <w:color w:val="auto"/>
        </w:rPr>
      </w:pPr>
      <w:r>
        <w:rPr>
          <w:rFonts w:ascii="Arial" w:cs="Arial" w:eastAsia="Arial" w:hAnsi="Arial"/>
          <w:sz w:val="18"/>
          <w:szCs w:val="18"/>
          <w:b w:val="1"/>
          <w:bCs w:val="1"/>
          <w:color w:val="auto"/>
        </w:rPr>
        <w:t>Outstanding Warrants and Options at March 31, 2019</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named executive officers as of March 31, 2019.</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b w:val="1"/>
                <w:bCs w:val="1"/>
                <w:color w:val="auto"/>
              </w:rPr>
              <w:t>Stock Options and Warrants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Securities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Underlying</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4"/>
              </w:rPr>
              <w:t>Unexercised</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Unexercised Options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and</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and Warrants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 Exercisable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 Unexercisable</w:t>
            </w: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1/11/2020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137,499</w:t>
            </w:r>
            <w:r>
              <w:rPr>
                <w:rFonts w:ascii="Arial" w:cs="Arial" w:eastAsia="Arial" w:hAnsi="Arial"/>
                <w:sz w:val="24"/>
                <w:szCs w:val="24"/>
                <w:color w:val="auto"/>
                <w:vertAlign w:val="superscript"/>
              </w:rPr>
              <w:t>(1)</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62,501</w:t>
            </w:r>
            <w:r>
              <w:rPr>
                <w:rFonts w:ascii="Arial" w:cs="Arial" w:eastAsia="Arial" w:hAnsi="Arial"/>
                <w:sz w:val="24"/>
                <w:szCs w:val="24"/>
                <w:color w:val="auto"/>
                <w:vertAlign w:val="superscript"/>
              </w:rPr>
              <w:t>(1)</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77,777</w:t>
            </w:r>
            <w:r>
              <w:rPr>
                <w:rFonts w:ascii="Arial" w:cs="Arial" w:eastAsia="Arial" w:hAnsi="Arial"/>
                <w:sz w:val="24"/>
                <w:szCs w:val="24"/>
                <w:color w:val="auto"/>
                <w:vertAlign w:val="superscript"/>
              </w:rPr>
              <w:t>(2)</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22,223</w:t>
            </w:r>
            <w:r>
              <w:rPr>
                <w:rFonts w:ascii="Arial" w:cs="Arial" w:eastAsia="Arial" w:hAnsi="Arial"/>
                <w:sz w:val="24"/>
                <w:szCs w:val="24"/>
                <w:color w:val="auto"/>
                <w:vertAlign w:val="superscript"/>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111,799</w:t>
            </w:r>
            <w:r>
              <w:rPr>
                <w:rFonts w:ascii="Arial" w:cs="Arial" w:eastAsia="Arial" w:hAnsi="Arial"/>
                <w:sz w:val="24"/>
                <w:szCs w:val="24"/>
                <w:color w:val="auto"/>
                <w:vertAlign w:val="superscript"/>
              </w:rPr>
              <w:t>(3)</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63,201</w:t>
            </w:r>
            <w:r>
              <w:rPr>
                <w:rFonts w:ascii="Arial" w:cs="Arial" w:eastAsia="Arial" w:hAnsi="Arial"/>
                <w:sz w:val="24"/>
                <w:szCs w:val="24"/>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104,164</w:t>
            </w:r>
            <w:r>
              <w:rPr>
                <w:rFonts w:ascii="Arial" w:cs="Arial" w:eastAsia="Arial" w:hAnsi="Arial"/>
                <w:sz w:val="24"/>
                <w:szCs w:val="24"/>
                <w:color w:val="auto"/>
                <w:vertAlign w:val="superscript"/>
              </w:rPr>
              <w:t>(4)</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20,836</w:t>
            </w:r>
            <w:r>
              <w:rPr>
                <w:rFonts w:ascii="Arial" w:cs="Arial" w:eastAsia="Arial" w:hAnsi="Arial"/>
                <w:sz w:val="24"/>
                <w:szCs w:val="24"/>
                <w:color w:val="auto"/>
                <w:vertAlign w:val="superscript"/>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196,875</w:t>
            </w:r>
            <w:r>
              <w:rPr>
                <w:rFonts w:ascii="Arial" w:cs="Arial" w:eastAsia="Arial" w:hAnsi="Arial"/>
                <w:sz w:val="24"/>
                <w:szCs w:val="24"/>
                <w:color w:val="auto"/>
                <w:vertAlign w:val="superscript"/>
              </w:rPr>
              <w:t>(5)</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103,125</w:t>
            </w:r>
            <w:r>
              <w:rPr>
                <w:rFonts w:ascii="Arial" w:cs="Arial" w:eastAsia="Arial" w:hAnsi="Arial"/>
                <w:sz w:val="24"/>
                <w:szCs w:val="24"/>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c>
          <w:tcPr>
            <w:tcW w:w="1640" w:type="dxa"/>
            <w:vAlign w:val="bottom"/>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68,750</w:t>
            </w:r>
            <w:r>
              <w:rPr>
                <w:rFonts w:ascii="Arial" w:cs="Arial" w:eastAsia="Arial" w:hAnsi="Arial"/>
                <w:sz w:val="24"/>
                <w:szCs w:val="24"/>
                <w:color w:val="auto"/>
                <w:vertAlign w:val="superscript"/>
              </w:rPr>
              <w:t>(6)</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151,250</w:t>
            </w:r>
            <w:r>
              <w:rPr>
                <w:rFonts w:ascii="Arial" w:cs="Arial" w:eastAsia="Arial" w:hAnsi="Arial"/>
                <w:sz w:val="24"/>
                <w:szCs w:val="24"/>
                <w:color w:val="auto"/>
                <w:vertAlign w:val="superscript"/>
              </w:rPr>
              <w:t>(6)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1,223,864</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423,136</w:t>
            </w:r>
          </w:p>
        </w:tc>
        <w:tc>
          <w:tcPr>
            <w:tcW w:w="3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 Ralph Snodgrass, Ph.D.</w:t>
            </w: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6/17/2019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3/3/2023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9/20/2020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85,937</w:t>
            </w:r>
            <w:r>
              <w:rPr>
                <w:rFonts w:ascii="Arial" w:cs="Arial" w:eastAsia="Arial" w:hAnsi="Arial"/>
                <w:sz w:val="24"/>
                <w:szCs w:val="24"/>
                <w:color w:val="auto"/>
                <w:vertAlign w:val="superscript"/>
              </w:rPr>
              <w:t>(1)</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39,063</w:t>
            </w:r>
            <w:r>
              <w:rPr>
                <w:rFonts w:ascii="Arial" w:cs="Arial" w:eastAsia="Arial" w:hAnsi="Arial"/>
                <w:sz w:val="24"/>
                <w:szCs w:val="24"/>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62,222</w:t>
            </w:r>
            <w:r>
              <w:rPr>
                <w:rFonts w:ascii="Arial" w:cs="Arial" w:eastAsia="Arial" w:hAnsi="Arial"/>
                <w:sz w:val="24"/>
                <w:szCs w:val="24"/>
                <w:color w:val="auto"/>
                <w:vertAlign w:val="superscript"/>
              </w:rPr>
              <w:t>(2)</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17,778</w:t>
            </w:r>
            <w:r>
              <w:rPr>
                <w:rFonts w:ascii="Arial" w:cs="Arial" w:eastAsia="Arial" w:hAnsi="Arial"/>
                <w:sz w:val="24"/>
                <w:szCs w:val="24"/>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79,856</w:t>
            </w:r>
            <w:r>
              <w:rPr>
                <w:rFonts w:ascii="Arial" w:cs="Arial" w:eastAsia="Arial" w:hAnsi="Arial"/>
                <w:sz w:val="24"/>
                <w:szCs w:val="24"/>
                <w:color w:val="auto"/>
                <w:vertAlign w:val="superscript"/>
              </w:rPr>
              <w:t>(3)</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45,144</w:t>
            </w:r>
            <w:r>
              <w:rPr>
                <w:rFonts w:ascii="Arial" w:cs="Arial" w:eastAsia="Arial" w:hAnsi="Arial"/>
                <w:sz w:val="24"/>
                <w:szCs w:val="24"/>
                <w:color w:val="auto"/>
                <w:vertAlign w:val="superscript"/>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83,331</w:t>
            </w:r>
            <w:r>
              <w:rPr>
                <w:rFonts w:ascii="Arial" w:cs="Arial" w:eastAsia="Arial" w:hAnsi="Arial"/>
                <w:sz w:val="24"/>
                <w:szCs w:val="24"/>
                <w:color w:val="auto"/>
                <w:vertAlign w:val="superscript"/>
              </w:rPr>
              <w:t>(4)</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16,669</w:t>
            </w:r>
            <w:r>
              <w:rPr>
                <w:rFonts w:ascii="Arial" w:cs="Arial" w:eastAsia="Arial" w:hAnsi="Arial"/>
                <w:sz w:val="24"/>
                <w:szCs w:val="24"/>
                <w:color w:val="auto"/>
                <w:vertAlign w:val="superscript"/>
              </w:rPr>
              <w:t>(4)</w:t>
            </w:r>
          </w:p>
        </w:tc>
        <w:tc>
          <w:tcPr>
            <w:tcW w:w="1720" w:type="dxa"/>
            <w:vAlign w:val="bottom"/>
          </w:tcPr>
          <w:p>
            <w:pPr>
              <w:jc w:val="right"/>
              <w:spacing w:after="0"/>
              <w:rPr>
                <w:sz w:val="20"/>
                <w:szCs w:val="20"/>
                <w:color w:val="auto"/>
              </w:rPr>
            </w:pPr>
            <w:r>
              <w:rPr>
                <w:rFonts w:ascii="Arial" w:cs="Arial" w:eastAsia="Arial" w:hAnsi="Arial"/>
                <w:sz w:val="18"/>
                <w:szCs w:val="18"/>
                <w:color w:val="auto"/>
              </w:rPr>
              <w:t>1.56</w:t>
            </w:r>
          </w:p>
        </w:tc>
        <w:tc>
          <w:tcPr>
            <w:tcW w:w="1640" w:type="dxa"/>
            <w:vAlign w:val="bottom"/>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114,843</w:t>
            </w:r>
            <w:r>
              <w:rPr>
                <w:rFonts w:ascii="Arial" w:cs="Arial" w:eastAsia="Arial" w:hAnsi="Arial"/>
                <w:sz w:val="24"/>
                <w:szCs w:val="24"/>
                <w:color w:val="auto"/>
                <w:vertAlign w:val="superscript"/>
              </w:rPr>
              <w:t>(5)</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60,157</w:t>
            </w:r>
            <w:r>
              <w:rPr>
                <w:rFonts w:ascii="Arial" w:cs="Arial" w:eastAsia="Arial" w:hAnsi="Arial"/>
                <w:sz w:val="24"/>
                <w:szCs w:val="24"/>
                <w:color w:val="auto"/>
                <w:vertAlign w:val="superscript"/>
              </w:rPr>
              <w:t>(5)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58,593</w:t>
            </w:r>
            <w:r>
              <w:rPr>
                <w:rFonts w:ascii="Arial" w:cs="Arial" w:eastAsia="Arial" w:hAnsi="Arial"/>
                <w:sz w:val="24"/>
                <w:szCs w:val="24"/>
                <w:color w:val="auto"/>
                <w:vertAlign w:val="superscript"/>
              </w:rPr>
              <w:t>(7)</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66,407</w:t>
            </w:r>
            <w:r>
              <w:rPr>
                <w:rFonts w:ascii="Arial" w:cs="Arial" w:eastAsia="Arial" w:hAnsi="Arial"/>
                <w:sz w:val="24"/>
                <w:szCs w:val="24"/>
                <w:color w:val="auto"/>
                <w:vertAlign w:val="superscript"/>
              </w:rPr>
              <w:t>(7)</w:t>
            </w: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8/5/2028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798,532</w:t>
            </w:r>
          </w:p>
        </w:tc>
        <w:tc>
          <w:tcPr>
            <w:tcW w:w="3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245,218</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123,749</w:t>
            </w:r>
            <w:r>
              <w:rPr>
                <w:rFonts w:ascii="Arial" w:cs="Arial" w:eastAsia="Arial" w:hAnsi="Arial"/>
                <w:sz w:val="24"/>
                <w:szCs w:val="24"/>
                <w:color w:val="auto"/>
                <w:vertAlign w:val="superscript"/>
              </w:rPr>
              <w:t>(1)</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56,251</w:t>
            </w:r>
            <w:r>
              <w:rPr>
                <w:rFonts w:ascii="Arial" w:cs="Arial" w:eastAsia="Arial" w:hAnsi="Arial"/>
                <w:sz w:val="24"/>
                <w:szCs w:val="24"/>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62,222</w:t>
            </w:r>
            <w:r>
              <w:rPr>
                <w:rFonts w:ascii="Arial" w:cs="Arial" w:eastAsia="Arial" w:hAnsi="Arial"/>
                <w:sz w:val="24"/>
                <w:szCs w:val="24"/>
                <w:color w:val="auto"/>
                <w:vertAlign w:val="superscript"/>
              </w:rPr>
              <w:t>(2)</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17,778</w:t>
            </w:r>
            <w:r>
              <w:rPr>
                <w:rFonts w:ascii="Arial" w:cs="Arial" w:eastAsia="Arial" w:hAnsi="Arial"/>
                <w:sz w:val="24"/>
                <w:szCs w:val="24"/>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79,856</w:t>
            </w:r>
            <w:r>
              <w:rPr>
                <w:rFonts w:ascii="Arial" w:cs="Arial" w:eastAsia="Arial" w:hAnsi="Arial"/>
                <w:sz w:val="24"/>
                <w:szCs w:val="24"/>
                <w:color w:val="auto"/>
                <w:vertAlign w:val="superscript"/>
              </w:rPr>
              <w:t>(3)</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45,144</w:t>
            </w:r>
            <w:r>
              <w:rPr>
                <w:rFonts w:ascii="Arial" w:cs="Arial" w:eastAsia="Arial" w:hAnsi="Arial"/>
                <w:sz w:val="24"/>
                <w:szCs w:val="24"/>
                <w:color w:val="auto"/>
                <w:vertAlign w:val="superscript"/>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83,331</w:t>
            </w:r>
            <w:r>
              <w:rPr>
                <w:rFonts w:ascii="Arial" w:cs="Arial" w:eastAsia="Arial" w:hAnsi="Arial"/>
                <w:sz w:val="24"/>
                <w:szCs w:val="24"/>
                <w:color w:val="auto"/>
                <w:vertAlign w:val="superscript"/>
              </w:rPr>
              <w:t>(4)</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16,669</w:t>
            </w:r>
            <w:r>
              <w:rPr>
                <w:rFonts w:ascii="Arial" w:cs="Arial" w:eastAsia="Arial" w:hAnsi="Arial"/>
                <w:sz w:val="24"/>
                <w:szCs w:val="24"/>
                <w:color w:val="auto"/>
                <w:vertAlign w:val="superscript"/>
              </w:rPr>
              <w:t>(4)</w:t>
            </w:r>
          </w:p>
        </w:tc>
        <w:tc>
          <w:tcPr>
            <w:tcW w:w="1720" w:type="dxa"/>
            <w:vAlign w:val="bottom"/>
          </w:tcPr>
          <w:p>
            <w:pPr>
              <w:jc w:val="right"/>
              <w:spacing w:after="0"/>
              <w:rPr>
                <w:sz w:val="20"/>
                <w:szCs w:val="20"/>
                <w:color w:val="auto"/>
              </w:rPr>
            </w:pPr>
            <w:r>
              <w:rPr>
                <w:rFonts w:ascii="Arial" w:cs="Arial" w:eastAsia="Arial" w:hAnsi="Arial"/>
                <w:sz w:val="18"/>
                <w:szCs w:val="18"/>
                <w:color w:val="auto"/>
              </w:rPr>
              <w:t>1.56</w:t>
            </w:r>
          </w:p>
        </w:tc>
        <w:tc>
          <w:tcPr>
            <w:tcW w:w="1640" w:type="dxa"/>
            <w:vAlign w:val="bottom"/>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131,250</w:t>
            </w:r>
            <w:r>
              <w:rPr>
                <w:rFonts w:ascii="Arial" w:cs="Arial" w:eastAsia="Arial" w:hAnsi="Arial"/>
                <w:sz w:val="24"/>
                <w:szCs w:val="24"/>
                <w:color w:val="auto"/>
                <w:vertAlign w:val="superscript"/>
              </w:rPr>
              <w:t>(5)</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68,750</w:t>
            </w:r>
            <w:r>
              <w:rPr>
                <w:rFonts w:ascii="Arial" w:cs="Arial" w:eastAsia="Arial" w:hAnsi="Arial"/>
                <w:sz w:val="24"/>
                <w:szCs w:val="24"/>
                <w:color w:val="auto"/>
                <w:vertAlign w:val="superscript"/>
              </w:rPr>
              <w:t>(5)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46,875</w:t>
            </w:r>
            <w:r>
              <w:rPr>
                <w:rFonts w:ascii="Arial" w:cs="Arial" w:eastAsia="Arial" w:hAnsi="Arial"/>
                <w:sz w:val="24"/>
                <w:szCs w:val="24"/>
                <w:color w:val="auto"/>
                <w:vertAlign w:val="superscript"/>
              </w:rPr>
              <w:t>(7)</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53,125</w:t>
            </w:r>
            <w:r>
              <w:rPr>
                <w:rFonts w:ascii="Arial" w:cs="Arial" w:eastAsia="Arial" w:hAnsi="Arial"/>
                <w:sz w:val="24"/>
                <w:szCs w:val="24"/>
                <w:color w:val="auto"/>
                <w:vertAlign w:val="superscript"/>
              </w:rPr>
              <w:t>(7)</w:t>
            </w: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8/5/2028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527,283</w:t>
            </w:r>
          </w:p>
        </w:tc>
        <w:tc>
          <w:tcPr>
            <w:tcW w:w="3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257,717</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10/30/2022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10/27/2023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7.00</w:t>
            </w:r>
          </w:p>
        </w:tc>
        <w:tc>
          <w:tcPr>
            <w:tcW w:w="1640" w:type="dxa"/>
            <w:vAlign w:val="bottom"/>
          </w:tcPr>
          <w:p>
            <w:pPr>
              <w:jc w:val="right"/>
              <w:spacing w:after="0"/>
              <w:rPr>
                <w:sz w:val="20"/>
                <w:szCs w:val="20"/>
                <w:color w:val="auto"/>
              </w:rPr>
            </w:pPr>
            <w:r>
              <w:rPr>
                <w:rFonts w:ascii="Arial" w:cs="Arial" w:eastAsia="Arial" w:hAnsi="Arial"/>
                <w:sz w:val="18"/>
                <w:szCs w:val="18"/>
                <w:color w:val="auto"/>
              </w:rPr>
              <w:t>1/11/2020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51,562</w:t>
            </w:r>
            <w:r>
              <w:rPr>
                <w:rFonts w:ascii="Arial" w:cs="Arial" w:eastAsia="Arial" w:hAnsi="Arial"/>
                <w:sz w:val="24"/>
                <w:szCs w:val="24"/>
                <w:color w:val="auto"/>
                <w:vertAlign w:val="superscript"/>
              </w:rPr>
              <w:t>(1)</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23,438</w:t>
            </w:r>
            <w:r>
              <w:rPr>
                <w:rFonts w:ascii="Arial" w:cs="Arial" w:eastAsia="Arial" w:hAnsi="Arial"/>
                <w:sz w:val="24"/>
                <w:szCs w:val="24"/>
                <w:color w:val="auto"/>
                <w:vertAlign w:val="superscript"/>
              </w:rPr>
              <w:t>(1)</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6/19/2026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38,888</w:t>
            </w:r>
            <w:r>
              <w:rPr>
                <w:rFonts w:ascii="Arial" w:cs="Arial" w:eastAsia="Arial" w:hAnsi="Arial"/>
                <w:sz w:val="24"/>
                <w:szCs w:val="24"/>
                <w:color w:val="auto"/>
                <w:vertAlign w:val="superscript"/>
              </w:rPr>
              <w:t>(2)</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11,112</w:t>
            </w:r>
            <w:r>
              <w:rPr>
                <w:rFonts w:ascii="Arial" w:cs="Arial" w:eastAsia="Arial" w:hAnsi="Arial"/>
                <w:sz w:val="24"/>
                <w:szCs w:val="24"/>
                <w:color w:val="auto"/>
                <w:vertAlign w:val="superscript"/>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63,885</w:t>
            </w:r>
            <w:r>
              <w:rPr>
                <w:rFonts w:ascii="Arial" w:cs="Arial" w:eastAsia="Arial" w:hAnsi="Arial"/>
                <w:sz w:val="24"/>
                <w:szCs w:val="24"/>
                <w:color w:val="auto"/>
                <w:vertAlign w:val="superscript"/>
              </w:rPr>
              <w:t>(3)</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36,115</w:t>
            </w:r>
            <w:r>
              <w:rPr>
                <w:rFonts w:ascii="Arial" w:cs="Arial" w:eastAsia="Arial" w:hAnsi="Arial"/>
                <w:sz w:val="24"/>
                <w:szCs w:val="24"/>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83,881</w:t>
            </w:r>
            <w:r>
              <w:rPr>
                <w:rFonts w:ascii="Arial" w:cs="Arial" w:eastAsia="Arial" w:hAnsi="Arial"/>
                <w:sz w:val="24"/>
                <w:szCs w:val="24"/>
                <w:color w:val="auto"/>
                <w:vertAlign w:val="superscript"/>
              </w:rPr>
              <w:t>(4)</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16,669</w:t>
            </w:r>
            <w:r>
              <w:rPr>
                <w:rFonts w:ascii="Arial" w:cs="Arial" w:eastAsia="Arial" w:hAnsi="Arial"/>
                <w:sz w:val="24"/>
                <w:szCs w:val="24"/>
                <w:color w:val="auto"/>
                <w:vertAlign w:val="superscript"/>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131,250</w:t>
            </w:r>
            <w:r>
              <w:rPr>
                <w:rFonts w:ascii="Arial" w:cs="Arial" w:eastAsia="Arial" w:hAnsi="Arial"/>
                <w:sz w:val="24"/>
                <w:szCs w:val="24"/>
                <w:color w:val="auto"/>
                <w:vertAlign w:val="superscript"/>
              </w:rPr>
              <w:t>(5)</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68,750</w:t>
            </w:r>
            <w:r>
              <w:rPr>
                <w:rFonts w:ascii="Arial" w:cs="Arial" w:eastAsia="Arial" w:hAnsi="Arial"/>
                <w:sz w:val="24"/>
                <w:szCs w:val="24"/>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c>
          <w:tcPr>
            <w:tcW w:w="1640" w:type="dxa"/>
            <w:vAlign w:val="bottom"/>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46,875</w:t>
            </w:r>
            <w:r>
              <w:rPr>
                <w:rFonts w:ascii="Arial" w:cs="Arial" w:eastAsia="Arial" w:hAnsi="Arial"/>
                <w:sz w:val="24"/>
                <w:szCs w:val="24"/>
                <w:color w:val="auto"/>
                <w:vertAlign w:val="superscript"/>
              </w:rPr>
              <w:t>(7)</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53,125</w:t>
            </w:r>
            <w:r>
              <w:rPr>
                <w:rFonts w:ascii="Arial" w:cs="Arial" w:eastAsia="Arial" w:hAnsi="Arial"/>
                <w:sz w:val="24"/>
                <w:szCs w:val="24"/>
                <w:color w:val="auto"/>
                <w:vertAlign w:val="superscript"/>
              </w:rPr>
              <w:t>(7)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232,284</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363,717</w:t>
            </w:r>
          </w:p>
        </w:tc>
        <w:tc>
          <w:tcPr>
            <w:tcW w:w="3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Mark A. McPartland</w:t>
            </w: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78,124</w:t>
            </w:r>
            <w:r>
              <w:rPr>
                <w:rFonts w:ascii="Arial" w:cs="Arial" w:eastAsia="Arial" w:hAnsi="Arial"/>
                <w:sz w:val="24"/>
                <w:szCs w:val="24"/>
                <w:color w:val="auto"/>
                <w:vertAlign w:val="superscript"/>
              </w:rPr>
              <w:t>(8)</w:t>
            </w:r>
          </w:p>
        </w:tc>
        <w:tc>
          <w:tcPr>
            <w:tcW w:w="1380" w:type="dxa"/>
            <w:vAlign w:val="bottom"/>
          </w:tcPr>
          <w:p>
            <w:pPr>
              <w:jc w:val="right"/>
              <w:spacing w:after="0"/>
              <w:rPr>
                <w:sz w:val="20"/>
                <w:szCs w:val="20"/>
                <w:color w:val="auto"/>
              </w:rPr>
            </w:pPr>
            <w:r>
              <w:rPr>
                <w:rFonts w:ascii="Arial" w:cs="Arial" w:eastAsia="Arial" w:hAnsi="Arial"/>
                <w:sz w:val="18"/>
                <w:szCs w:val="18"/>
                <w:color w:val="auto"/>
              </w:rPr>
              <w:t>46,876</w:t>
            </w:r>
          </w:p>
        </w:tc>
        <w:tc>
          <w:tcPr>
            <w:tcW w:w="340" w:type="dxa"/>
            <w:vAlign w:val="bottom"/>
          </w:tcPr>
          <w:p>
            <w:pPr>
              <w:jc w:val="right"/>
              <w:ind w:right="139"/>
              <w:spacing w:after="0"/>
              <w:rPr>
                <w:sz w:val="20"/>
                <w:szCs w:val="20"/>
                <w:color w:val="auto"/>
              </w:rPr>
            </w:pPr>
            <w:r>
              <w:rPr>
                <w:rFonts w:ascii="Arial" w:cs="Arial" w:eastAsia="Arial" w:hAnsi="Arial"/>
                <w:sz w:val="12"/>
                <w:szCs w:val="12"/>
                <w:color w:val="auto"/>
                <w:w w:val="81"/>
              </w:rPr>
              <w:t>(8)</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9/29/2026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31,111</w:t>
            </w:r>
            <w:r>
              <w:rPr>
                <w:rFonts w:ascii="Arial" w:cs="Arial" w:eastAsia="Arial" w:hAnsi="Arial"/>
                <w:sz w:val="24"/>
                <w:szCs w:val="24"/>
                <w:color w:val="auto"/>
                <w:vertAlign w:val="superscript"/>
              </w:rPr>
              <w:t>(2)</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8,869</w:t>
            </w:r>
            <w:r>
              <w:rPr>
                <w:rFonts w:ascii="Arial" w:cs="Arial" w:eastAsia="Arial" w:hAnsi="Arial"/>
                <w:sz w:val="24"/>
                <w:szCs w:val="24"/>
                <w:color w:val="auto"/>
                <w:vertAlign w:val="superscript"/>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63,885</w:t>
            </w:r>
            <w:r>
              <w:rPr>
                <w:rFonts w:ascii="Arial" w:cs="Arial" w:eastAsia="Arial" w:hAnsi="Arial"/>
                <w:sz w:val="24"/>
                <w:szCs w:val="24"/>
                <w:color w:val="auto"/>
                <w:vertAlign w:val="superscript"/>
              </w:rPr>
              <w:t>(3)</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36,115</w:t>
            </w:r>
            <w:r>
              <w:rPr>
                <w:rFonts w:ascii="Arial" w:cs="Arial" w:eastAsia="Arial" w:hAnsi="Arial"/>
                <w:sz w:val="24"/>
                <w:szCs w:val="24"/>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tcPr>
          <w:p>
            <w:pPr>
              <w:jc w:val="right"/>
              <w:spacing w:after="0"/>
              <w:rPr>
                <w:sz w:val="20"/>
                <w:szCs w:val="20"/>
                <w:color w:val="auto"/>
              </w:rPr>
            </w:pPr>
            <w:r>
              <w:rPr>
                <w:rFonts w:ascii="Arial" w:cs="Arial" w:eastAsia="Arial" w:hAnsi="Arial"/>
                <w:sz w:val="18"/>
                <w:szCs w:val="18"/>
                <w:color w:val="auto"/>
              </w:rPr>
              <w:t>4/26/2027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41,665</w:t>
            </w:r>
            <w:r>
              <w:rPr>
                <w:rFonts w:ascii="Arial" w:cs="Arial" w:eastAsia="Arial" w:hAnsi="Arial"/>
                <w:sz w:val="24"/>
                <w:szCs w:val="24"/>
                <w:color w:val="auto"/>
                <w:vertAlign w:val="superscript"/>
              </w:rPr>
              <w:t>(4)</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8,335</w:t>
            </w:r>
            <w:r>
              <w:rPr>
                <w:rFonts w:ascii="Arial" w:cs="Arial" w:eastAsia="Arial" w:hAnsi="Arial"/>
                <w:sz w:val="24"/>
                <w:szCs w:val="24"/>
                <w:color w:val="auto"/>
                <w:vertAlign w:val="superscript"/>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4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98,437</w:t>
            </w:r>
            <w:r>
              <w:rPr>
                <w:rFonts w:ascii="Arial" w:cs="Arial" w:eastAsia="Arial" w:hAnsi="Arial"/>
                <w:sz w:val="24"/>
                <w:szCs w:val="24"/>
                <w:color w:val="auto"/>
                <w:vertAlign w:val="superscript"/>
              </w:rPr>
              <w:t>(5)</w:t>
            </w:r>
          </w:p>
        </w:tc>
        <w:tc>
          <w:tcPr>
            <w:tcW w:w="1720" w:type="dxa"/>
            <w:vAlign w:val="bottom"/>
            <w:gridSpan w:val="2"/>
          </w:tcPr>
          <w:p>
            <w:pPr>
              <w:jc w:val="right"/>
              <w:ind w:right="139"/>
              <w:spacing w:after="0" w:line="216" w:lineRule="exact"/>
              <w:rPr>
                <w:sz w:val="20"/>
                <w:szCs w:val="20"/>
                <w:color w:val="auto"/>
              </w:rPr>
            </w:pPr>
            <w:r>
              <w:rPr>
                <w:rFonts w:ascii="Arial" w:cs="Arial" w:eastAsia="Arial" w:hAnsi="Arial"/>
                <w:sz w:val="18"/>
                <w:szCs w:val="18"/>
                <w:color w:val="auto"/>
              </w:rPr>
              <w:t>51,563</w:t>
            </w:r>
            <w:r>
              <w:rPr>
                <w:rFonts w:ascii="Arial" w:cs="Arial" w:eastAsia="Arial" w:hAnsi="Arial"/>
                <w:sz w:val="24"/>
                <w:szCs w:val="24"/>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c>
          <w:tcPr>
            <w:tcW w:w="1640" w:type="dxa"/>
            <w:vAlign w:val="bottom"/>
          </w:tcPr>
          <w:p>
            <w:pPr>
              <w:jc w:val="right"/>
              <w:spacing w:after="0"/>
              <w:rPr>
                <w:sz w:val="20"/>
                <w:szCs w:val="20"/>
                <w:color w:val="auto"/>
              </w:rPr>
            </w:pPr>
            <w:r>
              <w:rPr>
                <w:rFonts w:ascii="Arial" w:cs="Arial" w:eastAsia="Arial" w:hAnsi="Arial"/>
                <w:sz w:val="18"/>
                <w:szCs w:val="18"/>
                <w:color w:val="auto"/>
              </w:rPr>
              <w:t>2/2/2028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line="216" w:lineRule="exact"/>
              <w:rPr>
                <w:sz w:val="20"/>
                <w:szCs w:val="20"/>
                <w:color w:val="auto"/>
              </w:rPr>
            </w:pPr>
            <w:r>
              <w:rPr>
                <w:rFonts w:ascii="Arial" w:cs="Arial" w:eastAsia="Arial" w:hAnsi="Arial"/>
                <w:sz w:val="18"/>
                <w:szCs w:val="18"/>
                <w:color w:val="auto"/>
              </w:rPr>
              <w:t>70,312</w:t>
            </w:r>
            <w:r>
              <w:rPr>
                <w:rFonts w:ascii="Arial" w:cs="Arial" w:eastAsia="Arial" w:hAnsi="Arial"/>
                <w:sz w:val="24"/>
                <w:szCs w:val="24"/>
                <w:color w:val="auto"/>
                <w:vertAlign w:val="superscript"/>
              </w:rPr>
              <w:t>(7)</w:t>
            </w:r>
          </w:p>
        </w:tc>
        <w:tc>
          <w:tcPr>
            <w:tcW w:w="1720" w:type="dxa"/>
            <w:vAlign w:val="bottom"/>
            <w:gridSpan w:val="2"/>
            <w:shd w:val="clear" w:color="auto" w:fill="CCEEFF"/>
          </w:tcPr>
          <w:p>
            <w:pPr>
              <w:jc w:val="right"/>
              <w:ind w:right="139"/>
              <w:spacing w:after="0" w:line="216" w:lineRule="exact"/>
              <w:rPr>
                <w:sz w:val="20"/>
                <w:szCs w:val="20"/>
                <w:color w:val="auto"/>
              </w:rPr>
            </w:pPr>
            <w:r>
              <w:rPr>
                <w:rFonts w:ascii="Arial" w:cs="Arial" w:eastAsia="Arial" w:hAnsi="Arial"/>
                <w:sz w:val="18"/>
                <w:szCs w:val="18"/>
                <w:color w:val="auto"/>
              </w:rPr>
              <w:t>79,688</w:t>
            </w:r>
            <w:r>
              <w:rPr>
                <w:rFonts w:ascii="Arial" w:cs="Arial" w:eastAsia="Arial" w:hAnsi="Arial"/>
                <w:sz w:val="24"/>
                <w:szCs w:val="24"/>
                <w:color w:val="auto"/>
                <w:vertAlign w:val="superscript"/>
              </w:rPr>
              <w:t>(7)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383,534</w:t>
            </w:r>
          </w:p>
        </w:tc>
        <w:tc>
          <w:tcPr>
            <w:tcW w:w="340" w:type="dxa"/>
            <w:vAlign w:val="bottom"/>
            <w:tcBorders>
              <w:top w:val="single" w:sz="8" w:color="CCEEFF"/>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231,466</w:t>
            </w:r>
          </w:p>
        </w:tc>
        <w:tc>
          <w:tcPr>
            <w:tcW w:w="34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- 31 -</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35" w:name="page36"/>
    <w:bookmarkEnd w:id="35"/>
    <w:p>
      <w:pPr>
        <w:jc w:val="both"/>
        <w:ind w:left="452" w:hanging="452"/>
        <w:spacing w:after="0" w:line="256"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197" w:lineRule="exact"/>
        <w:rPr>
          <w:rFonts w:ascii="Arial" w:cs="Arial" w:eastAsia="Arial" w:hAnsi="Arial"/>
          <w:sz w:val="18"/>
          <w:szCs w:val="18"/>
          <w:color w:val="auto"/>
        </w:rPr>
      </w:pPr>
    </w:p>
    <w:p>
      <w:pPr>
        <w:jc w:val="both"/>
        <w:ind w:left="452" w:hanging="452"/>
        <w:spacing w:after="0" w:line="306" w:lineRule="auto"/>
        <w:tabs>
          <w:tab w:leader="none" w:pos="4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$3.80 per share granted on November 9, 2016 when the market price of our common stock was $3.80 per share. The option became exercisable for 1/36th of the shares granted each month beginning December 9, 2016 through November 9, 2019, when all shares granted will be fully exercisable. The exercise price of the option was reduced to $1.50 per share on August 29, 2018.</w:t>
      </w:r>
    </w:p>
    <w:p>
      <w:pPr>
        <w:spacing w:after="0" w:line="160" w:lineRule="exact"/>
        <w:rPr>
          <w:rFonts w:ascii="Arial" w:cs="Arial" w:eastAsia="Arial" w:hAnsi="Arial"/>
          <w:sz w:val="16"/>
          <w:szCs w:val="16"/>
          <w:color w:val="auto"/>
        </w:rPr>
      </w:pPr>
    </w:p>
    <w:p>
      <w:pPr>
        <w:jc w:val="both"/>
        <w:ind w:left="452" w:hanging="452"/>
        <w:spacing w:after="0" w:line="256"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$1.96 per share granted on April 26, 2017 when the market price of our common stock was $1.96 per share. The option become exercisable for 33.33% of the shares granted on April 26, 2018 with the remaining shares becoming exercisable ratably monthly through April 26, 2020, when all shares granted will be fully exercisable. The exercise price of the option was reduced to $1.50 per share on August 29, 2018.</w:t>
      </w:r>
    </w:p>
    <w:p>
      <w:pPr>
        <w:spacing w:after="0" w:line="197" w:lineRule="exact"/>
        <w:rPr>
          <w:rFonts w:ascii="Arial" w:cs="Arial" w:eastAsia="Arial" w:hAnsi="Arial"/>
          <w:sz w:val="18"/>
          <w:szCs w:val="18"/>
          <w:color w:val="auto"/>
        </w:rPr>
      </w:pPr>
    </w:p>
    <w:p>
      <w:pPr>
        <w:jc w:val="both"/>
        <w:ind w:left="452" w:hanging="452"/>
        <w:spacing w:after="0" w:line="306" w:lineRule="auto"/>
        <w:tabs>
          <w:tab w:leader="none" w:pos="4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$1.56 per share granted on September 19, 2017 when the market price of our common stock was $1.56 per share. The option became exercisable for 33.33% of the shares granted immediately upon grant, with the remaining shares becoming exercisable ratably monthly through September 19,2019, when all shares granted will be fully exercisable.</w:t>
      </w:r>
    </w:p>
    <w:p>
      <w:pPr>
        <w:spacing w:after="0" w:line="160" w:lineRule="exact"/>
        <w:rPr>
          <w:rFonts w:ascii="Arial" w:cs="Arial" w:eastAsia="Arial" w:hAnsi="Arial"/>
          <w:sz w:val="16"/>
          <w:szCs w:val="16"/>
          <w:color w:val="auto"/>
        </w:rPr>
      </w:pPr>
    </w:p>
    <w:p>
      <w:pPr>
        <w:jc w:val="both"/>
        <w:ind w:left="452" w:hanging="452"/>
        <w:spacing w:after="0" w:line="259"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$1.16 per share granted on February 2, 2018 when the market price of our common stock was $1.16 per share. The option became exercisable for 25% of the shares granted immediately upon grant, with the remaining shares becoming exercisable ratably monthly through February 2, 2020, when all shares granted will be fully exercisable.</w:t>
      </w:r>
    </w:p>
    <w:p>
      <w:pPr>
        <w:spacing w:after="0" w:line="194"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194" w:lineRule="exact"/>
        <w:rPr>
          <w:rFonts w:ascii="Arial" w:cs="Arial" w:eastAsia="Arial" w:hAnsi="Arial"/>
          <w:sz w:val="18"/>
          <w:szCs w:val="18"/>
          <w:color w:val="auto"/>
        </w:rPr>
      </w:pPr>
    </w:p>
    <w:p>
      <w:pPr>
        <w:jc w:val="both"/>
        <w:ind w:left="452" w:right="20" w:hanging="452"/>
        <w:spacing w:after="0" w:line="259"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194" w:lineRule="exact"/>
        <w:rPr>
          <w:rFonts w:ascii="Arial" w:cs="Arial" w:eastAsia="Arial" w:hAnsi="Arial"/>
          <w:sz w:val="18"/>
          <w:szCs w:val="18"/>
          <w:color w:val="auto"/>
        </w:rPr>
      </w:pPr>
    </w:p>
    <w:p>
      <w:pPr>
        <w:jc w:val="both"/>
        <w:ind w:left="452" w:hanging="452"/>
        <w:spacing w:after="0" w:line="256"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12" w:hanging="96"/>
        <w:spacing w:after="0"/>
        <w:tabs>
          <w:tab w:leader="none" w:pos="56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779" w:right="239" w:bottom="1440" w:gutter="0" w:footer="0" w:header="0"/>
        </w:sectPr>
      </w:pPr>
    </w:p>
    <w:bookmarkStart w:id="36" w:name="page37"/>
    <w:bookmarkEnd w:id="36"/>
    <w:p>
      <w:pPr>
        <w:jc w:val="both"/>
        <w:ind w:firstLine="648"/>
        <w:spacing w:after="0" w:line="256" w:lineRule="auto"/>
        <w:rPr>
          <w:sz w:val="20"/>
          <w:szCs w:val="20"/>
          <w:color w:val="auto"/>
        </w:rPr>
      </w:pPr>
      <w:r>
        <w:rPr>
          <w:rFonts w:ascii="Arial" w:cs="Arial" w:eastAsia="Arial" w:hAnsi="Arial"/>
          <w:sz w:val="18"/>
          <w:szCs w:val="18"/>
          <w:color w:val="auto"/>
        </w:rPr>
        <w:t>On January 14, 2019, when the closing price of our common stock, as reported on the Nasdaq Capital Market, was $1.70 per share, Mr. Singh exercised previously modified options to purchase an aggregate of 25,375 shares of our common stock at $1.50 per share. On March 13, 2019, when the closing price of our common stock, as reported on the Nasdaq Capital Market, was $1.26 per share, Dr. Snodgrass exercised a previously modified option to purchase 2,500 shares of our common stock at $1.50 per share.</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May 23, 2019, when the closing price of our common stock, as reported on the Nasdaq Capital Market, was $0.80 per share, the Compensation Committee of the Board granted options from our 2016 Plan to each of Dr. Snodgrass, Dr. Smith, Mr. Dotson and Mr. McPartland to purchase 150,000 shares of our common stock at an exercise price of $1.00 per share. Such options were vested 25% upon grant with the remaining shares vesting ratably over three years. The Committee also granted options from our 2016 Plan to Mr. Singh to purchase 80,000 shares of our common stock at an exercise price of $1.00 per share, 50,000 shares of which were vested immediately, with the remaining 30,000 shares vesting ratably over three years.</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May 28, 2019, when the closing price of our common stock, as reported on the Nasdaq Capital Market, was $0.82 per share, the Compensation Committee granted options from the 2019 Plan to Mr. Singh to purchase 170,000 shares of our common stock at an exercise price of $1.00 per share, which grant is contingent upon the approval of our 2019 Plan by our stockholders, as described in Proposal No. 3 above. The option will vest 25% upon approval of our 2019 Plan with the remaining shares vesting ratably over three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5"/>
          <w:szCs w:val="15"/>
          <w:color w:val="auto"/>
        </w:rPr>
        <w:t>We entered into an employment agreement with Mr. Singh on April 28, 2010. Under the agreement, as amended on June 22, 2016, Mr. Singh’s base salary was increased from $347,500 per year to $395,000 per year, effective June 16, 2016. The Compensation Committee adjusted Mr. Singh’s base annual salary to $434,460 effective in July 2017 and to $477,000 effective in July 2018. Under his agreement, Mr. Singh is eligible to receive an annual incentive cash bonus of up to 50% of his base salary. The Compensation Committee awarded Mr. Singh cash bonuses of $110,305 and $206,369 for attainment of performance-based objectives during the years ended March 31, 2019 and 2018, respectively. The award of his annual incentive bonus is at the discretion of the Compensation Committee of our Board of Directors. In the event we terminate Mr. Singh’s employment without cause, he is entitled to receive severance in an amount equal to:</w:t>
      </w:r>
    </w:p>
    <w:p>
      <w:pPr>
        <w:spacing w:after="0" w:line="159" w:lineRule="exact"/>
        <w:rPr>
          <w:sz w:val="20"/>
          <w:szCs w:val="20"/>
          <w:color w:val="auto"/>
        </w:rPr>
      </w:pPr>
    </w:p>
    <w:p>
      <w:pPr>
        <w:ind w:left="820" w:hanging="21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820" w:hanging="216"/>
        <w:spacing w:after="0" w:line="268"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June 22, 2016, Dr. Snodgrass’s base salary was increased from $305,000 per year to $350,000 per year, effective June 16, 2016. The Compensation Committee adjusted Dr. Snodgrass’ base annual salary to $384,965 effective in July 2017 and to $397,000 effective in July 2018. Under his agreement, Dr. Snodgrass is eligible to receive an annual incentive cash bonus of up to 50% of his base salary. The Compensation Committee awarded Dr. Snodgrass cash bonuses of $73,444 and $128,001 for attainment of performance-based objectives during the years ended March 31, 2019 and 2018, respectively. The award of his annual incentive bonus is at the discretion of the Compensation Committee of the Board of Directors. In the event we terminate Dr. Snodgrass’s employment without cause, he is entitled to receive severance in an amount equal to:</w:t>
      </w:r>
    </w:p>
    <w:p>
      <w:pPr>
        <w:spacing w:after="0" w:line="201" w:lineRule="exact"/>
        <w:rPr>
          <w:sz w:val="20"/>
          <w:szCs w:val="20"/>
          <w:color w:val="auto"/>
        </w:rPr>
      </w:pPr>
    </w:p>
    <w:p>
      <w:pPr>
        <w:ind w:left="820" w:hanging="21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820" w:hanging="216"/>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61" w:lineRule="exact"/>
        <w:rPr>
          <w:sz w:val="20"/>
          <w:szCs w:val="20"/>
          <w:color w:val="auto"/>
        </w:rPr>
      </w:pPr>
    </w:p>
    <w:p>
      <w:pPr>
        <w:ind w:left="820" w:hanging="21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820" w:right="20" w:hanging="216"/>
        <w:spacing w:after="0" w:line="268"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incentive stock options, if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RATIFICATION OF THE APPOINTMENT OF OUM &amp; CO. LLP TO SERVE AS THE COMPANY'S INDEPENDENT REGISTERED PUBLIC ACCOUNTING FIRM FOR THE CURRENT FISCAL YEAR</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Upon recommendation of the Audit Committee of the Board, the Board appointed OUM &amp; Co. LLP (</w:t>
      </w:r>
      <w:r>
        <w:rPr>
          <w:rFonts w:ascii="Arial" w:cs="Arial" w:eastAsia="Arial" w:hAnsi="Arial"/>
          <w:sz w:val="18"/>
          <w:szCs w:val="18"/>
          <w:i w:val="1"/>
          <w:iCs w:val="1"/>
          <w:color w:val="auto"/>
        </w:rPr>
        <w:t>OUM</w:t>
      </w:r>
      <w:r>
        <w:rPr>
          <w:rFonts w:ascii="Arial" w:cs="Arial" w:eastAsia="Arial" w:hAnsi="Arial"/>
          <w:sz w:val="18"/>
          <w:szCs w:val="18"/>
          <w:color w:val="auto"/>
        </w:rPr>
        <w:t>) as our independent registered public accounting firm for the current fiscal year and hereby recommends that the stockholders ratify such appointment.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may terminate the appointment of OUM as the Company’s independent registered public accounting firm without the approval of the Company’s stockholders whenever the Board deems such termination necessary or appropriate.</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Representatives of OUM will be present at the Annual Meeting or available by telephone and will have an opportunity to make a statement if they so desire and to respond to appropriate questions from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2019 and 2018. Information provided below includes fees for professional services provided to us by OUM for our fiscal years ended March 31, 2019 and 2018.</w:t>
      </w:r>
    </w:p>
    <w:p>
      <w:pPr>
        <w:spacing w:after="0" w:line="18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Fiscal Years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299,800</w:t>
            </w:r>
          </w:p>
        </w:tc>
        <w:tc>
          <w:tcPr>
            <w:tcW w:w="5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345,600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2019 and 2018, and for services normally provided by OUM in connection with routine statutory and regulatory filings or engagements.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our fiscal years ended March 31, 2019 and 2018, OUM billed the Company for services related to comfort letters and consents for the use of its audit opinion in our filings of Registration Statements on Form S-3, Form S-1, and Form S-8 that included or incorporated by reference the Company’s audited financial statements for the fiscal years ended March 31, 2018 and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2019 and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2019 and 2018, no such fees were billed by OUM.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Ratification of the selection of OUM as the Company’s independent registered public accounting firm for our fiscal year ending March 31, 2020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OUM as the Company’s independent registered public accounting firm for our fiscal year ending March 31, 2020.</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OUM as our independent registered public accounting firm for our fiscal year ending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left="720"/>
        <w:spacing w:after="0"/>
        <w:rPr>
          <w:sz w:val="20"/>
          <w:szCs w:val="20"/>
          <w:color w:val="auto"/>
        </w:rPr>
      </w:pPr>
      <w:r>
        <w:rPr>
          <w:rFonts w:ascii="Arial" w:cs="Arial" w:eastAsia="Arial" w:hAnsi="Arial"/>
          <w:sz w:val="16"/>
          <w:szCs w:val="16"/>
          <w:b w:val="1"/>
          <w:bCs w:val="1"/>
          <w:color w:val="auto"/>
        </w:rPr>
        <w:t>SECURITY OWNERSHIP OF CERTAIN BENEFICIAL OWNERS AND MANAGEMENT AND RELATED STOCKHOLDERS MATTERS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July 12, 2019 for:</w:t>
      </w:r>
    </w:p>
    <w:p>
      <w:pPr>
        <w:spacing w:after="0" w:line="225" w:lineRule="exact"/>
        <w:rPr>
          <w:sz w:val="20"/>
          <w:szCs w:val="20"/>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Applicable percentage ownership is based on 42,622,965 shares of common stock outstanding at July 12, 2019.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July 12, 2019.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July 12, 2019. Unless otherwise noted below, the address of each beneficial owner listed in the table is c/o VistaGen Therapeutics, Inc., 343 Allerton Avenue, South San Francisco, California 94080.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 shares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020" w:type="dxa"/>
            <w:vAlign w:val="bottom"/>
          </w:tcPr>
          <w:p>
            <w:pPr>
              <w:jc w:val="right"/>
              <w:ind w:right="252"/>
              <w:spacing w:after="0"/>
              <w:rPr>
                <w:sz w:val="20"/>
                <w:szCs w:val="20"/>
                <w:color w:val="auto"/>
              </w:rPr>
            </w:pPr>
            <w:r>
              <w:rPr>
                <w:rFonts w:ascii="Arial" w:cs="Arial" w:eastAsia="Arial" w:hAnsi="Arial"/>
                <w:sz w:val="18"/>
                <w:szCs w:val="18"/>
                <w:b w:val="1"/>
                <w:bCs w:val="1"/>
                <w:color w:val="auto"/>
              </w:rPr>
              <w:t>Number of shares</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39"/>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020" w:type="dxa"/>
            <w:vAlign w:val="bottom"/>
          </w:tcPr>
          <w:p>
            <w:pPr>
              <w:jc w:val="right"/>
              <w:ind w:right="232"/>
              <w:spacing w:after="0"/>
              <w:rPr>
                <w:sz w:val="20"/>
                <w:szCs w:val="20"/>
                <w:color w:val="auto"/>
              </w:rPr>
            </w:pPr>
            <w:r>
              <w:rPr>
                <w:rFonts w:ascii="Arial" w:cs="Arial" w:eastAsia="Arial" w:hAnsi="Arial"/>
                <w:sz w:val="18"/>
                <w:szCs w:val="18"/>
                <w:b w:val="1"/>
                <w:bCs w:val="1"/>
                <w:color w:val="auto"/>
              </w:rPr>
              <w:t>beneficially owned</w:t>
            </w:r>
          </w:p>
        </w:tc>
        <w:tc>
          <w:tcPr>
            <w:tcW w:w="220" w:type="dxa"/>
            <w:vAlign w:val="bottom"/>
          </w:tcPr>
          <w:p>
            <w:pPr>
              <w:spacing w:after="0"/>
              <w:rPr>
                <w:sz w:val="20"/>
                <w:szCs w:val="20"/>
                <w:color w:val="auto"/>
              </w:rPr>
            </w:pPr>
          </w:p>
        </w:tc>
        <w:tc>
          <w:tcPr>
            <w:tcW w:w="1440" w:type="dxa"/>
            <w:vAlign w:val="bottom"/>
            <w:gridSpan w:val="2"/>
          </w:tcPr>
          <w:p>
            <w:pPr>
              <w:jc w:val="center"/>
              <w:ind w:right="200"/>
              <w:spacing w:after="0" w:line="232" w:lineRule="exact"/>
              <w:rPr>
                <w:sz w:val="20"/>
                <w:szCs w:val="20"/>
                <w:color w:val="auto"/>
              </w:rPr>
            </w:pPr>
            <w:r>
              <w:rPr>
                <w:rFonts w:ascii="Arial" w:cs="Arial" w:eastAsia="Arial" w:hAnsi="Arial"/>
                <w:sz w:val="18"/>
                <w:szCs w:val="18"/>
                <w:b w:val="1"/>
                <w:bCs w:val="1"/>
                <w:color w:val="auto"/>
                <w:w w:val="83"/>
              </w:rPr>
              <w:t xml:space="preserve">owned </w:t>
            </w:r>
            <w:r>
              <w:rPr>
                <w:rFonts w:ascii="Arial" w:cs="Arial" w:eastAsia="Arial" w:hAnsi="Arial"/>
                <w:sz w:val="24"/>
                <w:szCs w:val="24"/>
                <w:b w:val="1"/>
                <w:bCs w:val="1"/>
                <w:color w:val="auto"/>
                <w:w w:val="83"/>
                <w:vertAlign w:val="superscript"/>
              </w:rPr>
              <w:t>(1)</w:t>
            </w:r>
          </w:p>
        </w:tc>
        <w:tc>
          <w:tcPr>
            <w:tcW w:w="0" w:type="dxa"/>
            <w:vAlign w:val="bottom"/>
          </w:tcPr>
          <w:p>
            <w:pPr>
              <w:spacing w:after="0"/>
              <w:rPr>
                <w:sz w:val="1"/>
                <w:szCs w:val="1"/>
                <w:color w:val="auto"/>
              </w:rPr>
            </w:pPr>
          </w:p>
        </w:tc>
      </w:tr>
      <w:tr>
        <w:trPr>
          <w:trHeight w:val="214"/>
        </w:trPr>
        <w:tc>
          <w:tcPr>
            <w:tcW w:w="774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2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 xml:space="preserve">Shawn K. Singh, JD </w:t>
            </w:r>
            <w:r>
              <w:rPr>
                <w:rFonts w:ascii="Arial" w:cs="Arial" w:eastAsia="Arial" w:hAnsi="Arial"/>
                <w:sz w:val="24"/>
                <w:szCs w:val="24"/>
                <w:color w:val="auto"/>
                <w:vertAlign w:val="superscript"/>
              </w:rPr>
              <w:t>(2)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1,560,690</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(3)</w:t>
            </w:r>
          </w:p>
        </w:tc>
        <w:tc>
          <w:tcPr>
            <w:tcW w:w="2020" w:type="dxa"/>
            <w:vAlign w:val="bottom"/>
          </w:tcPr>
          <w:p>
            <w:pPr>
              <w:jc w:val="right"/>
              <w:spacing w:after="0"/>
              <w:rPr>
                <w:sz w:val="20"/>
                <w:szCs w:val="20"/>
                <w:color w:val="auto"/>
              </w:rPr>
            </w:pPr>
            <w:r>
              <w:rPr>
                <w:rFonts w:ascii="Arial" w:cs="Arial" w:eastAsia="Arial" w:hAnsi="Arial"/>
                <w:sz w:val="18"/>
                <w:szCs w:val="18"/>
                <w:color w:val="auto"/>
              </w:rPr>
              <w:t>1,065,015</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(4)</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738,541</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(5)</w:t>
            </w:r>
          </w:p>
        </w:tc>
        <w:tc>
          <w:tcPr>
            <w:tcW w:w="2020" w:type="dxa"/>
            <w:vAlign w:val="bottom"/>
          </w:tcPr>
          <w:p>
            <w:pPr>
              <w:jc w:val="right"/>
              <w:spacing w:after="0"/>
              <w:rPr>
                <w:sz w:val="20"/>
                <w:szCs w:val="20"/>
                <w:color w:val="auto"/>
              </w:rPr>
            </w:pPr>
            <w:r>
              <w:rPr>
                <w:rFonts w:ascii="Arial" w:cs="Arial" w:eastAsia="Arial" w:hAnsi="Arial"/>
                <w:sz w:val="18"/>
                <w:szCs w:val="18"/>
                <w:color w:val="auto"/>
              </w:rPr>
              <w:t>774,264</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McPartland </w:t>
            </w:r>
            <w:r>
              <w:rPr>
                <w:rFonts w:ascii="Arial" w:cs="Arial" w:eastAsia="Arial" w:hAnsi="Arial"/>
                <w:sz w:val="24"/>
                <w:szCs w:val="24"/>
                <w:color w:val="auto"/>
                <w:vertAlign w:val="superscript"/>
              </w:rPr>
              <w:t>(6)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570,936</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(7)</w:t>
            </w:r>
          </w:p>
        </w:tc>
        <w:tc>
          <w:tcPr>
            <w:tcW w:w="2020" w:type="dxa"/>
            <w:vAlign w:val="bottom"/>
          </w:tcPr>
          <w:p>
            <w:pPr>
              <w:jc w:val="right"/>
              <w:spacing w:after="0"/>
              <w:rPr>
                <w:sz w:val="20"/>
                <w:szCs w:val="20"/>
                <w:color w:val="auto"/>
              </w:rPr>
            </w:pPr>
            <w:r>
              <w:rPr>
                <w:rFonts w:ascii="Arial" w:cs="Arial" w:eastAsia="Arial" w:hAnsi="Arial"/>
                <w:sz w:val="18"/>
                <w:szCs w:val="18"/>
                <w:color w:val="auto"/>
              </w:rPr>
              <w:t>404,986</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(8)</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380,985</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(9)</w:t>
            </w:r>
          </w:p>
        </w:tc>
        <w:tc>
          <w:tcPr>
            <w:tcW w:w="2020" w:type="dxa"/>
            <w:vAlign w:val="bottom"/>
          </w:tcPr>
          <w:p>
            <w:pPr>
              <w:jc w:val="right"/>
              <w:spacing w:after="0"/>
              <w:rPr>
                <w:sz w:val="20"/>
                <w:szCs w:val="20"/>
                <w:color w:val="auto"/>
              </w:rPr>
            </w:pPr>
            <w:r>
              <w:rPr>
                <w:rFonts w:ascii="Arial" w:cs="Arial" w:eastAsia="Arial" w:hAnsi="Arial"/>
                <w:sz w:val="18"/>
                <w:szCs w:val="18"/>
                <w:color w:val="auto"/>
              </w:rPr>
              <w:t>519,235</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(10)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Montsant Partners, LLC </w:t>
            </w:r>
            <w:r>
              <w:rPr>
                <w:rFonts w:ascii="Arial" w:cs="Arial" w:eastAsia="Arial" w:hAnsi="Arial"/>
                <w:sz w:val="24"/>
                <w:szCs w:val="24"/>
                <w:color w:val="auto"/>
                <w:vertAlign w:val="superscript"/>
              </w:rPr>
              <w:t>(11)</w:t>
            </w:r>
          </w:p>
        </w:tc>
        <w:tc>
          <w:tcPr>
            <w:tcW w:w="2020" w:type="dxa"/>
            <w:vAlign w:val="bottom"/>
          </w:tcPr>
          <w:p>
            <w:pPr>
              <w:jc w:val="right"/>
              <w:spacing w:after="0"/>
              <w:rPr>
                <w:sz w:val="20"/>
                <w:szCs w:val="20"/>
                <w:color w:val="auto"/>
              </w:rPr>
            </w:pPr>
            <w:r>
              <w:rPr>
                <w:rFonts w:ascii="Arial" w:cs="Arial" w:eastAsia="Arial" w:hAnsi="Arial"/>
                <w:sz w:val="18"/>
                <w:szCs w:val="18"/>
                <w:color w:val="auto"/>
              </w:rPr>
              <w:t>4,239,331</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Sphera Global Healthcare Master Fund </w:t>
            </w:r>
            <w:r>
              <w:rPr>
                <w:rFonts w:ascii="Arial" w:cs="Arial" w:eastAsia="Arial" w:hAnsi="Arial"/>
                <w:sz w:val="24"/>
                <w:szCs w:val="24"/>
                <w:color w:val="auto"/>
                <w:vertAlign w:val="superscript"/>
              </w:rPr>
              <w:t>(12)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3,337,015</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line="216" w:lineRule="exact"/>
              <w:rPr>
                <w:sz w:val="20"/>
                <w:szCs w:val="20"/>
                <w:color w:val="auto"/>
              </w:rPr>
            </w:pPr>
            <w:r>
              <w:rPr>
                <w:rFonts w:ascii="Arial" w:cs="Arial" w:eastAsia="Arial" w:hAnsi="Arial"/>
                <w:sz w:val="18"/>
                <w:szCs w:val="18"/>
                <w:color w:val="auto"/>
              </w:rPr>
              <w:t xml:space="preserve">Eric D. Weinberger and Megan G. Weinberger </w:t>
            </w:r>
            <w:r>
              <w:rPr>
                <w:rFonts w:ascii="Arial" w:cs="Arial" w:eastAsia="Arial" w:hAnsi="Arial"/>
                <w:sz w:val="24"/>
                <w:szCs w:val="24"/>
                <w:color w:val="auto"/>
                <w:vertAlign w:val="superscript"/>
              </w:rPr>
              <w:t>(13)</w:t>
            </w:r>
          </w:p>
        </w:tc>
        <w:tc>
          <w:tcPr>
            <w:tcW w:w="2020" w:type="dxa"/>
            <w:vAlign w:val="bottom"/>
          </w:tcPr>
          <w:p>
            <w:pPr>
              <w:jc w:val="right"/>
              <w:spacing w:after="0"/>
              <w:rPr>
                <w:sz w:val="20"/>
                <w:szCs w:val="20"/>
                <w:color w:val="auto"/>
              </w:rPr>
            </w:pPr>
            <w:r>
              <w:rPr>
                <w:rFonts w:ascii="Arial" w:cs="Arial" w:eastAsia="Arial" w:hAnsi="Arial"/>
                <w:sz w:val="18"/>
                <w:szCs w:val="18"/>
                <w:color w:val="auto"/>
              </w:rPr>
              <w:t>2,155,735</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20" w:type="dxa"/>
            <w:vAlign w:val="bottom"/>
          </w:tcPr>
          <w:p>
            <w:pPr>
              <w:spacing w:after="0" w:line="207" w:lineRule="exact"/>
              <w:rPr>
                <w:sz w:val="20"/>
                <w:szCs w:val="20"/>
                <w:color w:val="auto"/>
              </w:rPr>
            </w:pPr>
            <w:r>
              <w:rPr>
                <w:rFonts w:ascii="Arial" w:cs="Arial" w:eastAsia="Arial" w:hAnsi="Arial"/>
                <w:sz w:val="18"/>
                <w:szCs w:val="18"/>
                <w:color w:val="auto"/>
              </w:rPr>
              <w:t xml:space="preserve">All executive officers and directors as a group (9 persons) </w:t>
            </w:r>
            <w:r>
              <w:rPr>
                <w:rFonts w:ascii="Arial" w:cs="Arial" w:eastAsia="Arial" w:hAnsi="Arial"/>
                <w:sz w:val="24"/>
                <w:szCs w:val="24"/>
                <w:color w:val="auto"/>
                <w:vertAlign w:val="superscript"/>
              </w:rPr>
              <w:t>(14)</w:t>
            </w:r>
          </w:p>
        </w:tc>
        <w:tc>
          <w:tcPr>
            <w:tcW w:w="2020" w:type="dxa"/>
            <w:vAlign w:val="bottom"/>
          </w:tcPr>
          <w:p>
            <w:pPr>
              <w:jc w:val="right"/>
              <w:spacing w:after="0"/>
              <w:rPr>
                <w:sz w:val="20"/>
                <w:szCs w:val="20"/>
                <w:color w:val="auto"/>
              </w:rPr>
            </w:pPr>
            <w:r>
              <w:rPr>
                <w:rFonts w:ascii="Arial" w:cs="Arial" w:eastAsia="Arial" w:hAnsi="Arial"/>
                <w:sz w:val="18"/>
                <w:szCs w:val="18"/>
                <w:color w:val="auto"/>
              </w:rPr>
              <w:t>5,973,682</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7740" w:type="dxa"/>
            <w:vAlign w:val="bottom"/>
            <w:gridSpan w:val="2"/>
          </w:tcPr>
          <w:p>
            <w:pPr>
              <w:jc w:val="right"/>
              <w:ind w:right="5852"/>
              <w:spacing w:after="0"/>
              <w:rPr>
                <w:sz w:val="20"/>
                <w:szCs w:val="20"/>
                <w:color w:val="auto"/>
              </w:rPr>
            </w:pPr>
            <w:r>
              <w:rPr>
                <w:rFonts w:ascii="Arial" w:cs="Arial" w:eastAsia="Arial" w:hAnsi="Arial"/>
                <w:sz w:val="18"/>
                <w:szCs w:val="18"/>
                <w:color w:val="auto"/>
                <w:w w:val="88"/>
              </w:rPr>
              <w:t>____________________</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42,622,965 shares of common stock issued and outstanding as of July 12, 2019.</w:t>
      </w:r>
    </w:p>
    <w:p>
      <w:pPr>
        <w:spacing w:after="0" w:line="22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options to purchase 1,037,081 shares of common stock exercisable within 60 days of July 12, 2019 and warrants to purchase 472,000 restricted shares of common stock exercisable within 60 days of July 12, 2019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620" w:hanging="96"/>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left="452"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to purchase 702,291 shares of common stock exercisable within 60 days of July 12, 2019 and warrants to purchase 300,000 restricted shares of common stock exercisable within 60 days of July 12, 2019.</w:t>
      </w:r>
    </w:p>
    <w:p>
      <w:pPr>
        <w:spacing w:after="0" w:line="185" w:lineRule="exact"/>
        <w:rPr>
          <w:rFonts w:ascii="Arial" w:cs="Arial" w:eastAsia="Arial" w:hAnsi="Arial"/>
          <w:sz w:val="18"/>
          <w:szCs w:val="18"/>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to purchase 738,541 shares of common stock exercisable within 60 days of July 12, 2019.</w:t>
      </w:r>
    </w:p>
    <w:p>
      <w:pPr>
        <w:spacing w:after="0" w:line="225" w:lineRule="exact"/>
        <w:rPr>
          <w:rFonts w:ascii="Arial" w:cs="Arial" w:eastAsia="Arial" w:hAnsi="Arial"/>
          <w:sz w:val="18"/>
          <w:szCs w:val="18"/>
          <w:color w:val="auto"/>
        </w:rPr>
      </w:pPr>
    </w:p>
    <w:p>
      <w:pPr>
        <w:jc w:val="both"/>
        <w:ind w:left="452" w:hanging="452"/>
        <w:spacing w:after="0" w:line="370" w:lineRule="auto"/>
        <w:tabs>
          <w:tab w:leader="none" w:pos="452"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Includes options to purchase 613,638 shares of common stock exercisable within 60 days of July 12, 2019, including options to purchase 626 shares of common stock held by Mr. Dotson’s wife, and warrants to purchase 160,000 restricted shares of common stock exercisable within 60 days of July 12, 2019.</w:t>
      </w:r>
    </w:p>
    <w:p>
      <w:pPr>
        <w:spacing w:after="0" w:line="116" w:lineRule="exact"/>
        <w:rPr>
          <w:rFonts w:ascii="Arial" w:cs="Arial" w:eastAsia="Arial" w:hAnsi="Arial"/>
          <w:sz w:val="15"/>
          <w:szCs w:val="15"/>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to purchase 570,936 shares of common stock exercisable within 60 days of July 12, 2019.</w:t>
      </w:r>
    </w:p>
    <w:p>
      <w:pPr>
        <w:spacing w:after="0" w:line="22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to purchase 304,235 shares of common stock exercisable within 60 days of July 12, 2019 and warrants to purchase 77,500 restricted shares of common stock exercisable within 60 days of July 12, 2019.</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to purchase 304,485 shares of common stock exercisable within 60 days of July 12, 2019 and warrants to purchase 77,500 restricted shares of common stock exercisable within 60 days of July 12, 2019.</w:t>
      </w:r>
    </w:p>
    <w:p>
      <w:pPr>
        <w:spacing w:after="0" w:line="185"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options to purchase 319,235 shares of common stock exercisable within 60 days of July 12, 2019 and warrants to purchase 100,000 unregistered shares of common stock, including warrants to purchase 50,000 shares held by Dr. Gin’s wife, exercisable within 60 days of July 12, 2019.</w:t>
      </w:r>
    </w:p>
    <w:p>
      <w:pPr>
        <w:spacing w:after="0" w:line="194" w:lineRule="exact"/>
        <w:rPr>
          <w:rFonts w:ascii="Arial" w:cs="Arial" w:eastAsia="Arial" w:hAnsi="Arial"/>
          <w:sz w:val="18"/>
          <w:szCs w:val="18"/>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options to purchase 40,625 shares of common stock exercisable within 60 days of July 12, 2019.</w:t>
      </w:r>
    </w:p>
    <w:p>
      <w:pPr>
        <w:spacing w:after="0" w:line="225" w:lineRule="exact"/>
        <w:rPr>
          <w:rFonts w:ascii="Arial" w:cs="Arial" w:eastAsia="Arial" w:hAnsi="Arial"/>
          <w:sz w:val="18"/>
          <w:szCs w:val="18"/>
          <w:color w:val="auto"/>
        </w:rPr>
      </w:pPr>
    </w:p>
    <w:p>
      <w:pPr>
        <w:jc w:val="both"/>
        <w:ind w:left="452" w:hanging="452"/>
        <w:spacing w:after="0" w:line="291" w:lineRule="auto"/>
        <w:tabs>
          <w:tab w:leader="none" w:pos="4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upon Company records of transactions between us and Montsant Partners, LLC (</w:t>
      </w:r>
      <w:r>
        <w:rPr>
          <w:rFonts w:ascii="Arial" w:cs="Arial" w:eastAsia="Arial" w:hAnsi="Arial"/>
          <w:sz w:val="16"/>
          <w:szCs w:val="16"/>
          <w:i w:val="1"/>
          <w:iCs w:val="1"/>
          <w:color w:val="auto"/>
        </w:rPr>
        <w:t>Montsant</w:t>
      </w:r>
      <w:r>
        <w:rPr>
          <w:rFonts w:ascii="Arial" w:cs="Arial" w:eastAsia="Arial" w:hAnsi="Arial"/>
          <w:sz w:val="16"/>
          <w:szCs w:val="16"/>
          <w:color w:val="auto"/>
        </w:rPr>
        <w:t>), through July 12, 2019. 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There is, however, a limitation on exchange such that the number of shares of our common stock that may be acquired by Montsant upon exchange of the Series A Preferred is limited to the extent necessary to ensure that, following such exchange, the total number of shares of our common stock then beneficially owned by Montsant does not exceed 9.99% of the total number of our then issued and outstanding shares of common stock without providing us with 61 days’ prior notice thereof.</w:t>
      </w:r>
    </w:p>
    <w:p>
      <w:pPr>
        <w:spacing w:after="0" w:line="174" w:lineRule="exact"/>
        <w:rPr>
          <w:rFonts w:ascii="Arial" w:cs="Arial" w:eastAsia="Arial" w:hAnsi="Arial"/>
          <w:sz w:val="16"/>
          <w:szCs w:val="16"/>
          <w:color w:val="auto"/>
        </w:rPr>
      </w:pPr>
    </w:p>
    <w:p>
      <w:pPr>
        <w:jc w:val="both"/>
        <w:ind w:left="452"/>
        <w:spacing w:after="0" w:line="289" w:lineRule="auto"/>
        <w:rPr>
          <w:rFonts w:ascii="Arial" w:cs="Arial" w:eastAsia="Arial" w:hAnsi="Arial"/>
          <w:sz w:val="16"/>
          <w:szCs w:val="16"/>
          <w:color w:val="auto"/>
        </w:rPr>
      </w:pPr>
      <w:r>
        <w:rPr>
          <w:rFonts w:ascii="Arial" w:cs="Arial" w:eastAsia="Arial" w:hAnsi="Arial"/>
          <w:sz w:val="16"/>
          <w:szCs w:val="16"/>
          <w:color w:val="auto"/>
        </w:rPr>
        <w:t>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but excludes shares of common stock that may be issued as payment of accrued but unpaid dividends in the amount of approximately $4.01 million at July 12, 2019 on shares of Series B Preferred owned by Montsant.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Montsant does not exceed 9.99% of the total number of then issued and outstanding shares of our common stock without providing us with 61 days’ prior notice thereof.</w:t>
      </w:r>
    </w:p>
    <w:p>
      <w:pPr>
        <w:spacing w:after="0" w:line="172" w:lineRule="exact"/>
        <w:rPr>
          <w:rFonts w:ascii="Arial" w:cs="Arial" w:eastAsia="Arial" w:hAnsi="Arial"/>
          <w:sz w:val="16"/>
          <w:szCs w:val="16"/>
          <w:color w:val="auto"/>
        </w:rPr>
      </w:pPr>
    </w:p>
    <w:p>
      <w:pPr>
        <w:jc w:val="both"/>
        <w:ind w:left="452"/>
        <w:spacing w:after="0" w:line="289" w:lineRule="auto"/>
        <w:rPr>
          <w:rFonts w:ascii="Arial" w:cs="Arial" w:eastAsia="Arial" w:hAnsi="Arial"/>
          <w:sz w:val="16"/>
          <w:szCs w:val="16"/>
          <w:color w:val="auto"/>
        </w:rPr>
      </w:pPr>
      <w:r>
        <w:rPr>
          <w:rFonts w:ascii="Arial" w:cs="Arial" w:eastAsia="Arial" w:hAnsi="Arial"/>
          <w:sz w:val="16"/>
          <w:szCs w:val="16"/>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Montsant does not exceed 9.99% of the total number of then issued and outstanding shares of our common stock without providing us with 61 days’ prior notice thereof. Excluding the shares otherwise subject to the beneficial ownership restrictions noted above, Montsant may be deemed to be the beneficial owner of 152,150 shares or 0.36% of our common stock at July 12, 2019.</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5612" w:hanging="96"/>
        <w:spacing w:after="0"/>
        <w:tabs>
          <w:tab w:leader="none" w:pos="56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06" w:right="239" w:bottom="1440" w:gutter="0" w:footer="0" w:header="0"/>
        </w:sectPr>
      </w:pPr>
    </w:p>
    <w:bookmarkStart w:id="41" w:name="page42"/>
    <w:bookmarkEnd w:id="41"/>
    <w:p>
      <w:pPr>
        <w:jc w:val="both"/>
        <w:ind w:left="460"/>
        <w:spacing w:after="0" w:line="259" w:lineRule="auto"/>
        <w:rPr>
          <w:sz w:val="20"/>
          <w:szCs w:val="20"/>
          <w:color w:val="auto"/>
        </w:rPr>
      </w:pPr>
      <w:r>
        <w:rPr>
          <w:rFonts w:ascii="Arial" w:cs="Arial" w:eastAsia="Arial" w:hAnsi="Arial"/>
          <w:sz w:val="18"/>
          <w:szCs w:val="18"/>
          <w:color w:val="auto"/>
        </w:rPr>
        <w:t>Matthew Wright, Operating Manager of RHSW (Cayman) Ltd., and/or Moshe Feuer, Chief Executive Officer and authorized signatory of BAM may, subject to certain restrictions, be deemed to have voting and investment control over the shares held by Montsant. The address for Montsant is c/o BAM Administrative Services LLC, 105 Madison Avenue, 19th Floor, New York, NY 10016.</w:t>
      </w:r>
    </w:p>
    <w:p>
      <w:pPr>
        <w:spacing w:after="0" w:line="194" w:lineRule="exact"/>
        <w:rPr>
          <w:sz w:val="20"/>
          <w:szCs w:val="20"/>
          <w:color w:val="auto"/>
        </w:rPr>
      </w:pPr>
    </w:p>
    <w:p>
      <w:pPr>
        <w:jc w:val="both"/>
        <w:ind w:left="460" w:hanging="452"/>
        <w:spacing w:after="0" w:line="288"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SEC Schedule 13F filed on May 15, 2019. The number of shares reported includes immediately exercisable warrants to purchase 1,314,949 registered shares of our common stock, which warrants are subject to a limitation on exercise such that the number of shares of common stock that Sphera Global Healthcare Master Fund and HFR HE Sphera Global Healthcare Master Trust (together, </w:t>
      </w:r>
      <w:r>
        <w:rPr>
          <w:rFonts w:ascii="Arial" w:cs="Arial" w:eastAsia="Arial" w:hAnsi="Arial"/>
          <w:sz w:val="16"/>
          <w:szCs w:val="16"/>
          <w:i w:val="1"/>
          <w:iCs w:val="1"/>
          <w:color w:val="auto"/>
        </w:rPr>
        <w:t>Sphera</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Excluding the shares otherwise subject to the beneficial ownership restrictions noted above, Sphera may be deemed to be the beneficial owner of 2,022,066 shares or 4.74% of our common stock at July 12, 2019.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73"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upon the Company’s records. The shares are held by Eric D. Weinberger and Megan G. Weinberger as joint tenants with right of survivorship. The Weinberger’s address is 14189 Caloosa Boulevard, West Palm Beach, FL 33418. Eric D. Weinberger and Megan G. Weinberger share voting and investment control over the shares held.</w:t>
      </w:r>
    </w:p>
    <w:p>
      <w:pPr>
        <w:spacing w:after="0" w:line="194"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to purchase an aggregate of 4,630,693 shares of common stock exercisable within 60 days of July 12, 2019 and warrants to purchase an aggregate of 1,187,000 restricted shares of common stock exercisable within 60 days of July 12,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of March 31, 2019, options to purchase a total of 6,626,088 registered shares of our common stock were outstanding at a weighted average exercise price of $1.48 per share, of which 4,303,972 options were vested and exercisable at a weighted average exercise price of $1.53 per share and 2,322,116 were unvested and not exercisable at a weighted average exercise price of $1.40 per share. These options were issued under our Amended and Restated 2016 Stock Incentive Plan, formerly titled the 2008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as described below. At March 31, 2019, an additional 2,607,162 shares remained available for future equity grants under our 2016 Plan.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2"/>
              </w:rPr>
              <w:t>exercise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2"/>
              </w:rPr>
              <w:t>options,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and rights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5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2,607,162</w:t>
            </w:r>
          </w:p>
        </w:tc>
        <w:tc>
          <w:tcPr>
            <w:tcW w:w="140" w:type="dxa"/>
            <w:vAlign w:val="bottom"/>
            <w:shd w:val="clear" w:color="auto" w:fill="CCEEFF"/>
          </w:tcPr>
          <w:p>
            <w:pPr>
              <w:spacing w:after="0"/>
              <w:rPr>
                <w:sz w:val="18"/>
                <w:szCs w:val="18"/>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5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6,626,088</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2,607,162</w:t>
            </w:r>
          </w:p>
        </w:tc>
        <w:tc>
          <w:tcPr>
            <w:tcW w:w="140" w:type="dxa"/>
            <w:vAlign w:val="bottom"/>
            <w:shd w:val="clear" w:color="auto" w:fill="CCEEFF"/>
          </w:tcPr>
          <w:p>
            <w:pPr>
              <w:spacing w:after="0"/>
              <w:rPr>
                <w:sz w:val="22"/>
                <w:szCs w:val="22"/>
                <w:color w:val="auto"/>
              </w:rPr>
            </w:pPr>
          </w:p>
        </w:tc>
      </w:tr>
      <w:tr>
        <w:trPr>
          <w:trHeight w:val="865"/>
        </w:trPr>
        <w:tc>
          <w:tcPr>
            <w:tcW w:w="20" w:type="dxa"/>
            <w:vAlign w:val="bottom"/>
          </w:tcPr>
          <w:p>
            <w:pPr>
              <w:spacing w:after="0"/>
              <w:rPr>
                <w:sz w:val="24"/>
                <w:szCs w:val="24"/>
                <w:color w:val="auto"/>
              </w:rPr>
            </w:pPr>
          </w:p>
        </w:tc>
        <w:tc>
          <w:tcPr>
            <w:tcW w:w="4860" w:type="dxa"/>
            <w:vAlign w:val="bottom"/>
            <w:tcBorders>
              <w:top w:val="single" w:sz="8" w:color="CCEEFF"/>
              <w:bottom w:val="single" w:sz="8" w:color="auto"/>
            </w:tcBorders>
          </w:tcPr>
          <w:p>
            <w:pPr>
              <w:spacing w:after="0"/>
              <w:rPr>
                <w:sz w:val="24"/>
                <w:szCs w:val="24"/>
                <w:color w:val="auto"/>
              </w:rPr>
            </w:pPr>
          </w:p>
        </w:tc>
        <w:tc>
          <w:tcPr>
            <w:tcW w:w="2560" w:type="dxa"/>
            <w:vAlign w:val="bottom"/>
            <w:tcBorders>
              <w:top w:val="single" w:sz="8" w:color="CCEEFF"/>
              <w:bottom w:val="single" w:sz="8" w:color="auto"/>
            </w:tcBorders>
          </w:tcPr>
          <w:p>
            <w:pPr>
              <w:jc w:val="right"/>
              <w:ind w:right="1452"/>
              <w:spacing w:after="0"/>
              <w:rPr>
                <w:sz w:val="20"/>
                <w:szCs w:val="20"/>
                <w:color w:val="auto"/>
              </w:rPr>
            </w:pPr>
            <w:r>
              <w:rPr>
                <w:rFonts w:ascii="Arial" w:cs="Arial" w:eastAsia="Arial" w:hAnsi="Arial"/>
                <w:sz w:val="18"/>
                <w:szCs w:val="18"/>
                <w:color w:val="auto"/>
              </w:rPr>
              <w:t>- 38 -</w:t>
            </w: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77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 xml:space="preserve">The Compensation Committee of the Board (the </w:t>
      </w:r>
      <w:r>
        <w:rPr>
          <w:rFonts w:ascii="Arial" w:cs="Arial" w:eastAsia="Arial" w:hAnsi="Arial"/>
          <w:sz w:val="16"/>
          <w:szCs w:val="16"/>
          <w:i w:val="1"/>
          <w:iCs w:val="1"/>
          <w:color w:val="auto"/>
        </w:rPr>
        <w:t>Committee</w:t>
      </w:r>
      <w:r>
        <w:rPr>
          <w:rFonts w:ascii="Arial" w:cs="Arial" w:eastAsia="Arial" w:hAnsi="Arial"/>
          <w:sz w:val="16"/>
          <w:szCs w:val="16"/>
          <w:color w:val="auto"/>
        </w:rPr>
        <w:t>), administers the 2016 Plan, including selecting the Award recipients, determining the number of shares to be subject to each Award, the exercise or purchase price of each Award and the vesting and exercise periods of each Award.</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exercise price of all incentive stock options granted under the 2016 Plan must be at least equal to 100% of the fair market value of the shares on the date of grant. The maximum term of an incentive stock option granted to any other participant may not exceed 10 years. The Committee determines the term and exercise or purchase price of all other Awards granted under the 2016 Plan.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94" w:lineRule="exact"/>
        <w:rPr>
          <w:sz w:val="20"/>
          <w:szCs w:val="20"/>
          <w:color w:val="auto"/>
        </w:rPr>
      </w:pPr>
    </w:p>
    <w:p>
      <w:pPr>
        <w:ind w:left="820" w:hanging="21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820" w:right="20" w:hanging="216"/>
        <w:spacing w:after="0" w:line="268"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is 300,000 shares of common stock. In connection with a participant’s commencement of service with the Company, a participant may be granted options and/or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is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a combination of, a number of financial measurements.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earlier termination of the Award.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820" w:hanging="216"/>
        <w:spacing w:after="0" w:line="332"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820" w:hanging="216"/>
        <w:spacing w:after="0" w:line="256"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820" w:hanging="21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820" w:hanging="21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(who have served on our board for at least 12 months) do not recommend our stockholders accept; (ii) or a change in the composition of our Board over a period of 12 months or less.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terminated sooner, the 2016 Plan will automatically terminate in 2026. Our Board may at any time amend, suspend or terminate the 2016 Plan. Subject to the approval of the 2019 Plan pursuant to Proposal No. 3 in this Proxy Statement, upon the Effective Date of the 2019 Plan, no further awards will be made from the 2016 Plan and any remaining authorized shares will become available for awards from the 2019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that we have engaged for a wide range of material aspects related to the nonclinical and clinical development and regulatory affairs associated with our efforts to develop and commercialize AV-101 for MDD, including our ELEVATE Study, and other potential CNS indications, PH94B, PH10, and other potential product candidates. At March 31, 2019, CBV held approximately 2% of our outstanding common stock.</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$3,969,100 and $1,390,700 for the fiscal years ended March 31, 2019 and 2018, respectively. We anticipate periodic expenses for CRO services from CRL related to nonclinical and clinical development of, and regulatory affairs related to, AV-101, PH94B, PH10 and other potential product candidates will increase in future periods.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License and Option Agreements with Pherin Pharmaceuticals, Inc.</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2018, we issued an aggregate of 1,630,435 shares of our unregistered common stock having a fair market value of $2,250,000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xml:space="preserve">) to acquire an exclusive worldwide license to develop and commercialize PH94B, </w:t>
      </w:r>
      <w:r>
        <w:rPr>
          <w:rFonts w:ascii="Arial" w:cs="Arial" w:eastAsia="Arial" w:hAnsi="Arial"/>
          <w:sz w:val="16"/>
          <w:szCs w:val="16"/>
          <w:color w:val="333333"/>
        </w:rPr>
        <w:t>a potential first-in-class neuroactive nasal spray</w:t>
      </w:r>
      <w:r>
        <w:rPr>
          <w:rFonts w:ascii="Arial" w:cs="Arial" w:eastAsia="Arial" w:hAnsi="Arial"/>
          <w:sz w:val="16"/>
          <w:szCs w:val="16"/>
          <w:color w:val="auto"/>
        </w:rPr>
        <w:t xml:space="preserve"> </w:t>
      </w:r>
      <w:r>
        <w:rPr>
          <w:rFonts w:ascii="Arial" w:cs="Arial" w:eastAsia="Arial" w:hAnsi="Arial"/>
          <w:sz w:val="16"/>
          <w:szCs w:val="16"/>
          <w:color w:val="333333"/>
        </w:rPr>
        <w:t>with rapid-onset effects observed at microgram doses and without systemic exposure for the treatment of Social Anxiety Disorder (</w:t>
      </w:r>
      <w:r>
        <w:rPr>
          <w:rFonts w:ascii="Arial" w:cs="Arial" w:eastAsia="Arial" w:hAnsi="Arial"/>
          <w:sz w:val="16"/>
          <w:szCs w:val="16"/>
          <w:i w:val="1"/>
          <w:iCs w:val="1"/>
          <w:color w:val="333333"/>
        </w:rPr>
        <w:t>SAD</w:t>
      </w:r>
      <w:r>
        <w:rPr>
          <w:rFonts w:ascii="Arial" w:cs="Arial" w:eastAsia="Arial" w:hAnsi="Arial"/>
          <w:sz w:val="16"/>
          <w:szCs w:val="16"/>
          <w:color w:val="333333"/>
        </w:rPr>
        <w:t xml:space="preserve">), </w:t>
      </w:r>
      <w:r>
        <w:rPr>
          <w:rFonts w:ascii="Arial" w:cs="Arial" w:eastAsia="Arial" w:hAnsi="Arial"/>
          <w:sz w:val="16"/>
          <w:szCs w:val="16"/>
          <w:color w:val="000000"/>
        </w:rPr>
        <w:t>and an option to acquire</w:t>
      </w:r>
      <w:r>
        <w:rPr>
          <w:rFonts w:ascii="Arial" w:cs="Arial" w:eastAsia="Arial" w:hAnsi="Arial"/>
          <w:sz w:val="16"/>
          <w:szCs w:val="16"/>
          <w:color w:val="333333"/>
        </w:rPr>
        <w:t xml:space="preserve"> </w:t>
      </w:r>
      <w:r>
        <w:rPr>
          <w:rFonts w:ascii="Arial" w:cs="Arial" w:eastAsia="Arial" w:hAnsi="Arial"/>
          <w:sz w:val="16"/>
          <w:szCs w:val="16"/>
          <w:color w:val="000000"/>
        </w:rPr>
        <w:t xml:space="preserve">a similar license for PH10, a </w:t>
      </w:r>
      <w:r>
        <w:rPr>
          <w:rFonts w:ascii="Arial" w:cs="Arial" w:eastAsia="Arial" w:hAnsi="Arial"/>
          <w:sz w:val="16"/>
          <w:szCs w:val="16"/>
          <w:color w:val="333333"/>
        </w:rPr>
        <w:t>potential first-in-class neuroactive nasal spray with rapid-onset antidepressant effects observed at microgram doses and without</w:t>
      </w:r>
      <w:r>
        <w:rPr>
          <w:rFonts w:ascii="Arial" w:cs="Arial" w:eastAsia="Arial" w:hAnsi="Arial"/>
          <w:sz w:val="16"/>
          <w:szCs w:val="16"/>
          <w:color w:val="000000"/>
        </w:rPr>
        <w:t xml:space="preserve"> </w:t>
      </w:r>
      <w:r>
        <w:rPr>
          <w:rFonts w:ascii="Arial" w:cs="Arial" w:eastAsia="Arial" w:hAnsi="Arial"/>
          <w:sz w:val="16"/>
          <w:szCs w:val="16"/>
          <w:color w:val="333333"/>
        </w:rPr>
        <w:t>systemic exposure for the treatment of Major Depressive Disorder (</w:t>
      </w:r>
      <w:r>
        <w:rPr>
          <w:rFonts w:ascii="Arial" w:cs="Arial" w:eastAsia="Arial" w:hAnsi="Arial"/>
          <w:sz w:val="16"/>
          <w:szCs w:val="16"/>
          <w:i w:val="1"/>
          <w:iCs w:val="1"/>
          <w:color w:val="333333"/>
        </w:rPr>
        <w:t>MDD</w:t>
      </w:r>
      <w:r>
        <w:rPr>
          <w:rFonts w:ascii="Arial" w:cs="Arial" w:eastAsia="Arial" w:hAnsi="Arial"/>
          <w:sz w:val="16"/>
          <w:szCs w:val="16"/>
          <w:color w:val="333333"/>
        </w:rPr>
        <w:t xml:space="preserve">). </w:t>
      </w:r>
      <w:r>
        <w:rPr>
          <w:rFonts w:ascii="Arial" w:cs="Arial" w:eastAsia="Arial" w:hAnsi="Arial"/>
          <w:sz w:val="16"/>
          <w:szCs w:val="16"/>
          <w:color w:val="000000"/>
        </w:rPr>
        <w:t>In October 2018, we issued an additional 925,926 shares of our unregistered common</w:t>
      </w:r>
      <w:r>
        <w:rPr>
          <w:rFonts w:ascii="Arial" w:cs="Arial" w:eastAsia="Arial" w:hAnsi="Arial"/>
          <w:sz w:val="16"/>
          <w:szCs w:val="16"/>
          <w:color w:val="333333"/>
        </w:rPr>
        <w:t xml:space="preserve"> </w:t>
      </w:r>
      <w:r>
        <w:rPr>
          <w:rFonts w:ascii="Arial" w:cs="Arial" w:eastAsia="Arial" w:hAnsi="Arial"/>
          <w:sz w:val="16"/>
          <w:szCs w:val="16"/>
          <w:color w:val="000000"/>
        </w:rPr>
        <w:t>stock having a fair market value of $2,000,000 to exercise the option to acquire an exclusive worldwide license to develop and commercialize PH10. We recorded the acquisition of the licenses and option as research and development expense. Additionally, between the acquisition of the PH94B license in September 2018 and March 31, 2019, we expensed $70,000 of monthly cash support payments to Pherin under the terms of the PH94B license agreement as research and development expense. At March 31, 2019, Pherin held approximately 6% of our outstanding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Section 16(a) of the Exchange Act requires our officers, directors and persons who beneficially own more than ten percent of our common stock (collectively, the </w:t>
      </w:r>
      <w:r>
        <w:rPr>
          <w:rFonts w:ascii="Arial" w:cs="Arial" w:eastAsia="Arial" w:hAnsi="Arial"/>
          <w:sz w:val="16"/>
          <w:szCs w:val="16"/>
          <w:i w:val="1"/>
          <w:iCs w:val="1"/>
          <w:color w:val="auto"/>
        </w:rPr>
        <w:t>Reporting Persons</w:t>
      </w:r>
      <w:r>
        <w:rPr>
          <w:rFonts w:ascii="Arial" w:cs="Arial" w:eastAsia="Arial" w:hAnsi="Arial"/>
          <w:sz w:val="16"/>
          <w:szCs w:val="16"/>
          <w:color w:val="auto"/>
        </w:rPr>
        <w:t>) to file reports of ownership on Form 3 and changes in ownership on Form 4 or Form 5 with the SEC. The Reporting Persons are also required by SEC rules to furnish us with copies of all reports that they file pursuant to Section 16(a). To the Company’s knowledge, based solely on our review of the copies of these reports furnished to the Company and written representations that no other reports were required during the fiscal year ended March 31, 2019, all Reporting Persons complied with all applicable reporting requirements.</w:t>
      </w:r>
    </w:p>
    <w:p>
      <w:pPr>
        <w:spacing w:after="0" w:line="16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2020 Annual Meeting</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Stockholder proposals that are intended to be presented by stockholders at the Company’s 2020 Annual Meeting of Stockholders must be received by the Secretary of the Company between June 7, 2020 and July 7, 2020 in order that they may be included, if appropriate, in the Company’s proxy statement and form of proxy relating to that meeting. A stockholder proposal not included in the Company’s proxy statement for the 2020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2020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10 days after the Company’s public announcement.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5" w:name="page46"/>
    <w:bookmarkEnd w:id="45"/>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Notice, mailed to stockholders on or about July 26, 2019, contains instructions on how to access the Company’s Annual Report on SEC Form 10-K for our fiscal year ended March 31, 2019. The Annual Report, which includes audited financial statements, does not form any part of the material for the solicitation of proxies.</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Board invites you to attend the Annual Meeting in person. Whether or not you expect to attend the Annual Meeting in person, please submit your vote by Internet, telephone or postal mail as promptly as possible so that your shares will be represented at the Annual Meeting.</w:t>
      </w:r>
    </w:p>
    <w:p>
      <w:pPr>
        <w:spacing w:after="0" w:line="1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POSTAL MAIL AS PROMPTLY AS POSSIBLE. VOTING PROMPTLY WILL SAVE US ADDITIONAL EXPENSE IN SOLICITING PROXIES AND WILL ENSURE THAT YOUR SHARES ARE REPRESENTED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AND AMENDED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firstLine="580"/>
        <w:spacing w:after="0" w:line="268"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(the "</w:t>
      </w:r>
      <w:r>
        <w:rPr>
          <w:rFonts w:ascii="Arial" w:cs="Arial" w:eastAsia="Arial" w:hAnsi="Arial"/>
          <w:sz w:val="18"/>
          <w:szCs w:val="18"/>
          <w:i w:val="1"/>
          <w:iCs w:val="1"/>
          <w:color w:val="auto"/>
        </w:rPr>
        <w:t>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Incorporation</w:t>
      </w:r>
      <w:r>
        <w:rPr>
          <w:rFonts w:ascii="Arial" w:cs="Arial" w:eastAsia="Arial" w:hAnsi="Arial"/>
          <w:sz w:val="18"/>
          <w:szCs w:val="18"/>
          <w:color w:val="auto"/>
        </w:rPr>
        <w:t>").</w:t>
      </w:r>
    </w:p>
    <w:p>
      <w:pPr>
        <w:spacing w:after="0" w:line="186" w:lineRule="exact"/>
        <w:rPr>
          <w:sz w:val="20"/>
          <w:szCs w:val="20"/>
          <w:color w:val="auto"/>
        </w:rPr>
      </w:pPr>
    </w:p>
    <w:p>
      <w:pPr>
        <w:ind w:firstLine="470"/>
        <w:spacing w:after="0" w:line="268"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left="1140" w:right="980" w:firstLine="648"/>
        <w:spacing w:after="0" w:line="291"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One Hundred Seventy Five Million (175,000,000),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WITNESS WHEREOF, the Corporation has caused this Certificate of Amendment to be signed by its officers thereunto duly authorized this ____ day of</w:t>
      </w:r>
    </w:p>
    <w:p>
      <w:pPr>
        <w:spacing w:after="0" w:line="38" w:lineRule="exact"/>
        <w:rPr>
          <w:sz w:val="20"/>
          <w:szCs w:val="20"/>
          <w:color w:val="auto"/>
        </w:rPr>
      </w:pPr>
    </w:p>
    <w:p>
      <w:pPr>
        <w:ind w:left="720" w:hanging="71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2019.</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______________________</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2019 OMNIBUS EQUITY INCENTIVE PLAN</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VistaGen Therapeutics, Inc., a Nevada corporation, sets forth herein the terms of its 2019 Omnibus Equity Incentive Plan, as follows:</w:t>
      </w:r>
    </w:p>
    <w:p>
      <w:pPr>
        <w:spacing w:after="0" w:line="21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Plan is intended to enhance the Company’s and its Affiliates’ (as defined herein) ability to attract and retain highly qualified officers, Non-Employee Directors (as defined herein), key employees, consultants and advisors, and to motivate such officers, Non-Employee Directors, key employees, consultants and advisors to serve the Company and its Affiliates and to expend maximum effort to improve the business operations, prospects and results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other stock-based awards and cash awards. Any of these awards may, but need not, be made as performance incentives to reward attainment of performance goals in accordance with the terms hereof. Stock options granted under the Plan may be non-qualified stock options or incentive stock options, as provided herein. On the Effective Date, the Plan replaces, and no further awards shall be made under, the Predecessor Plan (as defined herein).</w:t>
      </w:r>
    </w:p>
    <w:p>
      <w:pPr>
        <w:spacing w:after="0" w:line="166"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219"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company or other trade or business that “controls,” is “controlled by” or is “under common control” with the Company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Rule 405 of Regulation C under the Securities Act, including, without limitation, any Subsidiary.</w:t>
      </w:r>
    </w:p>
    <w:p>
      <w:pPr>
        <w:spacing w:after="0" w:line="173"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grant of an Option, Stock Appreciation Right, Restricted Stock, Restricted Stock Unit, or Other Stock-based Award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73"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written agreement between the Company and a Grantee, or notice from the Company or an Affiliate to a Grantee that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evidences and sets forth the terms and conditions of an Award.</w:t>
      </w:r>
    </w:p>
    <w:p>
      <w:pPr>
        <w:spacing w:after="0" w:line="173" w:lineRule="exact"/>
        <w:rPr>
          <w:rFonts w:ascii="Arial" w:cs="Arial" w:eastAsia="Arial" w:hAnsi="Arial"/>
          <w:sz w:val="18"/>
          <w:szCs w:val="18"/>
          <w:b w:val="1"/>
          <w:bCs w:val="1"/>
          <w:color w:val="auto"/>
        </w:rPr>
      </w:pPr>
    </w:p>
    <w:p>
      <w:pPr>
        <w:jc w:val="both"/>
        <w:ind w:left="50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means “Beneficial Owner” as defined in Rule 13d-3 and Rule 13d-5 under the Exchange Act; except that, in calculating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 “Beneficial Ownership” has a corresponding meaning.</w:t>
      </w:r>
    </w:p>
    <w:p>
      <w:pPr>
        <w:spacing w:after="0" w:line="19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14.3.2</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5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now in effect or as hereafter amended. References to the Code shall include the valid and</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governmental regulations, court decisions and other regulatory and judicial authority issued or rendered thereunder.</w:t>
      </w:r>
    </w:p>
    <w:p>
      <w:pPr>
        <w:spacing w:after="0" w:line="173"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or any committee or other person or persons designated by the Board to administer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Board will cause the Committee to satisfy the applicable requirements of any stock exchange on which the Common Stock may then be listed. For purposes of Awards to Grantees who are subject to Section 16 of the Exchange Act, Committee means all of the members of the Committee who are “non-employee directors” within the meaning of Rule 16b-3 adopted under the Exchange Act. All references in the Plan to the Board shall mean such Committee or the Board.</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5620" w:hanging="96"/>
        <w:spacing w:after="0"/>
        <w:tabs>
          <w:tab w:leader="none" w:pos="5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tabs>
          <w:tab w:leader="none" w:pos="4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Company</w:t>
      </w:r>
      <w:r>
        <w:rPr>
          <w:rFonts w:ascii="Arial" w:cs="Arial" w:eastAsia="Arial" w:hAnsi="Arial"/>
          <w:sz w:val="15"/>
          <w:szCs w:val="15"/>
          <w:color w:val="auto"/>
        </w:rPr>
        <w:t>” means VistaGen Therapeutics, Inc., a Nevada corporation, or any successor corporation.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Common Stock</w:t>
      </w:r>
      <w:r>
        <w:rPr>
          <w:rFonts w:ascii="Arial" w:cs="Arial" w:eastAsia="Arial" w:hAnsi="Arial"/>
          <w:sz w:val="15"/>
          <w:szCs w:val="15"/>
          <w:color w:val="auto"/>
        </w:rPr>
        <w:t>” or “</w:t>
      </w:r>
      <w:r>
        <w:rPr>
          <w:rFonts w:ascii="Arial" w:cs="Arial" w:eastAsia="Arial" w:hAnsi="Arial"/>
          <w:sz w:val="15"/>
          <w:szCs w:val="15"/>
          <w:i w:val="1"/>
          <w:iCs w:val="1"/>
          <w:color w:val="auto"/>
        </w:rPr>
        <w:t>Stock</w:t>
      </w:r>
      <w:r>
        <w:rPr>
          <w:rFonts w:ascii="Arial" w:cs="Arial" w:eastAsia="Arial" w:hAnsi="Arial"/>
          <w:sz w:val="15"/>
          <w:szCs w:val="15"/>
          <w:color w:val="auto"/>
        </w:rPr>
        <w:t>” means a share of common stock of the Company, par value $0.001 per share.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 reorganization, merger, statutory share exchange, consolidation, sale of all or substantially all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the acquisition of assets or stock of another entity by the Company, or other corporate transaction involving the Company or any of its Subsidiaries.</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Effective Date</w:t>
      </w:r>
      <w:r>
        <w:rPr>
          <w:rFonts w:ascii="Arial" w:cs="Arial" w:eastAsia="Arial" w:hAnsi="Arial"/>
          <w:sz w:val="15"/>
          <w:szCs w:val="15"/>
          <w:color w:val="auto"/>
        </w:rPr>
        <w:t>” means [ ], 2019, the date the Plan was approved by the Company’s stockholders.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now in effect or as hereafter amended.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2.14 </w:t>
      </w: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a share of Common Stock as of a particular date means (i) if the Common Stock is listed on a national securities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or last price of the Common Stock on the composite tape or other comparable reporting system for the applicable date, or if the applicable date is not a trading day, the trading day immediately preceding the applicable date, or (ii) if the shares of Common Stock are not then listed on a national securities exchange, the closing or last price of the Common Stock quoted by an established quotation service for over-the-counter securities, or (iii) if the shares of Common Stock are not then listed on a national securities exchange or quoted by an established quotation service for over-the-counter securities, or the value of such shares is not otherwise determinable, such value as determined by the Board in good faith in its sole discretion.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i w:val="1"/>
          <w:iCs w:val="1"/>
          <w:color w:val="auto"/>
        </w:rPr>
        <w:t>Family Member</w:t>
      </w:r>
      <w:r>
        <w:rPr>
          <w:rFonts w:ascii="Arial" w:cs="Arial" w:eastAsia="Arial" w:hAnsi="Arial"/>
          <w:sz w:val="18"/>
          <w:szCs w:val="18"/>
          <w:color w:val="auto"/>
        </w:rPr>
        <w:t>” means a person who is a spouse, former spouse, child, stepchild, grandchild, parent, stepparent, grandparent, niece, nephew,</w:t>
      </w:r>
      <w:r>
        <w:rPr>
          <w:rFonts w:ascii="Arial" w:cs="Arial" w:eastAsia="Arial" w:hAnsi="Arial"/>
          <w:sz w:val="18"/>
          <w:szCs w:val="18"/>
          <w:b w:val="1"/>
          <w:bCs w:val="1"/>
          <w:color w:val="auto"/>
        </w:rPr>
        <w:t xml:space="preserve"> </w:t>
      </w:r>
      <w:r>
        <w:rPr>
          <w:rFonts w:ascii="Arial" w:cs="Arial" w:eastAsia="Arial" w:hAnsi="Arial"/>
          <w:sz w:val="18"/>
          <w:szCs w:val="18"/>
          <w:color w:val="auto"/>
        </w:rPr>
        <w:t>mother-in-law, father-in-law, son-in-law, daughter-in-law, brother, sister, brother-in-law, or sister-in-law, including adoptive relationships, of the applicable individual, any person sharing the applicable individual’s household (other than a tenant or employee), a trust in which any one or more of these persons have more than fifty percent of the beneficial interest, a foundation in which any one or more of these persons (or the applicable individual) control the management of assets, and any other entity in which one or more of these persons (or the applicable individual) own more than fifty percent of the voting interests.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as determined by the Board, the latest to occur of (i) the date as of which the Board approves an Award, (ii)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recipient of an Award first becomes eligible to receive an Award under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 or (iii) such other date as may be specified by the Board in the Award Agreement.</w:t>
      </w:r>
    </w:p>
    <w:p>
      <w:pPr>
        <w:spacing w:after="0" w:line="18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Grantee</w:t>
      </w:r>
      <w:r>
        <w:rPr>
          <w:rFonts w:ascii="Arial" w:cs="Arial" w:eastAsia="Arial" w:hAnsi="Arial"/>
          <w:sz w:val="15"/>
          <w:szCs w:val="15"/>
          <w:color w:val="auto"/>
        </w:rPr>
        <w:t>” means a person who receives or holds an Award under the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“incentive stock option” within the meaning of Section 422 of the Code, or the corresponding provision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subsequently enacted tax statute, as amended from time to time.</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 member of the Board who is not an officer or employee of the Company or any Subsidiary.</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that is not an Incentive Stock Option.</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Option</w:t>
      </w:r>
      <w:r>
        <w:rPr>
          <w:rFonts w:ascii="Arial" w:cs="Arial" w:eastAsia="Arial" w:hAnsi="Arial"/>
          <w:sz w:val="15"/>
          <w:szCs w:val="15"/>
          <w:color w:val="auto"/>
        </w:rPr>
        <w:t>” means an option to purchase one or more shares of Stock pursuant to the Plan.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Option Price</w:t>
      </w:r>
      <w:r>
        <w:rPr>
          <w:rFonts w:ascii="Arial" w:cs="Arial" w:eastAsia="Arial" w:hAnsi="Arial"/>
          <w:sz w:val="15"/>
          <w:szCs w:val="15"/>
          <w:color w:val="auto"/>
        </w:rPr>
        <w:t>” means the exercise price for each share of Stock subject to an Option.</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i w:val="1"/>
          <w:iCs w:val="1"/>
          <w:color w:val="auto"/>
        </w:rPr>
        <w:t>Other Stock-based Awards</w:t>
      </w:r>
      <w:r>
        <w:rPr>
          <w:rFonts w:ascii="Arial" w:cs="Arial" w:eastAsia="Arial" w:hAnsi="Arial"/>
          <w:sz w:val="18"/>
          <w:szCs w:val="18"/>
          <w:color w:val="auto"/>
        </w:rPr>
        <w:t>” means Awards consisting of Stock units, or other Awards, valued in whole or in part by reference to,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Common Stock, other than Options, Stock Appreciation Rights, Restricted Stock, and Restricted Stock Units.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740" w:top="773" w:right="239" w:bottom="1440" w:gutter="0" w:footer="0" w:header="0"/>
        </w:sectPr>
      </w:pPr>
    </w:p>
    <w:bookmarkStart w:id="49" w:name="page50"/>
    <w:bookmarkEnd w:id="49"/>
    <w:p>
      <w:pPr>
        <w:spacing w:after="0"/>
        <w:tabs>
          <w:tab w:leader="none" w:pos="4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entity or group within the meaning of Section 13(d)(3) or 14(d)(2) of the Exchange Act.</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this VistaGen Therapeutics, Inc. 2019 Omnibus Equity Incentive Plan, as amended from time to time.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i w:val="1"/>
          <w:iCs w:val="1"/>
          <w:color w:val="auto"/>
        </w:rPr>
        <w:t>Predecessor Plan</w:t>
      </w:r>
      <w:r>
        <w:rPr>
          <w:rFonts w:ascii="Arial" w:cs="Arial" w:eastAsia="Arial" w:hAnsi="Arial"/>
          <w:sz w:val="18"/>
          <w:szCs w:val="18"/>
          <w:color w:val="auto"/>
        </w:rPr>
        <w:t>” means the VistaGen Therapeutics, Inc. Amended and Restated 2016 Stock Incentive Plan (formerly, the 2008 Stock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Purchase Price</w:t>
      </w:r>
      <w:r>
        <w:rPr>
          <w:rFonts w:ascii="Arial" w:cs="Arial" w:eastAsia="Arial" w:hAnsi="Arial"/>
          <w:sz w:val="15"/>
          <w:szCs w:val="15"/>
          <w:color w:val="auto"/>
        </w:rPr>
        <w:t>” means the purchase price for each share of Stock pursuant to a grant of Restricted Stock.</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Restricted Period</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10.1</w:t>
      </w:r>
      <w:r>
        <w:rPr>
          <w:rFonts w:ascii="Arial" w:cs="Arial" w:eastAsia="Arial" w:hAnsi="Arial"/>
          <w:sz w:val="15"/>
          <w:szCs w:val="15"/>
          <w:color w:val="auto"/>
        </w:rPr>
        <w:t xml:space="preserve"> hereof.</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Restricted Stock</w:t>
      </w:r>
      <w:r>
        <w:rPr>
          <w:rFonts w:ascii="Arial" w:cs="Arial" w:eastAsia="Arial" w:hAnsi="Arial"/>
          <w:sz w:val="15"/>
          <w:szCs w:val="15"/>
          <w:color w:val="auto"/>
        </w:rPr>
        <w:t xml:space="preserve">” means shares of Stock, awarded to a Grantee pursuant to </w:t>
      </w:r>
      <w:r>
        <w:rPr>
          <w:rFonts w:ascii="Arial" w:cs="Arial" w:eastAsia="Arial" w:hAnsi="Arial"/>
          <w:sz w:val="15"/>
          <w:szCs w:val="15"/>
          <w:b w:val="1"/>
          <w:bCs w:val="1"/>
          <w:color w:val="auto"/>
        </w:rPr>
        <w:t>Section 10</w:t>
      </w:r>
      <w:r>
        <w:rPr>
          <w:rFonts w:ascii="Arial" w:cs="Arial" w:eastAsia="Arial" w:hAnsi="Arial"/>
          <w:sz w:val="15"/>
          <w:szCs w:val="15"/>
          <w:color w:val="auto"/>
        </w:rPr>
        <w:t xml:space="preserve"> hereof.</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bookkeeping entry representing the equivalent of shares of Stock, awarded to a Grantee pursuant to</w:t>
      </w:r>
      <w:r>
        <w:rPr>
          <w:rFonts w:ascii="Arial" w:cs="Arial" w:eastAsia="Arial" w:hAnsi="Arial"/>
          <w:sz w:val="18"/>
          <w:szCs w:val="18"/>
          <w:b w:val="1"/>
          <w:bCs w:val="1"/>
          <w:color w:val="auto"/>
        </w:rPr>
        <w:t xml:space="preserve"> Section 10 </w:t>
      </w:r>
      <w:r>
        <w:rPr>
          <w:rFonts w:ascii="Arial" w:cs="Arial" w:eastAsia="Arial" w:hAnsi="Arial"/>
          <w:sz w:val="18"/>
          <w:szCs w:val="18"/>
          <w:color w:val="auto"/>
        </w:rPr>
        <w:t>hereof.</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SAR Exercise Price</w:t>
      </w:r>
      <w:r>
        <w:rPr>
          <w:rFonts w:ascii="Arial" w:cs="Arial" w:eastAsia="Arial" w:hAnsi="Arial"/>
          <w:sz w:val="15"/>
          <w:szCs w:val="15"/>
          <w:color w:val="auto"/>
        </w:rPr>
        <w:t xml:space="preserve">” means the per share exercise price of a SAR granted to a Grantee under </w:t>
      </w:r>
      <w:r>
        <w:rPr>
          <w:rFonts w:ascii="Arial" w:cs="Arial" w:eastAsia="Arial" w:hAnsi="Arial"/>
          <w:sz w:val="15"/>
          <w:szCs w:val="15"/>
          <w:b w:val="1"/>
          <w:bCs w:val="1"/>
          <w:color w:val="auto"/>
        </w:rPr>
        <w:t>Section 9</w:t>
      </w:r>
      <w:r>
        <w:rPr>
          <w:rFonts w:ascii="Arial" w:cs="Arial" w:eastAsia="Arial" w:hAnsi="Arial"/>
          <w:sz w:val="15"/>
          <w:szCs w:val="15"/>
          <w:color w:val="auto"/>
        </w:rPr>
        <w:t xml:space="preserve"> hereof.</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w:t>
      </w:r>
      <w:r>
        <w:rPr>
          <w:rFonts w:ascii="Arial" w:cs="Arial" w:eastAsia="Arial" w:hAnsi="Arial"/>
          <w:sz w:val="15"/>
          <w:szCs w:val="15"/>
          <w:color w:val="auto"/>
        </w:rPr>
        <w:t>” means the United States Securities and Exchange Commission.</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Section 409A</w:t>
      </w:r>
      <w:r>
        <w:rPr>
          <w:rFonts w:ascii="Arial" w:cs="Arial" w:eastAsia="Arial" w:hAnsi="Arial"/>
          <w:sz w:val="15"/>
          <w:szCs w:val="15"/>
          <w:color w:val="auto"/>
        </w:rPr>
        <w:t>” means Section 409A of the Code.</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Securities Act</w:t>
      </w:r>
      <w:r>
        <w:rPr>
          <w:rFonts w:ascii="Arial" w:cs="Arial" w:eastAsia="Arial" w:hAnsi="Arial"/>
          <w:sz w:val="15"/>
          <w:szCs w:val="15"/>
          <w:color w:val="auto"/>
        </w:rPr>
        <w:t>” means the Securities Act of 1933, as now in effect or as hereafter amended.</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w:t>
      </w:r>
      <w:r>
        <w:rPr>
          <w:rFonts w:ascii="Arial" w:cs="Arial" w:eastAsia="Arial" w:hAnsi="Arial"/>
          <w:sz w:val="18"/>
          <w:szCs w:val="18"/>
          <w:i w:val="1"/>
          <w:iCs w:val="1"/>
          <w:color w:val="auto"/>
        </w:rPr>
        <w:t>Separation from Service</w:t>
      </w:r>
      <w:r>
        <w:rPr>
          <w:rFonts w:ascii="Arial" w:cs="Arial" w:eastAsia="Arial" w:hAnsi="Arial"/>
          <w:sz w:val="18"/>
          <w:szCs w:val="18"/>
          <w:color w:val="auto"/>
        </w:rPr>
        <w:t>” means a termination of Service by a Service Provider, as determined by the Board, which determination shall be final,</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and conclusive; provided if any Award governed by Section 409A is to be distributed on a Separation from Service, then the definition of Separation from Service for such purposes shall comply with the definition provided in Section 409A.</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service as a Service Provider to the Company or an Affiliate. Unless otherwise stated in the applicable Award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change in position or duties shall not result in interrupted or terminated Service, so long as such Grantee continues to be a Service Provider to the Company or an Affiliate.</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Service Provider</w:t>
      </w:r>
      <w:r>
        <w:rPr>
          <w:rFonts w:ascii="Arial" w:cs="Arial" w:eastAsia="Arial" w:hAnsi="Arial"/>
          <w:sz w:val="16"/>
          <w:szCs w:val="16"/>
          <w:color w:val="auto"/>
        </w:rPr>
        <w:t>” means an employee, officer, Non-Employee Director, consultant or advisor of the Company or an Affiliate.</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Stock Appreciation Right</w:t>
      </w:r>
      <w:r>
        <w:rPr>
          <w:rFonts w:ascii="Arial" w:cs="Arial" w:eastAsia="Arial" w:hAnsi="Arial"/>
          <w:sz w:val="15"/>
          <w:szCs w:val="15"/>
          <w:color w:val="auto"/>
        </w:rPr>
        <w:t>” or “</w:t>
      </w:r>
      <w:r>
        <w:rPr>
          <w:rFonts w:ascii="Arial" w:cs="Arial" w:eastAsia="Arial" w:hAnsi="Arial"/>
          <w:sz w:val="15"/>
          <w:szCs w:val="15"/>
          <w:i w:val="1"/>
          <w:iCs w:val="1"/>
          <w:color w:val="auto"/>
        </w:rPr>
        <w:t>SAR</w:t>
      </w:r>
      <w:r>
        <w:rPr>
          <w:rFonts w:ascii="Arial" w:cs="Arial" w:eastAsia="Arial" w:hAnsi="Arial"/>
          <w:sz w:val="15"/>
          <w:szCs w:val="15"/>
          <w:color w:val="auto"/>
        </w:rPr>
        <w:t xml:space="preserve">” means a right granted to a Grantee under </w:t>
      </w:r>
      <w:r>
        <w:rPr>
          <w:rFonts w:ascii="Arial" w:cs="Arial" w:eastAsia="Arial" w:hAnsi="Arial"/>
          <w:sz w:val="15"/>
          <w:szCs w:val="15"/>
          <w:b w:val="1"/>
          <w:bCs w:val="1"/>
          <w:color w:val="auto"/>
        </w:rPr>
        <w:t>Section 9</w:t>
      </w:r>
      <w:r>
        <w:rPr>
          <w:rFonts w:ascii="Arial" w:cs="Arial" w:eastAsia="Arial" w:hAnsi="Arial"/>
          <w:sz w:val="15"/>
          <w:szCs w:val="15"/>
          <w:color w:val="auto"/>
        </w:rPr>
        <w:t xml:space="preserve"> hereof.</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“subsidiary corporation” of the Company within the meaning of Section 424(f) of the Code.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i w:val="1"/>
          <w:iCs w:val="1"/>
          <w:color w:val="auto"/>
        </w:rPr>
        <w:t>Substitute Award</w:t>
      </w:r>
      <w:r>
        <w:rPr>
          <w:rFonts w:ascii="Arial" w:cs="Arial" w:eastAsia="Arial" w:hAnsi="Arial"/>
          <w:sz w:val="18"/>
          <w:szCs w:val="18"/>
          <w:color w:val="auto"/>
        </w:rPr>
        <w:t>” means any Award granted in assumption of or in substitution for an award of a company or business acquired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 Subsidiary or with which the Company or an Affiliate combines.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i w:val="1"/>
          <w:iCs w:val="1"/>
          <w:color w:val="auto"/>
        </w:rPr>
        <w:t>Ten Percent Stockholder</w:t>
      </w:r>
      <w:r>
        <w:rPr>
          <w:rFonts w:ascii="Arial" w:cs="Arial" w:eastAsia="Arial" w:hAnsi="Arial"/>
          <w:sz w:val="18"/>
          <w:szCs w:val="18"/>
          <w:color w:val="auto"/>
        </w:rPr>
        <w:t>” means an individual who owns more than ten percent (10%) of the total combined voting power of all classes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stock of the Company, its parent or any of its Subsidiaries. In determining stock ownership, the attribution rules of Section 424(d) of the Code shall be applied.</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Termination Date</w:t>
      </w:r>
      <w:r>
        <w:rPr>
          <w:rFonts w:ascii="Arial" w:cs="Arial" w:eastAsia="Arial" w:hAnsi="Arial"/>
          <w:sz w:val="16"/>
          <w:szCs w:val="16"/>
          <w:color w:val="auto"/>
        </w:rPr>
        <w:t xml:space="preserve">” means the date that is ten (10) years after the Effective Date, unless the Plan is earlier terminated by the Board under </w:t>
      </w:r>
      <w:r>
        <w:rPr>
          <w:rFonts w:ascii="Arial" w:cs="Arial" w:eastAsia="Arial" w:hAnsi="Arial"/>
          <w:sz w:val="16"/>
          <w:szCs w:val="16"/>
          <w:b w:val="1"/>
          <w:bCs w:val="1"/>
          <w:color w:val="auto"/>
        </w:rPr>
        <w:t>Section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740" w:top="989" w:right="239" w:bottom="1440" w:gutter="0" w:footer="0" w:header="0"/>
        </w:sectPr>
      </w:pPr>
    </w:p>
    <w:bookmarkStart w:id="50" w:name="page51"/>
    <w:bookmarkEnd w:id="50"/>
    <w:p>
      <w:pPr>
        <w:ind w:left="500" w:right="8120" w:hanging="492"/>
        <w:spacing w:after="0" w:line="504" w:lineRule="auto"/>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 3.1 General</w:t>
      </w:r>
      <w:r>
        <w:rPr>
          <w:rFonts w:ascii="Arial" w:cs="Arial" w:eastAsia="Arial" w:hAnsi="Arial"/>
          <w:sz w:val="18"/>
          <w:szCs w:val="18"/>
          <w:color w:val="auto"/>
        </w:rPr>
        <w:t>.</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Board shall have such powers and authorities related to the administration of the Plan as are consistent with the Company’s articles of incorporation and bylaws and applicable law. The Board shall have the power and authority to delegate its responsibilities hereunder to the Committee, which shall have full authority to act in accordance with its charter, and with respect to the authority of the Board to act hereunder, all references to the Board shall be deemed to include a reference to the Committee, to the extent such power or responsibilities have been delegated. Except as otherwise may be required by applicable law, regulatory requirement or the articles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The Committee shall administer the Plan; provided that, the Board shall retain the right to exercise the authority of the Committee to the extent consistent with applicable law and the applicable requirements of any securities exchange on which the Common Stock may then be listed. The interpretation and construction by the Board of any provision of the Plan, any Award or any Award Agreement shall be final, binding and conclusive. Without limitation, the Board shall have full and final authority, subject to the other terms and conditions of the Plan, to:</w:t>
      </w:r>
    </w:p>
    <w:p>
      <w:pPr>
        <w:spacing w:after="0" w:line="181" w:lineRule="exact"/>
        <w:rPr>
          <w:sz w:val="20"/>
          <w:szCs w:val="20"/>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designate Grantees;</w:t>
      </w:r>
    </w:p>
    <w:p>
      <w:pPr>
        <w:spacing w:after="0" w:line="225" w:lineRule="exact"/>
        <w:rPr>
          <w:rFonts w:ascii="Arial" w:cs="Arial" w:eastAsia="Arial" w:hAnsi="Arial"/>
          <w:sz w:val="18"/>
          <w:szCs w:val="18"/>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type or types of Awards to be made to a Grantee;</w:t>
      </w:r>
    </w:p>
    <w:p>
      <w:pPr>
        <w:spacing w:after="0" w:line="225" w:lineRule="exact"/>
        <w:rPr>
          <w:rFonts w:ascii="Arial" w:cs="Arial" w:eastAsia="Arial" w:hAnsi="Arial"/>
          <w:sz w:val="18"/>
          <w:szCs w:val="18"/>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number of shares of Stock to be subject to an Award;</w:t>
      </w:r>
    </w:p>
    <w:p>
      <w:pPr>
        <w:spacing w:after="0" w:line="225" w:lineRule="exact"/>
        <w:rPr>
          <w:rFonts w:ascii="Arial" w:cs="Arial" w:eastAsia="Arial" w:hAnsi="Arial"/>
          <w:sz w:val="18"/>
          <w:szCs w:val="18"/>
          <w:color w:val="auto"/>
        </w:rPr>
      </w:pPr>
    </w:p>
    <w:p>
      <w:pPr>
        <w:jc w:val="both"/>
        <w:ind w:firstLine="494"/>
        <w:spacing w:after="0" w:line="259" w:lineRule="auto"/>
        <w:tabs>
          <w:tab w:leader="none" w:pos="8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the terms and conditions of each Award (including, but not limited to, the Option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pacing w:after="0" w:line="194" w:lineRule="exact"/>
        <w:rPr>
          <w:rFonts w:ascii="Arial" w:cs="Arial" w:eastAsia="Arial" w:hAnsi="Arial"/>
          <w:sz w:val="18"/>
          <w:szCs w:val="18"/>
          <w:color w:val="auto"/>
        </w:rPr>
      </w:pPr>
    </w:p>
    <w:p>
      <w:pPr>
        <w:ind w:left="840" w:hanging="346"/>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prescribe the form of each Award Agreement; and</w:t>
      </w:r>
    </w:p>
    <w:p>
      <w:pPr>
        <w:spacing w:after="0" w:line="225" w:lineRule="exact"/>
        <w:rPr>
          <w:rFonts w:ascii="Arial" w:cs="Arial" w:eastAsia="Arial" w:hAnsi="Arial"/>
          <w:sz w:val="18"/>
          <w:szCs w:val="18"/>
          <w:color w:val="auto"/>
        </w:rPr>
      </w:pPr>
    </w:p>
    <w:p>
      <w:pPr>
        <w:ind w:firstLine="494"/>
        <w:spacing w:after="0" w:line="332" w:lineRule="auto"/>
        <w:tabs>
          <w:tab w:leader="none" w:pos="8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133"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Clawbacks.</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Awards shall be subject to the requirements of (i) Section 954 of the Dodd-Frank Wall Street Reform and Consumer Protection Act (regarding recovery of erroneously awarded compensation) and any implementing rules and regulations thereunder, (ii) similar rules under the laws of any other jurisdiction, (iii) any compensation recovery policies adopted by the Company to implement any such requirements or (iv) any other compensation recovery policies as may be adopted from time to time by the Company, all to the extent determined by the Committee in its discretion to be applicable to a Grantee.</w:t>
      </w:r>
    </w:p>
    <w:p>
      <w:pPr>
        <w:spacing w:after="0" w:line="16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Minimum Vesting Conditions.</w:t>
      </w:r>
    </w:p>
    <w:p>
      <w:pPr>
        <w:spacing w:after="0" w:line="23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Notwithstanding any other provision of the Plan to the contrary, no more than 25% of any equity-based Awards granted under the Plan shall vest on the date the Award is granted, excluding, for this purpose, any (i) Substitute Awards and (ii) shares delivered in lieu of fully vested cash incentive compensation under any applicable plan or program of the Company; and, provided, however, for the avoidance of doubt, that the foregoing restriction does not apply to the Board’s discretion to provide for accelerated exercisability or vesting of any Award, including in cases of retirement, death, disability or a Change in Control, in the terms of the Award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left="500"/>
        <w:spacing w:after="0"/>
        <w:tabs>
          <w:tab w:leader="none" w:pos="10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Deferral Arrangement.</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Stock units.</w:t>
      </w:r>
    </w:p>
    <w:p>
      <w:pPr>
        <w:spacing w:after="0" w:line="188"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No Liability.</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No member of the Board or of the Committee shall be liable for any action or determination made in good faith with respect to the Plan, any Award or Award Agreement.</w:t>
      </w:r>
    </w:p>
    <w:p>
      <w:pPr>
        <w:spacing w:after="0" w:line="18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Book Entry.</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Notwithstanding any other provision of this Plan to the contrary, the Company may elect to satisfy any requirement under this Plan for the delivery of stock certificates through the use of book-entry.</w:t>
      </w:r>
    </w:p>
    <w:p>
      <w:pPr>
        <w:spacing w:after="0" w:line="396" w:lineRule="exact"/>
        <w:rPr>
          <w:sz w:val="20"/>
          <w:szCs w:val="20"/>
          <w:color w:val="auto"/>
        </w:rPr>
      </w:pPr>
    </w:p>
    <w:p>
      <w:pPr>
        <w:ind w:left="500" w:right="8140" w:hanging="492"/>
        <w:spacing w:after="0" w:line="563" w:lineRule="auto"/>
        <w:tabs>
          <w:tab w:leader="none" w:pos="50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STOCK SUBJECT TO THE PLAN 4.1 Authorized Number of Shares</w:t>
      </w:r>
    </w:p>
    <w:p>
      <w:pPr>
        <w:spacing w:after="0" w:line="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the total number of shares of Common Stock authorized to be awarded under the Plan shall not exceed 7,500,000. In addition, shares of Common Stock authorized and available for issuance under the Predecessor Plan on the Effective Date and/or underlying any outstanding award granted under the Predecessor Plan that, following the Effective Date, expires, or is terminated, surrendered or forfeited for any reason without issuance of such shares shall be available for the grant of new Awards under this Plan. As provided in </w:t>
      </w:r>
      <w:r>
        <w:rPr>
          <w:rFonts w:ascii="Arial" w:cs="Arial" w:eastAsia="Arial" w:hAnsi="Arial"/>
          <w:sz w:val="16"/>
          <w:szCs w:val="16"/>
          <w:b w:val="1"/>
          <w:bCs w:val="1"/>
          <w:color w:val="auto"/>
        </w:rPr>
        <w:t>Section 1</w:t>
      </w:r>
      <w:r>
        <w:rPr>
          <w:rFonts w:ascii="Arial" w:cs="Arial" w:eastAsia="Arial" w:hAnsi="Arial"/>
          <w:sz w:val="16"/>
          <w:szCs w:val="16"/>
          <w:color w:val="auto"/>
        </w:rPr>
        <w:t>, no new awards shall be granted under the Predecessor Plan following the Effective Date. Shares issued under the Plan may consist in whole or in part of authorized but unissued shares, treasury shares, or shares purchased on the open market or otherwise, all as determined by the Company from time to time.</w:t>
      </w:r>
    </w:p>
    <w:p>
      <w:pPr>
        <w:spacing w:after="0" w:line="16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Share Counting</w:t>
      </w:r>
    </w:p>
    <w:p>
      <w:pPr>
        <w:spacing w:after="0" w:line="225"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b w:val="1"/>
          <w:bCs w:val="1"/>
          <w:color w:val="auto"/>
        </w:rPr>
        <w:t>General</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Each share of Common Stock granted in connection with an Award shall be counted as one share against the limit in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subject to the provisions of this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74"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5"/>
          <w:szCs w:val="15"/>
          <w:b w:val="1"/>
          <w:bCs w:val="1"/>
          <w:color w:val="auto"/>
        </w:rPr>
        <w:t>Cash-Settled Awards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Award settled in cash shall not be counted as shares of Common Stock for any purpose under this Plan.</w:t>
      </w:r>
    </w:p>
    <w:p>
      <w:pPr>
        <w:spacing w:after="0" w:line="219"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6"/>
          <w:szCs w:val="16"/>
          <w:b w:val="1"/>
          <w:bCs w:val="1"/>
          <w:color w:val="auto"/>
        </w:rPr>
        <w:t>Expired or Terminated Awards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If any Award under the Plan expires, or is terminated, surrendered or forfeited, in whole or in part, without issuance or delivery of vested shares, the unissued or surrendered Common Stock covered by such Award shall again be available for the grant of Awards under the Plan.</w:t>
      </w:r>
    </w:p>
    <w:p>
      <w:pPr>
        <w:spacing w:after="0" w:line="180"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b w:val="1"/>
          <w:bCs w:val="1"/>
          <w:color w:val="auto"/>
        </w:rPr>
        <w:t>Payment of Option Price or Tax Withholding in Shares</w:t>
      </w:r>
    </w:p>
    <w:p>
      <w:pPr>
        <w:spacing w:after="0" w:line="23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 xml:space="preserve">The full number of shares of Common Stock with respect to which an Option or SAR is granted shall count against the aggregate number of shares available for grant under the Plan. Accordingly, if in accordance with the terms of the Plan, a Grantee pays the Option Price for an Option by either tendering previously owned shares or having the Company withhold shares, then such shares surrendered to pay the Option Price shall continue to count against the aggregate number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 In addition, if in accordance with the terms of the Plan, a Grantee satisfies any tax withholding requirement with respect to any taxable event arising as a result of this Plan for any Award (including Restricted Stock and Restricted Stock Units) by either tendering previously owned shares or having the Company withhold shares, then such shares surrendered to satisfy such tax withholding requirements shall continue to count against the aggregate number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 Any shares of Common Stock repurchased by the Company with cash proceeds from the exercise of Options shall not be added back to the pool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52" w:name="page53"/>
    <w:bookmarkEnd w:id="52"/>
    <w:p>
      <w:pPr>
        <w:ind w:left="500"/>
        <w:spacing w:after="0"/>
        <w:tabs>
          <w:tab w:leader="none" w:pos="144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5"/>
          <w:szCs w:val="15"/>
          <w:b w:val="1"/>
          <w:bCs w:val="1"/>
          <w:color w:val="auto"/>
        </w:rPr>
        <w:t>Substitute Awards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case of any Substitute Award, such Substitute Award shall not be counted against the number of shares reserved under the Plan.</w:t>
      </w:r>
    </w:p>
    <w:p>
      <w:pPr>
        <w:spacing w:after="0" w:line="200" w:lineRule="exact"/>
        <w:rPr>
          <w:sz w:val="20"/>
          <w:szCs w:val="20"/>
          <w:color w:val="auto"/>
        </w:rPr>
      </w:pPr>
    </w:p>
    <w:p>
      <w:pPr>
        <w:spacing w:after="0" w:line="235" w:lineRule="exact"/>
        <w:rPr>
          <w:sz w:val="20"/>
          <w:szCs w:val="20"/>
          <w:color w:val="auto"/>
        </w:rPr>
      </w:pPr>
    </w:p>
    <w:p>
      <w:pPr>
        <w:ind w:left="500" w:right="6580" w:hanging="492"/>
        <w:spacing w:after="0" w:line="504" w:lineRule="auto"/>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 AND AMENDMENTS 5.1 Term.</w:t>
      </w:r>
    </w:p>
    <w:p>
      <w:pPr>
        <w:spacing w:after="0" w:line="1"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 xml:space="preserve">The Plan shall be effective as of the Effective Date, provided that it has been approved by the Company’s stockholders. The Plan shall terminate automatically on the ten (10) year anniversary of the Effective Date and may be terminated on any earlier date as provided in </w:t>
      </w:r>
      <w:r>
        <w:rPr>
          <w:rFonts w:ascii="Arial" w:cs="Arial" w:eastAsia="Arial" w:hAnsi="Arial"/>
          <w:sz w:val="16"/>
          <w:szCs w:val="16"/>
          <w:b w:val="1"/>
          <w:bCs w:val="1"/>
          <w:color w:val="auto"/>
        </w:rPr>
        <w:t>Section 5.2</w:t>
      </w:r>
      <w:r>
        <w:rPr>
          <w:rFonts w:ascii="Arial" w:cs="Arial" w:eastAsia="Arial" w:hAnsi="Arial"/>
          <w:sz w:val="16"/>
          <w:szCs w:val="16"/>
          <w:color w:val="auto"/>
        </w:rPr>
        <w:t>.</w:t>
      </w:r>
    </w:p>
    <w:p>
      <w:pPr>
        <w:spacing w:after="0" w:line="133"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Amendment and Termination of the Plan.</w:t>
      </w:r>
    </w:p>
    <w:p>
      <w:pPr>
        <w:spacing w:after="0" w:line="23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The Board may, at any time and from time to time, amend, suspend, or terminate the Plan as to any Awards which have not been made. An amendment shall be contingent on approval of the Company’s stockholders to the extent stated by the Board, required by applicable law or required by applicable stock exchange listing requirements. No Awards shall be made after the Termination Date. The applicable terms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164" w:lineRule="exact"/>
        <w:rPr>
          <w:sz w:val="20"/>
          <w:szCs w:val="20"/>
          <w:color w:val="auto"/>
        </w:rPr>
      </w:pPr>
    </w:p>
    <w:p>
      <w:pPr>
        <w:ind w:left="500" w:right="7460" w:hanging="492"/>
        <w:spacing w:after="0" w:line="501" w:lineRule="auto"/>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 AND LIMITATIONS 6.1 Service Providers</w:t>
      </w:r>
      <w:r>
        <w:rPr>
          <w:rFonts w:ascii="Arial" w:cs="Arial" w:eastAsia="Arial" w:hAnsi="Arial"/>
          <w:sz w:val="18"/>
          <w:szCs w:val="18"/>
          <w:color w:val="auto"/>
        </w:rPr>
        <w:t>.</w:t>
      </w:r>
    </w:p>
    <w:p>
      <w:pPr>
        <w:jc w:val="both"/>
        <w:ind w:firstLine="486"/>
        <w:spacing w:after="0" w:line="339" w:lineRule="auto"/>
        <w:rPr>
          <w:sz w:val="20"/>
          <w:szCs w:val="20"/>
          <w:color w:val="auto"/>
        </w:rPr>
      </w:pPr>
      <w:r>
        <w:rPr>
          <w:rFonts w:ascii="Arial" w:cs="Arial" w:eastAsia="Arial" w:hAnsi="Arial"/>
          <w:sz w:val="16"/>
          <w:szCs w:val="16"/>
          <w:color w:val="auto"/>
        </w:rPr>
        <w:t xml:space="preserve">Subject to this </w:t>
      </w:r>
      <w:r>
        <w:rPr>
          <w:rFonts w:ascii="Arial" w:cs="Arial" w:eastAsia="Arial" w:hAnsi="Arial"/>
          <w:sz w:val="16"/>
          <w:szCs w:val="16"/>
          <w:b w:val="1"/>
          <w:bCs w:val="1"/>
          <w:color w:val="auto"/>
        </w:rPr>
        <w:t>Section 6.1</w:t>
      </w:r>
      <w:r>
        <w:rPr>
          <w:rFonts w:ascii="Arial" w:cs="Arial" w:eastAsia="Arial" w:hAnsi="Arial"/>
          <w:sz w:val="16"/>
          <w:szCs w:val="16"/>
          <w:color w:val="auto"/>
        </w:rPr>
        <w:t>, Awards may be made to any Service Provider, including any Service Provider who is an officer, Non-Employee Director, consultant or advisor of the Company or of any Affiliate, as the Board shall determine and designate from time to time in its discretion.</w:t>
      </w:r>
    </w:p>
    <w:p>
      <w:pPr>
        <w:spacing w:after="0" w:line="128"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4"/>
          <w:szCs w:val="14"/>
          <w:b w:val="1"/>
          <w:bCs w:val="1"/>
          <w:color w:val="auto"/>
        </w:rPr>
        <w:t>Successive Awards</w:t>
      </w:r>
      <w:r>
        <w:rPr>
          <w:rFonts w:ascii="Arial" w:cs="Arial" w:eastAsia="Arial" w:hAnsi="Arial"/>
          <w:sz w:val="14"/>
          <w:szCs w:val="14"/>
          <w:color w:val="auto"/>
        </w:rPr>
        <w:t>.</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21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Stand-Alone, Additional, Tandem, and Substitute Awards</w:t>
      </w:r>
      <w:r>
        <w:rPr>
          <w:rFonts w:ascii="Arial" w:cs="Arial" w:eastAsia="Arial" w:hAnsi="Arial"/>
          <w:sz w:val="15"/>
          <w:szCs w:val="15"/>
          <w:color w:val="auto"/>
        </w:rPr>
        <w:t>.</w:t>
      </w:r>
    </w:p>
    <w:p>
      <w:pPr>
        <w:spacing w:after="0" w:line="23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Awards may, in the discretion of the Board,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and substitute or exchange Awards may be granted at any time. If an Award is granted in substitution or exchange for another Award, the Board shall have the right to require the surrender of such other Award in consideration for the grant of the new Award. The Board shall have the right, in its discretion, to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Stock subject to the Award is equivalent in value to the cash compensation (for example, Restricted Stock Units or Restricted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3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Each Award shall be evidenced by an Award Agreement, in such form or forms as the Board shall from time to time determine, consistent with the terms of the Plan.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164" w:lineRule="exact"/>
        <w:rPr>
          <w:sz w:val="20"/>
          <w:szCs w:val="20"/>
          <w:color w:val="auto"/>
        </w:rPr>
      </w:pPr>
    </w:p>
    <w:p>
      <w:pPr>
        <w:ind w:left="500" w:right="7580" w:hanging="492"/>
        <w:spacing w:after="0" w:line="504" w:lineRule="auto"/>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 8.1 Option Price.</w:t>
      </w:r>
    </w:p>
    <w:p>
      <w:pPr>
        <w:spacing w:after="0" w:line="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Option Price of each Option shall be fixed by the Board and stated in the related Award Agreement. The Option Price of each Option (except those that constitute Substitute Awards) shall be at least the Fair Market Value on the Grant Date of a share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a Grantee is a Ten Percent Stockholder as of the Grant Date, the Option Price of an Option granted to such Grantee that is intended to be an Incentive Stock Option shall be not less than 110 percent of the Fair Market Value of a share of Stock on the Grant Date. In no case shall the Option Price of any Option be less than the par value of a share of Stock.</w:t>
      </w:r>
    </w:p>
    <w:p>
      <w:pPr>
        <w:spacing w:after="0" w:line="19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Vesting.</w:t>
      </w:r>
    </w:p>
    <w:p>
      <w:pPr>
        <w:spacing w:after="0" w:line="225"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8.3</w:t>
      </w:r>
      <w:r>
        <w:rPr>
          <w:rFonts w:ascii="Arial" w:cs="Arial" w:eastAsia="Arial" w:hAnsi="Arial"/>
          <w:sz w:val="18"/>
          <w:szCs w:val="18"/>
          <w:color w:val="auto"/>
        </w:rPr>
        <w:t xml:space="preserve"> hereof, each Option shall become exercisable at such times and under such conditions (including, without limitation, performance requirements) as shall be determined by the Board and stated in the Award Agreement.</w:t>
      </w:r>
    </w:p>
    <w:p>
      <w:pPr>
        <w:spacing w:after="0" w:line="174"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Term.</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Each Option shall terminate, and all rights to purchase shares of Stock thereunder shall cease, upon the expiration of ten (10) years from the Grant Date, or under such circumstances and on such date prior thereto as is set forth in the Plan or as may be fixed by the Board and stated in the related Award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event that the Grantee is a Ten Percent Stockholder, an Option granted to such Grantee that is intended to be an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at the Grant Date shall not be exercisable after the expiration of five (5) years from its Grant Date.</w:t>
      </w:r>
    </w:p>
    <w:p>
      <w:pPr>
        <w:spacing w:after="0" w:line="161"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Limitations on Exercise of Option.</w:t>
      </w:r>
    </w:p>
    <w:p>
      <w:pPr>
        <w:spacing w:after="0" w:line="231"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Notwithstanding any other provision of the Plan, in no event may any Option be exercised, in whole or in part, (i) prior to the date the Plan is approved by the stockholders of the Company as provided herein or (ii) after the occurrence of an event which results in termination of the Option.</w:t>
      </w:r>
    </w:p>
    <w:p>
      <w:pPr>
        <w:spacing w:after="0" w:line="133"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Method of Exercise.</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An Option that is exercisable may be exercised by the Grantee’s delivery of a notice of exercise to the Company, setting forth the number of shares of Stock with respect to which the Option is to be exercised, accompanied by full payment for the shares. To be effective, notice of exercise must be made in accordance with procedures established by the Company from time to time.</w:t>
      </w:r>
    </w:p>
    <w:p>
      <w:pPr>
        <w:spacing w:after="0" w:line="188"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Rights of Holders of Options.</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Unless otherwise stated in the related Award Agreement, an individual holding or exercising an Option shall have none of the rights of a stockholder (for example, the right to receive cash or dividend payments or distributions attributable to the subject shares of Stock or to direct the voting of the subject shares of Stock) until the shares of Stock covered thereby are fully paid and issued to her/him. Except as provided in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hereof or the related Award Agreement, no adjustment shall be made for dividends, distributions or other rights for which the record date is prior to the date of such issuance.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left="500"/>
        <w:spacing w:after="0"/>
        <w:tabs>
          <w:tab w:leader="none" w:pos="10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Delivery of Stock Certificates.</w:t>
      </w:r>
    </w:p>
    <w:p>
      <w:pPr>
        <w:spacing w:after="0" w:line="231"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Promptly after the exercise of an Option by a Grantee and the payment in full of the Option Price, such Grantee shall be entitled, subject to any transaction fees, as required, to the issuance of a stock certificate or certificates evidencing his or her ownership of the shares of Stock subject to the Option.</w:t>
      </w:r>
    </w:p>
    <w:p>
      <w:pPr>
        <w:spacing w:after="0" w:line="133"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color w:val="auto"/>
        </w:rPr>
        <w:t>Limitations on Incentive Stock Options.</w:t>
      </w:r>
    </w:p>
    <w:p>
      <w:pPr>
        <w:spacing w:after="0" w:line="23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at the time the Option is granted) of the shares of Stock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91" w:lineRule="exact"/>
        <w:rPr>
          <w:sz w:val="20"/>
          <w:szCs w:val="20"/>
          <w:color w:val="auto"/>
        </w:rPr>
      </w:pPr>
    </w:p>
    <w:p>
      <w:pPr>
        <w:ind w:left="500" w:right="5640" w:hanging="492"/>
        <w:spacing w:after="0" w:line="504" w:lineRule="auto"/>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 9.1 Right to Payment.</w:t>
      </w:r>
    </w:p>
    <w:p>
      <w:pPr>
        <w:spacing w:after="0" w:line="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A SAR shall confer on the Grantee a right to receive, upon exercise thereof, the excess of (i) the Fair Market Value of one share of Stock on the date of exercise over (ii) the SAR Exercise Price, as determined by the Board. The Award Agreement for a SAR (except those that constitute Substitute Awards) shall specify the SAR Exercise Price, which shall be fixed on the Grant Date as not less than the Fair Market Value of a share of Stock on that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grant price that is equal to the Option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SAR’s grant price may not be less than the Fair Market Value of a share of Stock on the Grant Date of the SAR to the extent required by Section 409A.</w:t>
      </w:r>
    </w:p>
    <w:p>
      <w:pPr>
        <w:spacing w:after="0" w:line="19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Other Terms.</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Board shall determine at the Grant Date,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9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Term of SARs.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The term of a SAR granted under the Plan shall be determined by the Board,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term shall not exceed ten (10) years.</w:t>
      </w:r>
    </w:p>
    <w:p>
      <w:pPr>
        <w:spacing w:after="0" w:line="18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Payment of SAR Amount.</w:t>
      </w:r>
    </w:p>
    <w:p>
      <w:pPr>
        <w:spacing w:after="0" w:line="231"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Upon exercise of a SAR, a Grantee shall be entitled to receive payment from the Company (in cash or Stock, as determined by the Board) in an amount determined by multiplying:</w:t>
      </w:r>
    </w:p>
    <w:p>
      <w:pPr>
        <w:spacing w:after="0" w:line="186" w:lineRule="exact"/>
        <w:rPr>
          <w:sz w:val="20"/>
          <w:szCs w:val="20"/>
          <w:color w:val="auto"/>
        </w:rPr>
      </w:pPr>
    </w:p>
    <w:p>
      <w:pPr>
        <w:ind w:left="880" w:hanging="38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of Stock on the date of exercise over the SAR Exercise Price; by</w:t>
      </w:r>
    </w:p>
    <w:p>
      <w:pPr>
        <w:spacing w:after="0" w:line="225" w:lineRule="exact"/>
        <w:rPr>
          <w:rFonts w:ascii="Arial" w:cs="Arial" w:eastAsia="Arial" w:hAnsi="Arial"/>
          <w:sz w:val="18"/>
          <w:szCs w:val="18"/>
          <w:color w:val="auto"/>
        </w:rPr>
      </w:pPr>
    </w:p>
    <w:p>
      <w:pPr>
        <w:ind w:left="880" w:hanging="38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of Stock with respect to which the SAR is exercised.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55" w:name="page56"/>
    <w:bookmarkEnd w:id="55"/>
    <w:p>
      <w:pPr>
        <w:ind w:left="500" w:right="3720" w:hanging="492"/>
        <w:spacing w:after="0" w:line="501" w:lineRule="auto"/>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 10.1 Restrictions.</w:t>
      </w:r>
    </w:p>
    <w:p>
      <w:pPr>
        <w:jc w:val="both"/>
        <w:ind w:firstLine="486"/>
        <w:spacing w:after="0" w:line="256" w:lineRule="auto"/>
        <w:rPr>
          <w:sz w:val="20"/>
          <w:szCs w:val="20"/>
          <w:color w:val="auto"/>
        </w:rPr>
      </w:pPr>
      <w:r>
        <w:rPr>
          <w:rFonts w:ascii="Arial" w:cs="Arial" w:eastAsia="Arial" w:hAnsi="Arial"/>
          <w:sz w:val="18"/>
          <w:szCs w:val="18"/>
          <w:color w:val="auto"/>
        </w:rPr>
        <w:t>At the time of grant, the Board may, in its sole discretion, establish a period of time (a “</w:t>
      </w:r>
      <w:r>
        <w:rPr>
          <w:rFonts w:ascii="Arial" w:cs="Arial" w:eastAsia="Arial" w:hAnsi="Arial"/>
          <w:sz w:val="18"/>
          <w:szCs w:val="18"/>
          <w:b w:val="1"/>
          <w:bCs w:val="1"/>
          <w:color w:val="auto"/>
        </w:rPr>
        <w:t>Restricted Period</w:t>
      </w:r>
      <w:r>
        <w:rPr>
          <w:rFonts w:ascii="Arial" w:cs="Arial" w:eastAsia="Arial" w:hAnsi="Arial"/>
          <w:sz w:val="18"/>
          <w:szCs w:val="18"/>
          <w:color w:val="auto"/>
        </w:rPr>
        <w:t>”) and any additional restrictions including the satisfaction of corporate or individual performance objectives applicable to an Award of Restricted Stock or Restricted Stock Units as determined by the Board. Each Award of Restricted Stock or Restricted Stock Units may be subject to a different Restricted Period and additional restrictions. Neither Restricted Stock nor Restricted Stock Units may be sold, transferred, assigned, pledged or otherwise encumbered or disposed of during the Restricted Period or prior to the satisfaction of any other applicable restrictions.</w:t>
      </w:r>
    </w:p>
    <w:p>
      <w:pPr>
        <w:spacing w:after="0" w:line="19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Restricted Stock Certificates.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shall issue stock, in the name of each Grantee to whom Restricted Stock has been granted, stock certificates or other evidence of ownership representing the total number of shares of Restricted Stock granted to the Grantee, as soon as reasonably practicable after the Grant Date. The Board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a legend or legends that comply with the applicable securities laws and regulations and make appropriate reference to the restrictions imposed under the Plan and the Award Agreement.</w:t>
      </w:r>
    </w:p>
    <w:p>
      <w:pPr>
        <w:spacing w:after="0" w:line="19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Rights of Holders of Restricted Stock.</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Unless the Board otherwise provides in an Award Agreement and subject to </w:t>
      </w:r>
      <w:r>
        <w:rPr>
          <w:rFonts w:ascii="Arial" w:cs="Arial" w:eastAsia="Arial" w:hAnsi="Arial"/>
          <w:sz w:val="18"/>
          <w:szCs w:val="18"/>
          <w:b w:val="1"/>
          <w:bCs w:val="1"/>
          <w:color w:val="auto"/>
        </w:rPr>
        <w:t>Section 16.12</w:t>
      </w:r>
      <w:r>
        <w:rPr>
          <w:rFonts w:ascii="Arial" w:cs="Arial" w:eastAsia="Arial" w:hAnsi="Arial"/>
          <w:sz w:val="18"/>
          <w:szCs w:val="18"/>
          <w:color w:val="auto"/>
        </w:rPr>
        <w:t>, holders of Restricted Stock shall have rights as stockholders of the Company, including voting and dividend rights.</w:t>
      </w:r>
    </w:p>
    <w:p>
      <w:pPr>
        <w:spacing w:after="0" w:line="17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Rights of Holders of Restricted Stock Units.</w:t>
      </w:r>
    </w:p>
    <w:p>
      <w:pPr>
        <w:spacing w:after="0" w:line="225"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10.4.1</w:t>
      </w:r>
      <w:r>
        <w:rPr>
          <w:sz w:val="20"/>
          <w:szCs w:val="20"/>
          <w:color w:val="auto"/>
        </w:rPr>
        <w:tab/>
      </w:r>
      <w:r>
        <w:rPr>
          <w:rFonts w:ascii="Arial" w:cs="Arial" w:eastAsia="Arial" w:hAnsi="Arial"/>
          <w:sz w:val="15"/>
          <w:szCs w:val="15"/>
          <w:b w:val="1"/>
          <w:bCs w:val="1"/>
          <w:color w:val="auto"/>
        </w:rPr>
        <w:t>Settlement of Restricted Stock Units.</w:t>
      </w:r>
    </w:p>
    <w:p>
      <w:pPr>
        <w:spacing w:after="0" w:line="231"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Restricted Stock Units may be settled in cash or Stock, as determined by the Board and set forth in the Award Agreement. The Award Agreement shall also set forth whether the Restricted Stock Units shall be settled (i) within the time period specified for “short term deferrals” under Section 409A or (ii) otherwise within the requirements of Section 409A, in which case the Award Agreement shall specify upon which events such Restricted Stock Units shall be settled.</w:t>
      </w:r>
    </w:p>
    <w:p>
      <w:pPr>
        <w:spacing w:after="0" w:line="155"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10.4.2</w:t>
      </w:r>
      <w:r>
        <w:rPr>
          <w:sz w:val="20"/>
          <w:szCs w:val="20"/>
          <w:color w:val="auto"/>
        </w:rPr>
        <w:tab/>
      </w:r>
      <w:r>
        <w:rPr>
          <w:rFonts w:ascii="Arial" w:cs="Arial" w:eastAsia="Arial" w:hAnsi="Arial"/>
          <w:sz w:val="15"/>
          <w:szCs w:val="15"/>
          <w:b w:val="1"/>
          <w:bCs w:val="1"/>
          <w:color w:val="auto"/>
        </w:rPr>
        <w:t>Voting and Dividend Rights.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Unless otherwise stated in the applicable Award Agreement and subject to </w:t>
      </w:r>
      <w:r>
        <w:rPr>
          <w:rFonts w:ascii="Arial" w:cs="Arial" w:eastAsia="Arial" w:hAnsi="Arial"/>
          <w:sz w:val="18"/>
          <w:szCs w:val="18"/>
          <w:b w:val="1"/>
          <w:bCs w:val="1"/>
          <w:color w:val="auto"/>
        </w:rPr>
        <w:t>Section 16.12</w:t>
      </w:r>
      <w:r>
        <w:rPr>
          <w:rFonts w:ascii="Arial" w:cs="Arial" w:eastAsia="Arial" w:hAnsi="Arial"/>
          <w:sz w:val="18"/>
          <w:szCs w:val="18"/>
          <w:color w:val="auto"/>
        </w:rPr>
        <w:t>, holders of Restricted Stock Units shall not have rights as stockholders of the Company, including no voting or dividend or dividend equivalents rights.</w:t>
      </w:r>
    </w:p>
    <w:p>
      <w:pPr>
        <w:spacing w:after="0" w:line="174"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10.4.3</w:t>
      </w:r>
      <w:r>
        <w:rPr>
          <w:sz w:val="20"/>
          <w:szCs w:val="20"/>
          <w:color w:val="auto"/>
        </w:rPr>
        <w:tab/>
      </w:r>
      <w:r>
        <w:rPr>
          <w:rFonts w:ascii="Arial" w:cs="Arial" w:eastAsia="Arial" w:hAnsi="Arial"/>
          <w:sz w:val="16"/>
          <w:szCs w:val="16"/>
          <w:b w:val="1"/>
          <w:bCs w:val="1"/>
          <w:color w:val="auto"/>
        </w:rPr>
        <w:t>Creditor’s Rights.</w:t>
      </w:r>
    </w:p>
    <w:p>
      <w:pPr>
        <w:spacing w:after="0" w:line="231"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A holder of Restricted Stock Units shall have no rights other than those of a general creditor of the Company. Restricted Stock Units represent an unfunded and unsecured obligation of the Company, subject to the terms and conditions of the applicable Award Agreement.</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Purchase of Restricted Stock.</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The Grantee shall be required, to the extent required by applicable law, to purchase the Restricted Stock from the Company at a Purchase Price equal to the greater of (i) the aggregate par value of the shares of Stock represented by such Restricted Stock or (ii) the Purchase Price, if any, specified in the related Award Agreement. If specified in the Award Agreement, the Purchase Price may be deemed paid by Services already rendered. The Purchase Price shall be payable in a form described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or, in the discretion of the Board, in consideration for past Services rendered.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left="500"/>
        <w:spacing w:after="0"/>
        <w:tabs>
          <w:tab w:leader="none" w:pos="9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Delivery of Stock.</w:t>
      </w:r>
    </w:p>
    <w:p>
      <w:pPr>
        <w:spacing w:after="0" w:line="231"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Upon the expiration or termination of any Restricted Period and the satisfaction of any other conditions prescribed by the Board, the restrictions applicable to shares of Restricted Stock or Restricted Stock Units settled in Stock shall lapse, and, unless otherwise provided in the Award Agreement, a stock certificate for such shares shall be delivered, free of all such restrictions, to the Grantee or the Grantee’s beneficiary or estate, as the case may be.</w:t>
      </w:r>
    </w:p>
    <w:p>
      <w:pPr>
        <w:spacing w:after="0" w:line="155" w:lineRule="exact"/>
        <w:rPr>
          <w:sz w:val="20"/>
          <w:szCs w:val="20"/>
          <w:color w:val="auto"/>
        </w:rPr>
      </w:pPr>
    </w:p>
    <w:p>
      <w:pPr>
        <w:ind w:left="500" w:right="5680" w:hanging="492"/>
        <w:spacing w:after="0" w:line="504" w:lineRule="auto"/>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FORM OF PAYMENT FOR OPTIONS AND RESTRICTED STOCK 11.1 General Rule.</w:t>
      </w:r>
    </w:p>
    <w:p>
      <w:pPr>
        <w:spacing w:after="0" w:line="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180"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Surrender of Stock.</w:t>
      </w:r>
    </w:p>
    <w:p>
      <w:pPr>
        <w:spacing w:after="0" w:line="23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 the extent the Award Agreement so provides, payment of the Option Price for shares purchased pursuant to the exercise of an Option or the Purchase Price for Restricted Stock may be made all or in part through the tender to the Company of shares of Stock, which shares shall be valued, for purposes of determining the extent to which the Option Price or Purchase Price for Restricted Stock has been paid thereby, at their Fair Market Value on the date of exercise or surrender. Notwithstanding the foregoing, in the case of an Incentive Stock Option, the right to make payment in the form of already owned shares of Stock may be authorized only at the time of grant.</w:t>
      </w:r>
    </w:p>
    <w:p>
      <w:pPr>
        <w:spacing w:after="0" w:line="191"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Cashless Exercise.</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of Stock and to deliver all or part of the sales proceeds to the Company in payment of the Option Price and any withholding taxes described in </w:t>
      </w:r>
      <w:r>
        <w:rPr>
          <w:rFonts w:ascii="Arial" w:cs="Arial" w:eastAsia="Arial" w:hAnsi="Arial"/>
          <w:sz w:val="18"/>
          <w:szCs w:val="18"/>
          <w:b w:val="1"/>
          <w:bCs w:val="1"/>
          <w:color w:val="auto"/>
        </w:rPr>
        <w:t>Section 16.3</w:t>
      </w:r>
      <w:r>
        <w:rPr>
          <w:rFonts w:ascii="Arial" w:cs="Arial" w:eastAsia="Arial" w:hAnsi="Arial"/>
          <w:sz w:val="18"/>
          <w:szCs w:val="18"/>
          <w:color w:val="auto"/>
        </w:rPr>
        <w:t>.</w:t>
      </w:r>
    </w:p>
    <w:p>
      <w:pPr>
        <w:spacing w:after="0" w:line="191"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Other Forms of Payment.</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the extent the Award Agreement so provides, payment of the Option Price or the Purchase Price for Restricted Stock may be made in any other form that is consistent with applicable laws, regulations and rules, including, but not limited to, the Company’s withholding of shares of Stock otherwise due to the exercising Grantee.</w:t>
      </w:r>
    </w:p>
    <w:p>
      <w:pPr>
        <w:spacing w:after="0" w:line="188"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12.1  Grant of Other Stock-based Awards.</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Other Stock-based Awards may be granted either alone or in addition to or in conjunction with other Awards under the Plan. Other Stock-based Awards may be granted in lieu of other cash or other compensation to which a Service Provider is entitled from the Company or may be used in the settlement of amounts payable in shares of Common Stock under any other compensation plan or arrangement of the Company. Subject to the provisions of the Plan, the Committee shall have the sole and complete authority to determine the persons to whom and the time or times at which such Awards shall be made, the number of shares of Common Stock to be granted pursuant to such Awards, and all other conditions of such Awards. Unless the Committee determines otherwise, any such Award shall be confirmed by an Award Agreement, which shall contain such provisions as the Committee determines to be necessary or appropriate to carry out the intent of this Plan with respect to such Award.</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Terms of Other Stock-based Awards.</w:t>
      </w:r>
    </w:p>
    <w:p>
      <w:pPr>
        <w:spacing w:after="0" w:line="225" w:lineRule="exact"/>
        <w:rPr>
          <w:sz w:val="20"/>
          <w:szCs w:val="20"/>
          <w:color w:val="auto"/>
        </w:rPr>
      </w:pPr>
    </w:p>
    <w:p>
      <w:pPr>
        <w:jc w:val="both"/>
        <w:ind w:firstLine="486"/>
        <w:spacing w:after="0" w:line="339" w:lineRule="auto"/>
        <w:rPr>
          <w:sz w:val="20"/>
          <w:szCs w:val="20"/>
          <w:color w:val="auto"/>
        </w:rPr>
      </w:pPr>
      <w:r>
        <w:rPr>
          <w:rFonts w:ascii="Arial" w:cs="Arial" w:eastAsia="Arial" w:hAnsi="Arial"/>
          <w:sz w:val="16"/>
          <w:szCs w:val="16"/>
          <w:color w:val="auto"/>
        </w:rPr>
        <w:t xml:space="preserve">Any Common Stock subject to Awards made under this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left="500" w:right="8760" w:hanging="492"/>
        <w:spacing w:after="0" w:line="504" w:lineRule="auto"/>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13.1 General.</w:t>
      </w:r>
    </w:p>
    <w:p>
      <w:pPr>
        <w:spacing w:after="0" w:line="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Company shall not be required to sell or issue any shares of Stock under any Award if the sale or issuance of such shares would constitute a violation by the Grantee, any other individual exercising an Option, or the Company of any provision of any law or regulation of any governmental authority, including 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of Stock underlying an Award, unless a registration statement under such Act is in effect with respect to the shares of Stock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7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Rule 16b-3.</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any time when the Company has a class of equity security registered under Section 12 of the Exchange Act, it is the intent of the Company that Awards and the exercise of Options granted to officers and directors hereunder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192" w:lineRule="exact"/>
        <w:rPr>
          <w:sz w:val="20"/>
          <w:szCs w:val="20"/>
          <w:color w:val="auto"/>
        </w:rPr>
      </w:pPr>
    </w:p>
    <w:p>
      <w:pPr>
        <w:ind w:left="500" w:right="7220" w:hanging="492"/>
        <w:spacing w:after="0" w:line="504" w:lineRule="auto"/>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CHANGES IN CAPITALIZATION 14.1 Changes in Stock.</w:t>
      </w:r>
    </w:p>
    <w:p>
      <w:pPr>
        <w:spacing w:after="0" w:line="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 xml:space="preserve">If (i) the number of outstanding shares of Stock is increased or decreased or the shares of Stock are changed into or exchanged 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occurring after the Effective Date or (ii) there occurs any spin-off, split-up, extraordinary cash dividend or other distribution of assets by the Company, the number and kinds of shares for which grants of Awards may be made under the Plan (including the per-Grantee maximums set forth in </w:t>
      </w:r>
      <w:r>
        <w:rPr>
          <w:rFonts w:ascii="Arial" w:cs="Arial" w:eastAsia="Arial" w:hAnsi="Arial"/>
          <w:sz w:val="16"/>
          <w:szCs w:val="16"/>
          <w:b w:val="1"/>
          <w:bCs w:val="1"/>
          <w:color w:val="auto"/>
        </w:rPr>
        <w:t>Section 4</w:t>
      </w:r>
      <w:r>
        <w:rPr>
          <w:rFonts w:ascii="Arial" w:cs="Arial" w:eastAsia="Arial" w:hAnsi="Arial"/>
          <w:sz w:val="16"/>
          <w:szCs w:val="16"/>
          <w:color w:val="auto"/>
        </w:rPr>
        <w:t>) shall be equitably adjusted by the Company; provided that any such adjustment shall comply with Section 409A. In addition, in the event of any such increase or decease in the number of outstanding shares or other transaction described in clause (ii) above, the number and kind of shares for which Awards are outstanding and the Option Price per share of outstanding Options and SAR Exercise Price per share of outstanding SARs shall be equitably adjusted; provided that any such adjustment shall comply with Section 409A.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500"/>
        <w:spacing w:after="0"/>
        <w:tabs>
          <w:tab w:leader="none" w:pos="9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Effect of Certain Transactions.</w:t>
      </w:r>
    </w:p>
    <w:p>
      <w:pPr>
        <w:spacing w:after="0" w:line="225" w:lineRule="exact"/>
        <w:rPr>
          <w:sz w:val="20"/>
          <w:szCs w:val="20"/>
          <w:color w:val="auto"/>
        </w:rPr>
      </w:pPr>
    </w:p>
    <w:p>
      <w:pPr>
        <w:jc w:val="both"/>
        <w:ind w:firstLine="486"/>
        <w:spacing w:after="0" w:line="305" w:lineRule="auto"/>
        <w:rPr>
          <w:sz w:val="20"/>
          <w:szCs w:val="20"/>
          <w:color w:val="auto"/>
        </w:rPr>
      </w:pPr>
      <w:r>
        <w:rPr>
          <w:rFonts w:ascii="Arial" w:cs="Arial" w:eastAsia="Arial" w:hAnsi="Arial"/>
          <w:sz w:val="15"/>
          <w:szCs w:val="15"/>
          <w:color w:val="auto"/>
        </w:rPr>
        <w:t xml:space="preserve">Except as otherwise provided in an Award Agreement and subject to the provisions of </w:t>
      </w:r>
      <w:r>
        <w:rPr>
          <w:rFonts w:ascii="Arial" w:cs="Arial" w:eastAsia="Arial" w:hAnsi="Arial"/>
          <w:sz w:val="15"/>
          <w:szCs w:val="15"/>
          <w:b w:val="1"/>
          <w:bCs w:val="1"/>
          <w:color w:val="auto"/>
        </w:rPr>
        <w:t>Section 14.3</w:t>
      </w:r>
      <w:r>
        <w:rPr>
          <w:rFonts w:ascii="Arial" w:cs="Arial" w:eastAsia="Arial" w:hAnsi="Arial"/>
          <w:sz w:val="15"/>
          <w:szCs w:val="15"/>
          <w:color w:val="auto"/>
        </w:rPr>
        <w:t xml:space="preserve">, in the event of a Corporate Transaction, the Plan and the Awards issued hereunder shall continue in effect in accordance with their respective terms, except that following a Corporate Transaction either (i) each outstanding Award shall be treated as provided for in the agreement entered into in connection with the Corporate Transaction or (ii) if not so provided in such agreement, each Grantee shall be entitled to receive in respect of each share of Common Stock subject to any outstanding Awards, upon exercise or payment or transfer in respect of any Award, the same number and kind of stock, securities, cash, property or other consideration that each holder of a share of Common Stock was entitled to receive in the Corporate Transaction in respect of a share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unless otherwise determined by the Committee, such stock, securities, cash, property or other consideration shall remain subject to all of the conditions, restrictions and performance criteria which were applicable to the Awards prior to such Corporate Transaction. Without limiting the generality of the foregoing, the treatment of outstanding Options and SARs pursuant to this </w:t>
      </w:r>
      <w:r>
        <w:rPr>
          <w:rFonts w:ascii="Arial" w:cs="Arial" w:eastAsia="Arial" w:hAnsi="Arial"/>
          <w:sz w:val="15"/>
          <w:szCs w:val="15"/>
          <w:b w:val="1"/>
          <w:bCs w:val="1"/>
          <w:color w:val="auto"/>
        </w:rPr>
        <w:t>Section 14.2</w:t>
      </w:r>
      <w:r>
        <w:rPr>
          <w:rFonts w:ascii="Arial" w:cs="Arial" w:eastAsia="Arial" w:hAnsi="Arial"/>
          <w:sz w:val="15"/>
          <w:szCs w:val="15"/>
          <w:color w:val="auto"/>
        </w:rPr>
        <w:t xml:space="preserve"> in connection with a Corporate Transaction in which the consideration paid or distributed to the Company’s stockholders is not entirely shares of common stock of the acquiring or resulting corporation may include the cancellation of outstanding Options and SARs upon consummation of the Corporate Transaction as long as, at the election of the Committee, (i) the holders of affected Options and SARs have been given a period of at least fifteen days prior to the date of the consummation of the Corporate Transaction to exercise the Options or SARs (to the extent otherwise exercisable) or (ii) the holders of the affected Options and SARs are paid (in cash or cash equivalents) in respect of each Share covered by the Option or SAR being canceled an amount equal to the excess, if any, of the per share price paid or distributed to stockholders in the Corporate Transaction (the value of any non-cash consideration to be determined by the Committee in its sole discretion) over the Option Price or SAR Exercise Price, as applicable. For avoidance of doubt, (1) the cancellation of Options and SARs pursuant to clause (ii) of the preceding sentence may be effected notwithstanding anything to the contrary contained in this Plan or any Award Agreement and (2) if the amount determined pursuant to clause (ii) of the preceding sentence is zero or less, the affected Option or SAR may be cancelled without any payment therefore. The treatment of any Award as provided in this </w:t>
      </w:r>
      <w:r>
        <w:rPr>
          <w:rFonts w:ascii="Arial" w:cs="Arial" w:eastAsia="Arial" w:hAnsi="Arial"/>
          <w:sz w:val="15"/>
          <w:szCs w:val="15"/>
          <w:b w:val="1"/>
          <w:bCs w:val="1"/>
          <w:color w:val="auto"/>
        </w:rPr>
        <w:t>Section 14.2</w:t>
      </w:r>
      <w:r>
        <w:rPr>
          <w:rFonts w:ascii="Arial" w:cs="Arial" w:eastAsia="Arial" w:hAnsi="Arial"/>
          <w:sz w:val="15"/>
          <w:szCs w:val="15"/>
          <w:color w:val="auto"/>
        </w:rPr>
        <w:t xml:space="preserve"> shall be conclusively presumed to be appropriate for purposes of </w:t>
      </w:r>
      <w:r>
        <w:rPr>
          <w:rFonts w:ascii="Arial" w:cs="Arial" w:eastAsia="Arial" w:hAnsi="Arial"/>
          <w:sz w:val="15"/>
          <w:szCs w:val="15"/>
          <w:b w:val="1"/>
          <w:bCs w:val="1"/>
          <w:color w:val="auto"/>
        </w:rPr>
        <w:t>Section 14.1</w:t>
      </w:r>
      <w:r>
        <w:rPr>
          <w:rFonts w:ascii="Arial" w:cs="Arial" w:eastAsia="Arial" w:hAnsi="Arial"/>
          <w:sz w:val="15"/>
          <w:szCs w:val="15"/>
          <w:color w:val="auto"/>
        </w:rPr>
        <w:t>.</w:t>
      </w:r>
    </w:p>
    <w:p>
      <w:pPr>
        <w:spacing w:after="0" w:line="37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Change in Control</w:t>
      </w:r>
    </w:p>
    <w:p>
      <w:pPr>
        <w:spacing w:after="0" w:line="225"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14.3.1</w:t>
      </w:r>
      <w:r>
        <w:rPr>
          <w:sz w:val="20"/>
          <w:szCs w:val="20"/>
          <w:color w:val="auto"/>
        </w:rPr>
        <w:tab/>
      </w:r>
      <w:r>
        <w:rPr>
          <w:rFonts w:ascii="Arial" w:cs="Arial" w:eastAsia="Arial" w:hAnsi="Arial"/>
          <w:sz w:val="15"/>
          <w:szCs w:val="15"/>
          <w:b w:val="1"/>
          <w:bCs w:val="1"/>
          <w:color w:val="auto"/>
        </w:rPr>
        <w:t>Consequences of a Change in Control</w:t>
      </w:r>
    </w:p>
    <w:p>
      <w:pPr>
        <w:spacing w:after="0" w:line="23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the event of a Change in Control of the Company, the Board, in its discretion, may, at any time an Award is granted, or at any time thereafter, (i) accelerate the time period relating to the exercise or vesting of the Award; or (ii) take one or more of the following actions, which may vary among individual Grantees: (A) provide for the purchase of the Award for an amount of cash or other property that could have been received upon the exercise or vesting of the Award (less any applicable Option Price or SAR Exercise Price in the cash of Options and SARs); (B) adjust the terms of the Awards in a manner determined by the Board to reflect the Change in Control; (C) cause the Awards to be assumed, or new rights substituted therefor, by another entity, through the continuance of the Plan and the assumption of outstanding Awards, or the substitution for such Awards of comparable value covering shares of a successor corporation, with appropriate adjustments as to the number and kind of shares and exercise prices, in which event the Plan and such Awards, or the new options and rights substituted therefor, shall continue in the manner and under the terms so provided; (D) accelerate the time at which Options or SARs then outstanding may be exercised so that such Options and SARs may be exercised for a limited period of time on or before a specified date fixed by the Board, after which specified date, all unexercised Options and SARs shall terminate; or (E) make such other provision as the Board may consider equitable.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left="980"/>
        <w:spacing w:after="0"/>
        <w:tabs>
          <w:tab w:leader="none" w:pos="1920" w:val="left"/>
        </w:tabs>
        <w:rPr>
          <w:sz w:val="20"/>
          <w:szCs w:val="20"/>
          <w:color w:val="auto"/>
        </w:rPr>
      </w:pPr>
      <w:r>
        <w:rPr>
          <w:rFonts w:ascii="Arial" w:cs="Arial" w:eastAsia="Arial" w:hAnsi="Arial"/>
          <w:sz w:val="18"/>
          <w:szCs w:val="18"/>
          <w:b w:val="1"/>
          <w:bCs w:val="1"/>
          <w:color w:val="auto"/>
        </w:rPr>
        <w:t>14.3.2</w:t>
      </w:r>
      <w:r>
        <w:rPr>
          <w:sz w:val="20"/>
          <w:szCs w:val="20"/>
          <w:color w:val="auto"/>
        </w:rPr>
        <w:tab/>
      </w:r>
      <w:r>
        <w:rPr>
          <w:rFonts w:ascii="Arial" w:cs="Arial" w:eastAsia="Arial" w:hAnsi="Arial"/>
          <w:sz w:val="16"/>
          <w:szCs w:val="16"/>
          <w:b w:val="1"/>
          <w:bCs w:val="1"/>
          <w:color w:val="auto"/>
        </w:rPr>
        <w:t>Change in Control Defined</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Except as may otherwise be defined in an Award Agreement, a “</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 the occurrence of any of the following events: (i) the acquisition, directly or indirectly, by any Person or group (within the meaning of Section 13(d)(3) of the Exchange Act) of the Beneficial Ownership of more than fifty percent of the outstanding securities of the Company; (ii) a merger or consolidation in which the Company is not the surviving entity, except for a transaction the principal purpose of which is to change the state in which the Company is incorporated; (iii) the sale, transfer or other disposition of all or substantially all of the assets of the Company; (i) a complete liquidation or dissolution of the Company; or (v) any reverse merger in which the Company is the surviving entity but in which securities possessing more than fifty percent of the total combined voting power of the Company’s outstanding securities are transferred to a Person or Persons different from the Persons holding those securities immediately prior to such merger.</w:t>
      </w:r>
    </w:p>
    <w:p>
      <w:pPr>
        <w:spacing w:after="0" w:line="1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Notwithstanding the foregoing, if it is determined that an Award hereunder is subject to the requirements of Section 409A and payable upon a Change in Control, the Company will not be deemed to have undergone a Change in Control unless the Company is deemed to have undergone a “change in control event” pursuant to the definition of such term in Section 409A.</w:t>
      </w:r>
    </w:p>
    <w:p>
      <w:pPr>
        <w:spacing w:after="0" w:line="18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5"/>
          <w:szCs w:val="15"/>
          <w:b w:val="1"/>
          <w:bCs w:val="1"/>
          <w:color w:val="auto"/>
        </w:rPr>
        <w:t>Adjustments</w:t>
      </w:r>
    </w:p>
    <w:p>
      <w:pPr>
        <w:spacing w:after="0" w:line="225"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6"/>
          <w:szCs w:val="16"/>
          <w:color w:val="auto"/>
        </w:rPr>
        <w:t xml:space="preserve">Adjustments under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related to shares of Stock or securities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15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 LIMITATIONS ON COMPANY</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88" w:lineRule="exact"/>
        <w:rPr>
          <w:sz w:val="20"/>
          <w:szCs w:val="20"/>
          <w:color w:val="auto"/>
        </w:rPr>
      </w:pPr>
    </w:p>
    <w:p>
      <w:pPr>
        <w:ind w:left="500" w:right="4380" w:hanging="492"/>
        <w:spacing w:after="0" w:line="504" w:lineRule="auto"/>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TERMS APPLICABLE GENERALLY TO AWARDS GRANTED UNDER THE PLAN 16.1 Disclaimer of Rights.</w:t>
      </w:r>
    </w:p>
    <w:p>
      <w:pPr>
        <w:spacing w:after="0" w:line="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In addition, notwithstanding anything contained in the Plan to the contrary, unless otherwise stated in the applicable Award Agreement, no Award granted under the Plan shall be affected by any change of duties or position of the Grantee, so long as such Grantee continues to be a Service Provider.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Nonexclusivity of the Plan.</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Neither the adoption of the Plan nor the submission of the Plan to the stockholders of the Company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including, without limitation, the granting of stock options as the Board in its discretion determines desirable.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left="500"/>
        <w:spacing w:after="0"/>
        <w:tabs>
          <w:tab w:leader="none" w:pos="9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Withholding Taxes.</w:t>
      </w:r>
    </w:p>
    <w:p>
      <w:pPr>
        <w:spacing w:after="0" w:line="23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The Company or an Affiliate, as the case may be, shall have the right to deduct from payments of any kind otherwise due to a Grantee any federal, state, or local taxes of any kind required by law to be withheld (i) with respect to the vesting of or other lapse of restrictions applicable to an Award, (ii) upon the issuance of any shares of Stock upon the exercise of an Option or SAR, or (iii)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Company or the Affiliate, which may be withheld by the Company or the Affiliate, as the case may be, in its sole discretion, the Grantee may elect to satisfy such obligations, or the Company may require such obligations (up to maximum statutory rates) to be satisfied, in whole or in part, (i) by causing the Company or the Affiliate to withhold the number of shares of Stock otherwise issuable to the Grantee as may be necessary to satisfy such withholding obligation or (ii) by delivering to the Company or the Affiliate shares of Stock already owned by the Grantee. The shares of Stock so delivered or withheld shall have an aggregate Fair Market Value equal to such withholding obligations (up to maximum statutory rates). The Fair Market Value of the shares of Stock used to satisfy such withholding obligation shall be determined by the Company or the Affiliate as of the date that the amount of tax to be withheld is to be determined. A Grantee who has made an election pursuant to this </w:t>
      </w:r>
      <w:r>
        <w:rPr>
          <w:rFonts w:ascii="Arial" w:cs="Arial" w:eastAsia="Arial" w:hAnsi="Arial"/>
          <w:sz w:val="16"/>
          <w:szCs w:val="16"/>
          <w:b w:val="1"/>
          <w:bCs w:val="1"/>
          <w:color w:val="auto"/>
        </w:rPr>
        <w:t>Section 16.3</w:t>
      </w:r>
      <w:r>
        <w:rPr>
          <w:rFonts w:ascii="Arial" w:cs="Arial" w:eastAsia="Arial" w:hAnsi="Arial"/>
          <w:sz w:val="16"/>
          <w:szCs w:val="16"/>
          <w:color w:val="auto"/>
        </w:rPr>
        <w:t xml:space="preserve"> may satisfy his or her withholding obligation only with shares of Stock that are not subject to any repurchase, forfeiture, unfulfilled vesting, or other similar requirements.</w:t>
      </w:r>
    </w:p>
    <w:p>
      <w:pPr>
        <w:spacing w:after="0" w:line="17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Captions.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any Award Agreement.</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5"/>
          <w:szCs w:val="15"/>
          <w:b w:val="1"/>
          <w:bCs w:val="1"/>
          <w:color w:val="auto"/>
        </w:rPr>
        <w:t>Other Provisions.</w:t>
      </w:r>
    </w:p>
    <w:p>
      <w:pPr>
        <w:spacing w:after="0" w:line="231"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Each Award Agreement may contain such other terms and conditions not inconsistent with the Plan as may be determined by the Board, in its sole discretion. In the event of any conflict between the terms of an employment agreement and the Plan, the terms of the employment agreement govern.</w:t>
      </w:r>
    </w:p>
    <w:p>
      <w:pPr>
        <w:spacing w:after="0" w:line="13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Number and Gender.</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Severability.</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b w:val="1"/>
          <w:bCs w:val="1"/>
          <w:color w:val="auto"/>
        </w:rPr>
        <w:t>Governing Law.</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Plan shall be governed by and construed in accordance with the laws of the State of Nevada without giving effect to the principles of conflicts of law, and applicable Federal law.</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5"/>
          <w:szCs w:val="15"/>
          <w:b w:val="1"/>
          <w:bCs w:val="1"/>
          <w:color w:val="auto"/>
        </w:rPr>
        <w:t>Section 409A.</w:t>
      </w:r>
    </w:p>
    <w:p>
      <w:pPr>
        <w:spacing w:after="0" w:line="23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 amounts that would otherwise be payable and benefits that would otherwise be provided pursuant to the Plan during the six (6) month period immediately following the Grantee’s Separation from Service shall instead be paid on the first payroll date after the six-month anniversary of the Grantee’s Separation from Service (or the Grantee’s death, if earlier). Notwithstanding the foregoing, neither the Company nor the Committee shall have any obligation to take any action to prevent the assessment of any excise tax or penalty on any Grantee under Section 409A and neither the Company nor the Committee will have any liability to any Grantee for such tax or penalty.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left="500"/>
        <w:spacing w:after="0"/>
        <w:rPr>
          <w:sz w:val="20"/>
          <w:szCs w:val="20"/>
          <w:color w:val="auto"/>
        </w:rPr>
      </w:pPr>
      <w:r>
        <w:rPr>
          <w:rFonts w:ascii="Arial" w:cs="Arial" w:eastAsia="Arial" w:hAnsi="Arial"/>
          <w:sz w:val="18"/>
          <w:szCs w:val="18"/>
          <w:b w:val="1"/>
          <w:bCs w:val="1"/>
          <w:color w:val="auto"/>
        </w:rPr>
        <w:t>16.10 Separation from Service.</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Board shall determine the effect of a Separation from Service upon Awards, and such effect shall be set forth in the appropriate Award Agreement. Without limiting the foregoing, the Board may provide in the Award Agreements at the time of grant, or any time thereafter with the consent of the Grantee, the actions that will be taken upon the occurrence of a Separation from Service, including, but not limited to, accelerated vesting or termination, depending upon the circumstances surrounding the Separation from Service.</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16.11 Transferability of Awards.</w:t>
      </w:r>
    </w:p>
    <w:p>
      <w:pPr>
        <w:spacing w:after="0" w:line="225"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8"/>
          <w:szCs w:val="18"/>
          <w:b w:val="1"/>
          <w:bCs w:val="1"/>
          <w:color w:val="auto"/>
        </w:rPr>
        <w:t>16.11.1</w:t>
      </w:r>
      <w:r>
        <w:rPr>
          <w:sz w:val="20"/>
          <w:szCs w:val="20"/>
          <w:color w:val="auto"/>
        </w:rPr>
        <w:tab/>
      </w:r>
      <w:r>
        <w:rPr>
          <w:rFonts w:ascii="Arial" w:cs="Arial" w:eastAsia="Arial" w:hAnsi="Arial"/>
          <w:sz w:val="15"/>
          <w:szCs w:val="15"/>
          <w:b w:val="1"/>
          <w:bCs w:val="1"/>
          <w:color w:val="auto"/>
        </w:rPr>
        <w:t>Transfers in General.</w:t>
      </w:r>
    </w:p>
    <w:p>
      <w:pPr>
        <w:spacing w:after="0" w:line="2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color w:val="auto"/>
        </w:rPr>
        <w:t>Section 16.11.2</w:t>
      </w:r>
      <w:r>
        <w:rPr>
          <w:rFonts w:ascii="Arial" w:cs="Arial" w:eastAsia="Arial" w:hAnsi="Arial"/>
          <w:sz w:val="18"/>
          <w:szCs w:val="18"/>
          <w:color w:val="auto"/>
        </w:rPr>
        <w:t>, no Award shall be assignable or transferable by the Grantee to whom it is granted, other than by will or the laws of descent and distribution, and, during the lifetime of the Grantee, only the Grantee personally (or the Grantee’s personal representative) may exercise rights under the Plan.</w:t>
      </w:r>
    </w:p>
    <w:p>
      <w:pPr>
        <w:spacing w:after="0" w:line="186"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b w:val="1"/>
          <w:bCs w:val="1"/>
          <w:color w:val="auto"/>
        </w:rPr>
        <w:t>16.11.2</w:t>
      </w:r>
      <w:r>
        <w:rPr>
          <w:sz w:val="20"/>
          <w:szCs w:val="20"/>
          <w:color w:val="auto"/>
        </w:rPr>
        <w:tab/>
      </w:r>
      <w:r>
        <w:rPr>
          <w:rFonts w:ascii="Arial" w:cs="Arial" w:eastAsia="Arial" w:hAnsi="Arial"/>
          <w:sz w:val="15"/>
          <w:szCs w:val="15"/>
          <w:b w:val="1"/>
          <w:bCs w:val="1"/>
          <w:color w:val="auto"/>
        </w:rPr>
        <w:t>Family Transfers.</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If authorized in the applicable Award Agreement, a Grantee may transfer, not for value, all or part of an Award (other than Incentive Stock Options) to any Family Member. For the purpose of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any such Award shall continue to be subject to the same terms and conditions as were applicable immediately prior to transfer. Subsequent transfers of transferred Awards are prohibited except to Family Members of the original Grantee in accordance with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or by will or the laws of descent and distribution.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16.12 Dividends and Dividend Equivalent Rights.</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If specified in the Award Agreement, the recipient of an Award (other than Options or SARs) may be entitled to receive dividends or dividend equivalents with respect to the Common Stock or other securities covered by an Award. The terms and conditions of a dividend equivalent right may be set forth in the Award Agreement. Dividend equivalents credited to a Grantee may be reinvested in additional shares of Stock or other securities of the Company at a price per unit equal to the Fair Market Value of a share of Stock on the date that such dividend was paid to stockholders, as determined in the sole discretion of the Committee. Notwithstanding any provision herein to the contrary, in no event will dividends or dividend equivalents vest or otherwise be paid out prior to the time that the underlying Award (or portion thereof) has vested and, accordingly, will be subject to cancellation and forfeiture if such Award does not vest (including both time-based and performance-based Awards).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approved by the Board of Directors on May 27, 2019.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As adopted by the stockholders of VistaGen Therapeutics, Inc. on [_______],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Appendix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19" w:lineRule="exact"/>
        <w:rPr>
          <w:sz w:val="20"/>
          <w:szCs w:val="20"/>
          <w:color w:val="auto"/>
        </w:rPr>
      </w:pPr>
    </w:p>
    <w:p>
      <w:pPr>
        <w:jc w:val="both"/>
        <w:ind w:firstLine="656"/>
        <w:spacing w:after="0" w:line="256" w:lineRule="auto"/>
        <w:tabs>
          <w:tab w:leader="none" w:pos="8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VistaGen Therapeutics, Inc., Employee Stock Purchase Plan (the “</w:t>
      </w:r>
      <w:r>
        <w:rPr>
          <w:rFonts w:ascii="Arial" w:cs="Arial" w:eastAsia="Arial" w:hAnsi="Arial"/>
          <w:sz w:val="18"/>
          <w:szCs w:val="18"/>
          <w:i w:val="1"/>
          <w:iCs w:val="1"/>
          <w:color w:val="auto"/>
        </w:rPr>
        <w:t>Plan</w:t>
      </w:r>
      <w:r>
        <w:rPr>
          <w:rFonts w:ascii="Arial" w:cs="Arial" w:eastAsia="Arial" w:hAnsi="Arial"/>
          <w:sz w:val="18"/>
          <w:szCs w:val="18"/>
          <w:color w:val="auto"/>
        </w:rPr>
        <w:t>”) is intended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or Board of Directors</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it may be amended from time to time. Any reference to a section of the Code shall be deemed to include a reference to any regulations promulgated thereunder.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appointed by the Board to administer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par value $0.001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VistaGen Therapeutics, Inc., a Nevada corporation, including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w:t>
      </w:r>
      <w:r>
        <w:rPr>
          <w:rFonts w:ascii="Arial" w:cs="Arial" w:eastAsia="Arial" w:hAnsi="Arial"/>
          <w:sz w:val="18"/>
          <w:szCs w:val="18"/>
          <w:color w:val="auto"/>
        </w:rPr>
        <w:t>”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Transaction</w:t>
      </w:r>
      <w:r>
        <w:rPr>
          <w:rFonts w:ascii="Arial" w:cs="Arial" w:eastAsia="Arial" w:hAnsi="Arial"/>
          <w:sz w:val="18"/>
          <w:szCs w:val="18"/>
          <w:color w:val="auto"/>
        </w:rPr>
        <w:t>” means any of the following:</w:t>
      </w:r>
    </w:p>
    <w:p>
      <w:pPr>
        <w:spacing w:after="0" w:line="231" w:lineRule="exact"/>
        <w:rPr>
          <w:sz w:val="20"/>
          <w:szCs w:val="20"/>
          <w:color w:val="auto"/>
        </w:rPr>
      </w:pPr>
    </w:p>
    <w:p>
      <w:pPr>
        <w:jc w:val="both"/>
        <w:ind w:firstLine="1305"/>
        <w:spacing w:after="0" w:line="256" w:lineRule="auto"/>
        <w:tabs>
          <w:tab w:leader="none" w:pos="15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197" w:lineRule="exact"/>
        <w:rPr>
          <w:rFonts w:ascii="Arial" w:cs="Arial" w:eastAsia="Arial" w:hAnsi="Arial"/>
          <w:sz w:val="18"/>
          <w:szCs w:val="18"/>
          <w:color w:val="auto"/>
        </w:rPr>
      </w:pPr>
    </w:p>
    <w:p>
      <w:pPr>
        <w:jc w:val="both"/>
        <w:ind w:firstLine="1305"/>
        <w:spacing w:after="0" w:line="306" w:lineRule="auto"/>
        <w:tabs>
          <w:tab w:leader="none" w:pos="15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shall be merged or consolidated with another entity, unless as a result of such merger or consolidation more than 50% of the outstanding voting securities of the surviving or resulting entity shall be owned in the aggregate by the stockholders of the Company (as of the time immediately prior to such transaction), any employee benefit plan of the Company or its Subsidiaries, and their affiliates;</w:t>
      </w:r>
    </w:p>
    <w:p>
      <w:pPr>
        <w:spacing w:after="0" w:line="160" w:lineRule="exact"/>
        <w:rPr>
          <w:rFonts w:ascii="Arial" w:cs="Arial" w:eastAsia="Arial" w:hAnsi="Arial"/>
          <w:sz w:val="16"/>
          <w:szCs w:val="16"/>
          <w:color w:val="auto"/>
        </w:rPr>
      </w:pPr>
    </w:p>
    <w:p>
      <w:pPr>
        <w:jc w:val="both"/>
        <w:ind w:firstLine="1305"/>
        <w:spacing w:after="0" w:line="259" w:lineRule="auto"/>
        <w:tabs>
          <w:tab w:leader="none" w:pos="15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sell substantially all of its assets to another entity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194" w:lineRule="exact"/>
        <w:rPr>
          <w:rFonts w:ascii="Arial" w:cs="Arial" w:eastAsia="Arial" w:hAnsi="Arial"/>
          <w:sz w:val="18"/>
          <w:szCs w:val="18"/>
          <w:color w:val="auto"/>
        </w:rPr>
      </w:pPr>
    </w:p>
    <w:p>
      <w:pPr>
        <w:jc w:val="both"/>
        <w:ind w:firstLine="1305"/>
        <w:spacing w:after="0" w:line="256" w:lineRule="auto"/>
        <w:tabs>
          <w:tab w:leader="none" w:pos="15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20" w:hanging="96"/>
        <w:spacing w:after="0"/>
        <w:tabs>
          <w:tab w:leader="none" w:pos="5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3" w:name="page64"/>
    <w:bookmarkEnd w:id="63"/>
    <w:p>
      <w:pPr>
        <w:jc w:val="both"/>
        <w:spacing w:after="0" w:line="286" w:lineRule="auto"/>
        <w:rPr>
          <w:sz w:val="20"/>
          <w:szCs w:val="20"/>
          <w:color w:val="auto"/>
        </w:rPr>
      </w:pPr>
      <w:r>
        <w:rPr>
          <w:rFonts w:ascii="Arial" w:cs="Arial" w:eastAsia="Arial" w:hAnsi="Arial"/>
          <w:sz w:val="16"/>
          <w:szCs w:val="16"/>
          <w:color w:val="auto"/>
        </w:rPr>
        <w:t>For purposes of this definition, ownership of voting securities shall take into account and shall include ownership as determined by applying the provisions of Rule 13d-3(d)(1)(i) (as in effect on the date hereof) under the Exchange Act. In addition, for such purposes, “Person” shall have the meaning given in Section 3(a)</w:t>
      </w:r>
    </w:p>
    <w:p>
      <w:pPr>
        <w:jc w:val="both"/>
        <w:ind w:firstLine="8"/>
        <w:spacing w:after="0" w:line="254" w:lineRule="auto"/>
        <w:tabs>
          <w:tab w:leader="none" w:pos="2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Exchange Act, as modified and used in Sections 13(d) and 14(d) thereof; provided, however, that a Person shall not include (i) the Company or any of its Subsidiaries;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 as their ownership of stock of the Company.</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Broker</w:t>
      </w:r>
      <w:r>
        <w:rPr>
          <w:rFonts w:ascii="Arial" w:cs="Arial" w:eastAsia="Arial" w:hAnsi="Arial"/>
          <w:sz w:val="18"/>
          <w:szCs w:val="18"/>
          <w:color w:val="auto"/>
        </w:rPr>
        <w:t>” means the financial services firm or other agent designated by the Company to maintain ESPP Share Accounts on behalf of Participants who have purchased shares of Common Stock under the Plan.</w:t>
      </w:r>
    </w:p>
    <w:p>
      <w:pPr>
        <w:spacing w:after="0" w:line="17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as of which this Plan is adopted by the Board, subject to the Plan obtaining shareholder approval in accordance with Section 19.11 hereof.</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for purposes of the Plan, the employment relationship shall be deemed to have terminated on the first day immediately following such three-month period, or such other period specified in Treasury Regulation Section 1.421-1(h)(2).</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Employee</w:t>
      </w:r>
      <w:r>
        <w:rPr>
          <w:rFonts w:ascii="Arial" w:cs="Arial" w:eastAsia="Arial" w:hAnsi="Arial"/>
          <w:sz w:val="18"/>
          <w:szCs w:val="18"/>
          <w:color w:val="auto"/>
        </w:rPr>
        <w:t>” means an Employee who (i) has been employed by the Company or a Participating Subsidiary for at least one (1) year, and (ii) is customarily employed for at least twenty (20) hours per week.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p>
    <w:p>
      <w:pPr>
        <w:spacing w:after="0" w:line="19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Form</w:t>
      </w:r>
      <w:r>
        <w:rPr>
          <w:rFonts w:ascii="Arial" w:cs="Arial" w:eastAsia="Arial" w:hAnsi="Arial"/>
          <w:sz w:val="18"/>
          <w:szCs w:val="18"/>
          <w:color w:val="auto"/>
        </w:rPr>
        <w:t>” means an agreement pursuant to which an Eligible Employee may elect to enroll in the Plan, to authorize a new level of payroll deductions, or to stop payroll deductions and withdraw from an Offering Period.</w:t>
      </w:r>
    </w:p>
    <w:p>
      <w:pPr>
        <w:spacing w:after="0" w:line="17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ESPP Share Account</w:t>
      </w:r>
      <w:r>
        <w:rPr>
          <w:rFonts w:ascii="Arial" w:cs="Arial" w:eastAsia="Arial" w:hAnsi="Arial"/>
          <w:sz w:val="18"/>
          <w:szCs w:val="18"/>
          <w:color w:val="auto"/>
        </w:rPr>
        <w:t>” means an account into which Common Stock purchased with accumulated payroll deductions at the end of an Offering Period are held on behalf of a Participant.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the shares of Common Stock as determined below.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as reported in such source as the Committee deems reliable. In the absence of an established market for the shares, the Fair Market Value shall be determined in good faith by the Committee in a manner that complies with Section 423 of the Code, and such determination shall be conclusive and binding on all persons.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Date</w:t>
      </w:r>
      <w:r>
        <w:rPr>
          <w:rFonts w:ascii="Arial" w:cs="Arial" w:eastAsia="Arial" w:hAnsi="Arial"/>
          <w:sz w:val="18"/>
          <w:szCs w:val="18"/>
          <w:color w:val="auto"/>
        </w:rPr>
        <w:t>” means the first Trading Day of each Offering Period as designated by the Committee.</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or Offering Period</w:t>
      </w:r>
      <w:r>
        <w:rPr>
          <w:rFonts w:ascii="Arial" w:cs="Arial" w:eastAsia="Arial" w:hAnsi="Arial"/>
          <w:sz w:val="18"/>
          <w:szCs w:val="18"/>
          <w:color w:val="auto"/>
        </w:rPr>
        <w:t>” means a period of six (6) months beginning each January 1st and July 1st of each year; provided, that, pursuant to Section 5, the Committee may change the duration of future Offering Periods (subject to a maximum Offering Period of twenty-seven (27) months) and/or the start and end dates of future Offering Periods.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who is actively participating in the Plan.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Subsidiaries</w:t>
      </w:r>
      <w:r>
        <w:rPr>
          <w:rFonts w:ascii="Arial" w:cs="Arial" w:eastAsia="Arial" w:hAnsi="Arial"/>
          <w:sz w:val="18"/>
          <w:szCs w:val="18"/>
          <w:color w:val="auto"/>
        </w:rPr>
        <w:t>” means the Subsidiaries that have been designated as eligible to participate in the Plan, and such other Subsidiaries that may be designated by the Committee from time to time in its sole discretion.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VistaGen Therapeutics, Inc., Employee Stock Purchase Plan, as set forth herein, and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the last Trading Day of each Offering Period.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an amount equal to the lesser of (i) eighty-five percent (85%) (or such greater percentage as designated by the Committee) of the Fair Market Value of a share of Common Stock on the Offering Date or (ii) eighty-five percent (85%) (or such greater percentage as designated by the Committee) of the Fair Market Value of a share of Common Stock on the Purchase Date; provided, that, the Purchase Price per share of Common Stock will in no event be less than the par value of the Common Stock.</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spacing w:after="0" w:line="186"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134" w:lineRule="exact"/>
        <w:rPr>
          <w:sz w:val="20"/>
          <w:szCs w:val="20"/>
          <w:color w:val="auto"/>
        </w:rPr>
      </w:pPr>
    </w:p>
    <w:p>
      <w:pPr>
        <w:jc w:val="both"/>
        <w:ind w:firstLine="656"/>
        <w:spacing w:after="0" w:line="294" w:lineRule="auto"/>
        <w:tabs>
          <w:tab w:leader="none" w:pos="82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which shall have the authority to construe and interpret the Plan, prescribe, amend and rescind rules relating to the Plan’s administration and take any other actions necessary or desirable for the administration of the Plan including, without limitation, adopting sub-plans applicable to particular Participating Subsidiaries or locations, which sub-plans may be designed to be outside the scope of Section 423 of the Code. The Committee may correct any defect or supply any omission or reconcile any inconsistency or ambiguity in the Plan. The decisions of the Committee shall be final and binding on all persons. All expenses of administering the Plan shall be borne by the Company.</w:t>
      </w:r>
    </w:p>
    <w:p>
      <w:pPr>
        <w:spacing w:after="0" w:line="169" w:lineRule="exact"/>
        <w:rPr>
          <w:rFonts w:ascii="Arial" w:cs="Arial" w:eastAsia="Arial" w:hAnsi="Arial"/>
          <w:sz w:val="16"/>
          <w:szCs w:val="16"/>
          <w:color w:val="auto"/>
        </w:rPr>
      </w:pPr>
    </w:p>
    <w:p>
      <w:pPr>
        <w:jc w:val="both"/>
        <w:ind w:firstLine="656"/>
        <w:spacing w:after="0" w:line="259" w:lineRule="auto"/>
        <w:tabs>
          <w:tab w:leader="none" w:pos="83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spacing w:after="0" w:line="194"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five percent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w:t>
      </w:r>
    </w:p>
    <w:p>
      <w:pPr>
        <w:spacing w:after="0" w:line="174" w:lineRule="exact"/>
        <w:rPr>
          <w:sz w:val="20"/>
          <w:szCs w:val="20"/>
          <w:color w:val="auto"/>
        </w:rPr>
      </w:pPr>
    </w:p>
    <w:p>
      <w:pPr>
        <w:jc w:val="both"/>
        <w:ind w:firstLine="656"/>
        <w:spacing w:after="0" w:line="259" w:lineRule="auto"/>
        <w:tabs>
          <w:tab w:leader="none" w:pos="82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Plan shall be implemented by a series of Offering Periods, each of which shall be six (6) months in duration, with new Offering Periods commencing on or about January 1 and July 1 of each year (or such other times as determined by the Committee). The Committee shall have the authority to change the duration, frequency, start and end dates of Offering Periods.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20" w:hanging="96"/>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5" w:name="page66"/>
    <w:bookmarkEnd w:id="65"/>
    <w:p>
      <w:pPr>
        <w:ind w:left="840" w:hanging="184"/>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Enrollment; Payroll Deductions</w:t>
      </w:r>
      <w:r>
        <w:rPr>
          <w:rFonts w:ascii="Arial" w:cs="Arial" w:eastAsia="Arial" w:hAnsi="Arial"/>
          <w:sz w:val="16"/>
          <w:szCs w:val="16"/>
          <w:color w:val="auto"/>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 check in an amount equal to at least 1%, but not more than 15%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17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Election Changes</w:t>
      </w:r>
      <w:r>
        <w:rPr>
          <w:rFonts w:ascii="Arial" w:cs="Arial" w:eastAsia="Arial" w:hAnsi="Arial"/>
          <w:sz w:val="18"/>
          <w:szCs w:val="18"/>
          <w:color w:val="auto"/>
        </w:rPr>
        <w:t>. During an Offering Period, a Participant may decrease or increase his or her rate of payroll deductions applicable to such Offering Period only once. To make such a change, the Participant must submit a new Enrollment Form authorizing the new rate of payroll deductions at least 15 days before the Purchase Date.</w:t>
      </w:r>
    </w:p>
    <w:p>
      <w:pPr>
        <w:spacing w:after="0" w:line="194"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Automatic Re-enrollment</w:t>
      </w:r>
      <w:r>
        <w:rPr>
          <w:rFonts w:ascii="Arial" w:cs="Arial" w:eastAsia="Arial" w:hAnsi="Arial"/>
          <w:sz w:val="16"/>
          <w:szCs w:val="16"/>
          <w:color w:val="auto"/>
        </w:rPr>
        <w:t>. The deduction rate selected in the Enrollment Form shall remain in effect for subsequent Offering Periods unless the Participant (a) submits a new Enrollment Form authorizing a new level of payroll deductions in accordance with Section 6.2, (b) withdraws from the Plan in accordance with Section 10, or (c) terminates employment or otherwise becomes ineligible to participate in the Plan.</w:t>
      </w:r>
    </w:p>
    <w:p>
      <w:pPr>
        <w:spacing w:after="0" w:line="161" w:lineRule="exact"/>
        <w:rPr>
          <w:sz w:val="20"/>
          <w:szCs w:val="20"/>
          <w:color w:val="auto"/>
        </w:rPr>
      </w:pPr>
    </w:p>
    <w:p>
      <w:pPr>
        <w:jc w:val="both"/>
        <w:ind w:firstLine="656"/>
        <w:spacing w:after="0" w:line="256" w:lineRule="auto"/>
        <w:tabs>
          <w:tab w:leader="none" w:pos="82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On each Offering Date, each Participant in the applicable Offering Period shall be granted an option to purchase, on the Purchase Date, a number of shares of Common Stock determined by dividing the Participant’s accumulated payroll deductions by the applicable Purchase Price; provided, however, that in no event shall any Participant purchase more than 5,000 shares of Common Stock during an Offering Period (subject to adjustment in accordance with Section 18 and the limitations set forth in Section 13 of the Plan).</w:t>
      </w:r>
    </w:p>
    <w:p>
      <w:pPr>
        <w:spacing w:after="0" w:line="197" w:lineRule="exact"/>
        <w:rPr>
          <w:rFonts w:ascii="Arial" w:cs="Arial" w:eastAsia="Arial" w:hAnsi="Arial"/>
          <w:sz w:val="18"/>
          <w:szCs w:val="18"/>
          <w:color w:val="auto"/>
        </w:rPr>
      </w:pPr>
    </w:p>
    <w:p>
      <w:pPr>
        <w:jc w:val="both"/>
        <w:ind w:firstLine="656"/>
        <w:spacing w:after="0" w:line="294" w:lineRule="auto"/>
        <w:tabs>
          <w:tab w:leader="none" w:pos="82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Exercise of Option/Purchase of Shares</w:t>
      </w:r>
      <w:r>
        <w:rPr>
          <w:rFonts w:ascii="Arial" w:cs="Arial" w:eastAsia="Arial" w:hAnsi="Arial"/>
          <w:sz w:val="16"/>
          <w:szCs w:val="16"/>
          <w:color w:val="auto"/>
        </w:rPr>
        <w:t>. A Participant’s option to purchase shares of Common Stock 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10 or termination of employment in accordance with Section 11.</w:t>
      </w:r>
    </w:p>
    <w:p>
      <w:pPr>
        <w:spacing w:after="0" w:line="169" w:lineRule="exact"/>
        <w:rPr>
          <w:rFonts w:ascii="Arial" w:cs="Arial" w:eastAsia="Arial" w:hAnsi="Arial"/>
          <w:sz w:val="16"/>
          <w:szCs w:val="16"/>
          <w:color w:val="auto"/>
        </w:rPr>
      </w:pPr>
    </w:p>
    <w:p>
      <w:pPr>
        <w:jc w:val="both"/>
        <w:ind w:firstLine="656"/>
        <w:spacing w:after="0" w:line="294" w:lineRule="auto"/>
        <w:tabs>
          <w:tab w:leader="none" w:pos="82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Transfer of Shares</w:t>
      </w:r>
      <w:r>
        <w:rPr>
          <w:rFonts w:ascii="Arial" w:cs="Arial" w:eastAsia="Arial" w:hAnsi="Arial"/>
          <w:sz w:val="16"/>
          <w:szCs w:val="16"/>
          <w:color w:val="auto"/>
        </w:rPr>
        <w:t>. As soon as reasonably practicable after each Purchase Date, the Company will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Section 9.</w:t>
      </w:r>
    </w:p>
    <w:p>
      <w:pPr>
        <w:spacing w:after="0" w:line="169" w:lineRule="exact"/>
        <w:rPr>
          <w:rFonts w:ascii="Arial" w:cs="Arial" w:eastAsia="Arial" w:hAnsi="Arial"/>
          <w:sz w:val="16"/>
          <w:szCs w:val="16"/>
          <w:color w:val="auto"/>
        </w:rPr>
      </w:pPr>
    </w:p>
    <w:p>
      <w:pPr>
        <w:ind w:left="920" w:hanging="264"/>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8"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Withdrawal Procedure</w:t>
      </w:r>
      <w:r>
        <w:rPr>
          <w:rFonts w:ascii="Arial" w:cs="Arial" w:eastAsia="Arial" w:hAnsi="Arial"/>
          <w:sz w:val="15"/>
          <w:szCs w:val="15"/>
          <w:color w:val="auto"/>
        </w:rPr>
        <w:t>. A Participant may withdraw from an Offering by submitting to the Company a revised Enrollment Form indicating his or her election to withdraw at least 15 days before the Purchase Date.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6.1 of the Plan.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6" w:name="page67"/>
    <w:bookmarkEnd w:id="66"/>
    <w:p>
      <w:pPr>
        <w:jc w:val="both"/>
        <w:ind w:firstLine="1297"/>
        <w:spacing w:after="0" w:line="33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on Succeeding Offering Periods</w:t>
      </w:r>
      <w:r>
        <w:rPr>
          <w:rFonts w:ascii="Arial" w:cs="Arial" w:eastAsia="Arial" w:hAnsi="Arial"/>
          <w:sz w:val="16"/>
          <w:szCs w:val="16"/>
          <w:color w:val="auto"/>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139" w:lineRule="exact"/>
        <w:rPr>
          <w:sz w:val="20"/>
          <w:szCs w:val="20"/>
          <w:color w:val="auto"/>
        </w:rPr>
      </w:pPr>
    </w:p>
    <w:p>
      <w:pPr>
        <w:jc w:val="both"/>
        <w:ind w:firstLine="656"/>
        <w:spacing w:after="0" w:line="290" w:lineRule="auto"/>
        <w:tabs>
          <w:tab w:leader="none" w:pos="93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Change in Employment Status</w:t>
      </w:r>
      <w:r>
        <w:rPr>
          <w:rFonts w:ascii="Arial" w:cs="Arial" w:eastAsia="Arial" w:hAnsi="Arial"/>
          <w:sz w:val="16"/>
          <w:szCs w:val="16"/>
          <w:color w:val="auto"/>
        </w:rPr>
        <w:t>. Upon termination of a Participant’s employment for any reason, including death, disability or retirement, or a change in the Participant’s employment status following which the Participant is no longer an Eligible Employee, which in either case occurs at least thirty days (30) before the Purchase Date,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Section 17, and the Participant’s option shall be automatically terminated. If the Participant’s termination of employment or change in status occurs within thirty (30) days before a Purchase Date, the accumulated payroll deductions shall be used to purchase shares on the Purchase Date.</w:t>
      </w:r>
    </w:p>
    <w:p>
      <w:pPr>
        <w:spacing w:after="0" w:line="172" w:lineRule="exact"/>
        <w:rPr>
          <w:rFonts w:ascii="Arial" w:cs="Arial" w:eastAsia="Arial" w:hAnsi="Arial"/>
          <w:sz w:val="16"/>
          <w:szCs w:val="16"/>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or be payable with respect to the payroll deductions of a Participant in the Plan.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Shares Reserved for Plan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Number of Shares</w:t>
      </w:r>
      <w:r>
        <w:rPr>
          <w:rFonts w:ascii="Arial" w:cs="Arial" w:eastAsia="Arial" w:hAnsi="Arial"/>
          <w:sz w:val="15"/>
          <w:szCs w:val="15"/>
          <w:color w:val="auto"/>
        </w:rPr>
        <w:t>. A total of 1,000,000 shares of Common Stock have been reserved as authorized for the grant of options under the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may be newly issued shares, treasury shares or shares acquired on the open market.</w:t>
      </w:r>
    </w:p>
    <w:p>
      <w:pPr>
        <w:spacing w:after="0" w:line="21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Over-subscribed Offerings</w:t>
      </w:r>
      <w:r>
        <w:rPr>
          <w:rFonts w:ascii="Arial" w:cs="Arial" w:eastAsia="Arial" w:hAnsi="Arial"/>
          <w:sz w:val="18"/>
          <w:szCs w:val="18"/>
          <w:color w:val="auto"/>
        </w:rPr>
        <w:t>. The number of shares of Common Stock that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spacing w:after="0" w:line="201" w:lineRule="exact"/>
        <w:rPr>
          <w:sz w:val="20"/>
          <w:szCs w:val="20"/>
          <w:color w:val="auto"/>
        </w:rPr>
      </w:pPr>
    </w:p>
    <w:p>
      <w:pPr>
        <w:jc w:val="both"/>
        <w:ind w:firstLine="656"/>
        <w:spacing w:after="0" w:line="335" w:lineRule="auto"/>
        <w:tabs>
          <w:tab w:leader="none" w:pos="925"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17 hereof) by the Participant. Any attempt to assign, transfer, pledge or otherwise dispose of such rights or amounts shall be without effect.</w:t>
      </w:r>
    </w:p>
    <w:p>
      <w:pPr>
        <w:spacing w:after="0" w:line="142" w:lineRule="exact"/>
        <w:rPr>
          <w:rFonts w:ascii="Arial" w:cs="Arial" w:eastAsia="Arial" w:hAnsi="Arial"/>
          <w:sz w:val="15"/>
          <w:szCs w:val="15"/>
          <w:color w:val="auto"/>
        </w:rPr>
      </w:pPr>
    </w:p>
    <w:p>
      <w:pPr>
        <w:ind w:firstLine="656"/>
        <w:spacing w:after="0" w:line="332" w:lineRule="auto"/>
        <w:tabs>
          <w:tab w:leader="none" w:pos="92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Application of Funds</w:t>
      </w:r>
      <w:r>
        <w:rPr>
          <w:rFonts w:ascii="Arial" w:cs="Arial" w:eastAsia="Arial" w:hAnsi="Arial"/>
          <w:sz w:val="16"/>
          <w:szCs w:val="16"/>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139" w:lineRule="exact"/>
        <w:rPr>
          <w:rFonts w:ascii="Arial" w:cs="Arial" w:eastAsia="Arial" w:hAnsi="Arial"/>
          <w:sz w:val="16"/>
          <w:szCs w:val="16"/>
          <w:color w:val="auto"/>
        </w:rPr>
      </w:pPr>
    </w:p>
    <w:p>
      <w:pPr>
        <w:jc w:val="both"/>
        <w:ind w:firstLine="656"/>
        <w:spacing w:after="0" w:line="259" w:lineRule="auto"/>
        <w:tabs>
          <w:tab w:leader="none" w:pos="91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Participants will be provided with statements at least annually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194" w:lineRule="exact"/>
        <w:rPr>
          <w:rFonts w:ascii="Arial" w:cs="Arial" w:eastAsia="Arial" w:hAnsi="Arial"/>
          <w:sz w:val="18"/>
          <w:szCs w:val="18"/>
          <w:color w:val="auto"/>
        </w:rPr>
      </w:pPr>
    </w:p>
    <w:p>
      <w:pPr>
        <w:jc w:val="both"/>
        <w:ind w:firstLine="656"/>
        <w:spacing w:after="0" w:line="298" w:lineRule="auto"/>
        <w:tabs>
          <w:tab w:leader="none" w:pos="91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A Participant may file, on forms supplied by the Committee, a written designation of beneficiary who is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or Liquidation; Corporate Transactions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7" w:name="page68"/>
    <w:bookmarkEnd w:id="67"/>
    <w:p>
      <w:pPr>
        <w:jc w:val="both"/>
        <w:ind w:firstLine="1297"/>
        <w:spacing w:after="0" w:line="291"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7 and Section 13.</w:t>
      </w:r>
    </w:p>
    <w:p>
      <w:pPr>
        <w:spacing w:after="0" w:line="17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7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In the event of a Corporate Transaction, (i) any surviving corporation or acquiring corporation (or the surviving or acquiring corporation’s parent company) may assume or continue all outstanding options or may substitute similar rights (including a right to acquire the same consideration paid to the stockholders in the Corporate Transaction) for all outstanding options, or (ii) if any surviving or acquiring corporation (or its parent company) does not assume or continue all such options or does not substitute similar rights for such options, then each Participant’s accumulated payroll deductions will be used to purchase the maximum number of whole shares that can be purchased with the amounts in the Participant’s notional account (rounded down to the nearest whole share) within ten business days prior to the Corporate Transaction under the outstanding option, and the option will terminate immediately after such purchase.</w:t>
      </w:r>
    </w:p>
    <w:p>
      <w:pPr>
        <w:spacing w:after="0" w:line="201" w:lineRule="exact"/>
        <w:rPr>
          <w:sz w:val="20"/>
          <w:szCs w:val="20"/>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Notwithstanding any provision of the Plan to the contrary and in accordance with Section 423 of the Code, all Eligible Employees who are granted options under the Plan shall have the same rights and privileges.</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the Plan nor any compensation paid hereunder will confer on any Participant the right to continue as an Employee or in any other capacity.</w:t>
      </w:r>
    </w:p>
    <w:p>
      <w:pPr>
        <w:spacing w:after="0" w:line="18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u w:val="single" w:color="auto"/>
          <w:color w:val="auto"/>
        </w:rPr>
        <w:t>Rights as Shareholder</w:t>
      </w:r>
      <w:r>
        <w:rPr>
          <w:rFonts w:ascii="Arial" w:cs="Arial" w:eastAsia="Arial" w:hAnsi="Arial"/>
          <w:sz w:val="18"/>
          <w:szCs w:val="18"/>
          <w:color w:val="auto"/>
        </w:rPr>
        <w:t>. A Participant will become a shareholder with respect to the shares of Common Stock that are purchased pursuant to options granted under the Plan when the shares are transferred to the Participant’s ESPP Share Account. A Participant will have no rights as a shareholder with respect to shares of Common Stock for which an election to participate in an Offering Period has been made until such Participant becomes a shareholder as provided above.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the Company and its successors and assigns.</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Entire Plan</w:t>
      </w:r>
      <w:r>
        <w:rPr>
          <w:rFonts w:ascii="Arial" w:cs="Arial" w:eastAsia="Arial" w:hAnsi="Arial"/>
          <w:sz w:val="18"/>
          <w:szCs w:val="18"/>
          <w:color w:val="auto"/>
        </w:rPr>
        <w:t>. This Plan constitutes the entire plan with respect to the subject matter hereof and supersedes all prior plans with respect to the subject matter hereof.</w:t>
      </w:r>
    </w:p>
    <w:p>
      <w:pPr>
        <w:spacing w:after="0" w:line="18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The obligations of the Company with respect to payments under the Plan are subject to compliance with all applicable laws 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8" w:name="page69"/>
    <w:bookmarkEnd w:id="68"/>
    <w:p>
      <w:pPr>
        <w:jc w:val="both"/>
        <w:ind w:firstLine="1297"/>
        <w:spacing w:after="0" w:line="259" w:lineRule="auto"/>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u w:val="single" w:color="auto"/>
          <w:color w:val="auto"/>
        </w:rPr>
        <w:t>Notice of Disqualifying Dispositions</w:t>
      </w:r>
      <w:r>
        <w:rPr>
          <w:rFonts w:ascii="Arial" w:cs="Arial" w:eastAsia="Arial" w:hAnsi="Arial"/>
          <w:sz w:val="18"/>
          <w:szCs w:val="18"/>
          <w:color w:val="auto"/>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19.8 </w:t>
      </w: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on the Effective Date and, unless terminated earlier pursuant to Section 19.9, shall have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 of ten years.</w:t>
      </w:r>
    </w:p>
    <w:p>
      <w:pPr>
        <w:spacing w:after="0" w:line="21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of Common Stock will be returned to Participants (without interest, except as otherwise required by law) as soon as administratively practicable.</w:t>
      </w:r>
    </w:p>
    <w:p>
      <w:pPr>
        <w:spacing w:after="0" w:line="198" w:lineRule="exact"/>
        <w:rPr>
          <w:sz w:val="20"/>
          <w:szCs w:val="20"/>
          <w:color w:val="auto"/>
        </w:rPr>
      </w:pPr>
    </w:p>
    <w:p>
      <w:pPr>
        <w:jc w:val="both"/>
        <w:ind w:right="20" w:firstLine="1297"/>
        <w:spacing w:after="0" w:line="268" w:lineRule="auto"/>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u w:val="single" w:color="auto"/>
          <w:color w:val="auto"/>
        </w:rPr>
        <w:t>Applicable Law</w:t>
      </w:r>
      <w:r>
        <w:rPr>
          <w:rFonts w:ascii="Arial" w:cs="Arial" w:eastAsia="Arial" w:hAnsi="Arial"/>
          <w:sz w:val="18"/>
          <w:szCs w:val="18"/>
          <w:color w:val="auto"/>
        </w:rPr>
        <w:t>. The laws of the State of Delaware shall govern all questions concerning the construction, validity and interpretation of the Plan, without regard to such state’s conflict of law rules.</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19.11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Plan shall be subject to approval by the shareholders of the Company within twelve (12) months before or after the date the Plan is adopted by the Board.</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19.12 </w:t>
      </w:r>
      <w:r>
        <w:rPr>
          <w:rFonts w:ascii="Arial" w:cs="Arial" w:eastAsia="Arial" w:hAnsi="Arial"/>
          <w:sz w:val="18"/>
          <w:szCs w:val="18"/>
          <w:u w:val="single" w:color="auto"/>
          <w:color w:val="auto"/>
        </w:rPr>
        <w:t>Section 423</w:t>
      </w:r>
      <w:r>
        <w:rPr>
          <w:rFonts w:ascii="Arial" w:cs="Arial" w:eastAsia="Arial" w:hAnsi="Arial"/>
          <w:sz w:val="18"/>
          <w:szCs w:val="18"/>
          <w:color w:val="auto"/>
        </w:rPr>
        <w:t>. The Plan is intended to qualify as an “employee stock purchase plan” under Section 423 of the Code. Any provision of the Plan that is inconsistent with Section 423 of the Code shall be reformed to comply with Section 423 of the Code.</w:t>
      </w:r>
    </w:p>
    <w:p>
      <w:pPr>
        <w:spacing w:after="0" w:line="18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 xml:space="preserve">19.13 </w:t>
      </w:r>
      <w:r>
        <w:rPr>
          <w:rFonts w:ascii="Arial" w:cs="Arial" w:eastAsia="Arial" w:hAnsi="Arial"/>
          <w:sz w:val="18"/>
          <w:szCs w:val="18"/>
          <w:u w:val="single" w:color="auto"/>
          <w:color w:val="auto"/>
        </w:rPr>
        <w:t>Withholding</w:t>
      </w:r>
      <w:r>
        <w:rPr>
          <w:rFonts w:ascii="Arial" w:cs="Arial" w:eastAsia="Arial" w:hAnsi="Arial"/>
          <w:sz w:val="18"/>
          <w:szCs w:val="18"/>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186" w:lineRule="exact"/>
        <w:rPr>
          <w:sz w:val="20"/>
          <w:szCs w:val="20"/>
          <w:color w:val="auto"/>
        </w:rPr>
      </w:pPr>
    </w:p>
    <w:p>
      <w:pPr>
        <w:jc w:val="both"/>
        <w:ind w:right="20" w:firstLine="1297"/>
        <w:spacing w:after="0" w:line="332" w:lineRule="auto"/>
        <w:rPr>
          <w:sz w:val="20"/>
          <w:szCs w:val="20"/>
          <w:color w:val="auto"/>
        </w:rPr>
      </w:pPr>
      <w:r>
        <w:rPr>
          <w:rFonts w:ascii="Arial" w:cs="Arial" w:eastAsia="Arial" w:hAnsi="Arial"/>
          <w:sz w:val="16"/>
          <w:szCs w:val="16"/>
          <w:color w:val="auto"/>
        </w:rPr>
        <w:t xml:space="preserve">19.14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19.15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herein are included solely for convenience and shall not affect the meaning of any of the provisions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the Plan.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approved by the Board of Directors of VistaGen Therapeutics, Inc. on June 13, 2019.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As adopted by the stockholders of VistaGen Therapeutics, Inc. on [_______],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upperLetter"/>
      <w:start w:val="24"/>
    </w:lvl>
  </w:abstractNum>
  <w:abstractNum w:abstractNumId="1">
    <w:nsid w:val="6CEAF087"/>
    <w:multiLevelType w:val="hybridMultilevel"/>
    <w:lvl w:ilvl="0">
      <w:lvlJc w:val="left"/>
      <w:lvlText w:val="[%1]"/>
      <w:numFmt w:val="upperLetter"/>
      <w:start w:val="24"/>
    </w:lvl>
  </w:abstractNum>
  <w:abstractNum w:abstractNumId="2">
    <w:nsid w:val="22221A70"/>
    <w:multiLevelType w:val="hybridMultilevel"/>
    <w:lvl w:ilvl="0">
      <w:lvlJc w:val="left"/>
      <w:lvlText w:val="["/>
      <w:numFmt w:val="bullet"/>
      <w:start w:val="1"/>
    </w:lvl>
    <w:lvl w:ilvl="1">
      <w:lvlJc w:val="left"/>
      <w:lvlText w:val="%2."/>
      <w:numFmt w:val="decimal"/>
      <w:start w:val="1"/>
    </w:lvl>
  </w:abstractNum>
  <w:abstractNum w:abstractNumId="3">
    <w:nsid w:val="4516DDE9"/>
    <w:multiLevelType w:val="hybridMultilevel"/>
    <w:lvl w:ilvl="0">
      <w:lvlJc w:val="left"/>
      <w:lvlText w:val="["/>
      <w:numFmt w:val="bullet"/>
      <w:start w:val="1"/>
    </w:lvl>
    <w:lvl w:ilvl="1">
      <w:lvlJc w:val="left"/>
      <w:lvlText w:val="%2."/>
      <w:numFmt w:val="decimal"/>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lvl w:ilvl="1">
      <w:lvlJc w:val="left"/>
      <w:lvlText w:val="-"/>
      <w:numFmt w:val="bullet"/>
      <w:start w:val="1"/>
    </w:lvl>
  </w:abstractNum>
  <w:abstractNum w:abstractNumId="7">
    <w:nsid w:val="5577F8E1"/>
    <w:multiLevelType w:val="hybridMultilevel"/>
    <w:lvl w:ilvl="0">
      <w:lvlJc w:val="left"/>
      <w:lvlText w:val="&amp;"/>
      <w:numFmt w:val="bullet"/>
      <w:start w:val="1"/>
    </w:lvl>
  </w:abstractNum>
  <w:abstractNum w:abstractNumId="8">
    <w:nsid w:val="440BADFC"/>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9">
    <w:nsid w:val="5072367"/>
    <w:multiLevelType w:val="hybridMultilevel"/>
    <w:lvl w:ilvl="0">
      <w:lvlJc w:val="left"/>
      <w:lvlText w:val="●"/>
      <w:numFmt w:val="bullet"/>
      <w:start w:val="1"/>
    </w:lvl>
    <w:lvl w:ilvl="1">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lvl w:ilvl="1">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lvl w:ilvl="1">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lvl w:ilvl="1">
      <w:lvlJc w:val="left"/>
      <w:lvlText w:val="-"/>
      <w:numFmt w:val="bullet"/>
      <w:start w:val="1"/>
    </w:lvl>
  </w:abstractNum>
  <w:abstractNum w:abstractNumId="17">
    <w:nsid w:val="2D517796"/>
    <w:multiLevelType w:val="hybridMultilevel"/>
    <w:lvl w:ilvl="0">
      <w:lvlJc w:val="left"/>
      <w:lvlText w:val="(%1)"/>
      <w:numFmt w:val="lowerRoman"/>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lvl w:ilvl="1">
      <w:lvlJc w:val="left"/>
      <w:lvlText w:val="\endash "/>
      <w:numFmt w:val="bullet"/>
      <w:start w:val="1"/>
    </w:lvl>
    <w:lvl w:ilvl="2">
      <w:lvlJc w:val="left"/>
      <w:lvlText w:val="-"/>
      <w:numFmt w:val="bullet"/>
      <w:start w:val="1"/>
    </w:lvl>
  </w:abstractNum>
  <w:abstractNum w:abstractNumId="21">
    <w:nsid w:val="70A64E2A"/>
    <w:multiLevelType w:val="hybridMultilevel"/>
    <w:lvl w:ilvl="0">
      <w:lvlJc w:val="left"/>
      <w:lvlText w:val="(%1)"/>
      <w:numFmt w:val="decimal"/>
      <w:start w:val="8"/>
    </w:lvl>
    <w:lvl w:ilvl="1">
      <w:lvlJc w:val="left"/>
      <w:lvlText w:val="-"/>
      <w:numFmt w:val="bullet"/>
      <w:start w:val="1"/>
    </w:lvl>
  </w:abstractNum>
  <w:abstractNum w:abstractNumId="22">
    <w:nsid w:val="6A2342EC"/>
    <w:multiLevelType w:val="hybridMultilevel"/>
    <w:lvl w:ilvl="0">
      <w:lvlJc w:val="left"/>
      <w:lvlText w:val="(%1)"/>
      <w:numFmt w:val="decimal"/>
      <w:start w:val="9"/>
    </w:lvl>
  </w:abstractNum>
  <w:abstractNum w:abstractNumId="23">
    <w:nsid w:val="2A487CB0"/>
    <w:multiLevelType w:val="hybridMultilevel"/>
    <w:lvl w:ilvl="0">
      <w:lvlJc w:val="left"/>
      <w:lvlText w:val="(%1)"/>
      <w:numFmt w:val="decimal"/>
      <w:start w:val="1"/>
    </w:lvl>
    <w:lvl w:ilvl="1">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lvl w:ilvl="1">
      <w:lvlJc w:val="left"/>
      <w:lvlText w:val="-"/>
      <w:numFmt w:val="bullet"/>
      <w:start w:val="1"/>
    </w:lvl>
  </w:abstractNum>
  <w:abstractNum w:abstractNumId="29">
    <w:nsid w:val="4B588F54"/>
    <w:multiLevelType w:val="hybridMultilevel"/>
    <w:lvl w:ilvl="0">
      <w:lvlJc w:val="left"/>
      <w:lvlText w:val="(%1)"/>
      <w:numFmt w:val="decimal"/>
      <w:start w:val="3"/>
    </w:lvl>
    <w:lvl w:ilvl="1">
      <w:lvlJc w:val="left"/>
      <w:lvlText w:val="-"/>
      <w:numFmt w:val="bullet"/>
      <w:start w:val="1"/>
    </w:lvl>
  </w:abstractNum>
  <w:abstractNum w:abstractNumId="30">
    <w:nsid w:val="542289EC"/>
    <w:multiLevelType w:val="hybridMultilevel"/>
    <w:lvl w:ilvl="0">
      <w:lvlJc w:val="left"/>
      <w:lvlText w:val="(%1)"/>
      <w:numFmt w:val="decimal"/>
      <w:start w:val="12"/>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2"/>
    </w:lvl>
    <w:lvl w:ilvl="1">
      <w:lvlJc w:val="left"/>
      <w:lvlText w:val="-"/>
      <w:numFmt w:val="bullet"/>
      <w:start w:val="1"/>
    </w:lvl>
  </w:abstractNum>
  <w:abstractNum w:abstractNumId="36">
    <w:nsid w:val="579478FE"/>
    <w:multiLevelType w:val="hybridMultilevel"/>
    <w:lvl w:ilvl="0">
      <w:lvlJc w:val="left"/>
      <w:lvlText w:val="%1."/>
      <w:numFmt w:val="decimal"/>
      <w:start w:val="3"/>
    </w:lvl>
  </w:abstractNum>
  <w:abstractNum w:abstractNumId="37">
    <w:nsid w:val="749ABB43"/>
    <w:multiLevelType w:val="hybridMultilevel"/>
    <w:lvl w:ilvl="0">
      <w:lvlJc w:val="left"/>
      <w:lvlText w:val="(%1)"/>
      <w:numFmt w:val="lowerRoman"/>
      <w:start w:val="1"/>
    </w:lvl>
  </w:abstractNum>
  <w:abstractNum w:abstractNumId="38">
    <w:nsid w:val="3DC240FB"/>
    <w:multiLevelType w:val="hybridMultilevel"/>
    <w:lvl w:ilvl="0">
      <w:lvlJc w:val="left"/>
      <w:lvlText w:val="%1."/>
      <w:numFmt w:val="decimal"/>
      <w:start w:val="4"/>
    </w:lvl>
  </w:abstractNum>
  <w:abstractNum w:abstractNumId="39">
    <w:nsid w:val="1BA026FA"/>
    <w:multiLevelType w:val="hybridMultilevel"/>
    <w:lvl w:ilvl="0">
      <w:lvlJc w:val="left"/>
      <w:lvlText w:val="%1."/>
      <w:numFmt w:val="decimal"/>
      <w:start w:val="5"/>
    </w:lvl>
  </w:abstractNum>
  <w:abstractNum w:abstractNumId="40">
    <w:nsid w:val="79A1DEAA"/>
    <w:multiLevelType w:val="hybridMultilevel"/>
    <w:lvl w:ilvl="0">
      <w:lvlJc w:val="left"/>
      <w:lvlText w:val="%1."/>
      <w:numFmt w:val="decimal"/>
      <w:start w:val="6"/>
    </w:lvl>
  </w:abstractNum>
  <w:abstractNum w:abstractNumId="41">
    <w:nsid w:val="75C6C33A"/>
    <w:multiLevelType w:val="hybridMultilevel"/>
    <w:lvl w:ilvl="0">
      <w:lvlJc w:val="left"/>
      <w:lvlText w:val="%1."/>
      <w:numFmt w:val="decimal"/>
      <w:start w:val="7"/>
    </w:lvl>
  </w:abstractNum>
  <w:abstractNum w:abstractNumId="42">
    <w:nsid w:val="12E685FB"/>
    <w:multiLevelType w:val="hybridMultilevel"/>
    <w:lvl w:ilvl="0">
      <w:lvlJc w:val="left"/>
      <w:lvlText w:val="%1."/>
      <w:numFmt w:val="decimal"/>
      <w:start w:val="8"/>
    </w:lvl>
  </w:abstractNum>
  <w:abstractNum w:abstractNumId="43">
    <w:nsid w:val="70C6A529"/>
    <w:multiLevelType w:val="hybridMultilevel"/>
    <w:lvl w:ilvl="0">
      <w:lvlJc w:val="left"/>
      <w:lvlText w:val="%1."/>
      <w:numFmt w:val="decimal"/>
      <w:start w:val="9"/>
    </w:lvl>
  </w:abstractNum>
  <w:abstractNum w:abstractNumId="44">
    <w:nsid w:val="520EEDD1"/>
    <w:multiLevelType w:val="hybridMultilevel"/>
    <w:lvl w:ilvl="0">
      <w:lvlJc w:val="left"/>
      <w:lvlText w:val="(%1)"/>
      <w:numFmt w:val="lowerRoman"/>
      <w:start w:val="1"/>
    </w:lvl>
    <w:lvl w:ilvl="1">
      <w:lvlJc w:val="left"/>
      <w:lvlText w:val="-"/>
      <w:numFmt w:val="bullet"/>
      <w:start w:val="1"/>
    </w:lvl>
  </w:abstractNum>
  <w:abstractNum w:abstractNumId="45">
    <w:nsid w:val="374A3FE6"/>
    <w:multiLevelType w:val="hybridMultilevel"/>
    <w:lvl w:ilvl="0">
      <w:lvlJc w:val="left"/>
      <w:lvlText w:val="%1."/>
      <w:numFmt w:val="decimal"/>
      <w:start w:val="10"/>
    </w:lvl>
  </w:abstractNum>
  <w:abstractNum w:abstractNumId="46">
    <w:nsid w:val="4F4EF005"/>
    <w:multiLevelType w:val="hybridMultilevel"/>
    <w:lvl w:ilvl="0">
      <w:lvlJc w:val="left"/>
      <w:lvlText w:val="%1."/>
      <w:numFmt w:val="decimal"/>
      <w:start w:val="11"/>
    </w:lvl>
  </w:abstractNum>
  <w:abstractNum w:abstractNumId="47">
    <w:nsid w:val="23F9C13C"/>
    <w:multiLevelType w:val="hybridMultilevel"/>
    <w:lvl w:ilvl="0">
      <w:lvlJc w:val="left"/>
      <w:lvlText w:val="%1."/>
      <w:numFmt w:val="decimal"/>
      <w:start w:val="12"/>
    </w:lvl>
  </w:abstractNum>
  <w:abstractNum w:abstractNumId="48">
    <w:nsid w:val="649BB77C"/>
    <w:multiLevelType w:val="hybridMultilevel"/>
    <w:lvl w:ilvl="0">
      <w:lvlJc w:val="left"/>
      <w:lvlText w:val="%1."/>
      <w:numFmt w:val="decimal"/>
      <w:start w:val="13"/>
    </w:lvl>
  </w:abstractNum>
  <w:abstractNum w:abstractNumId="49">
    <w:nsid w:val="275AC794"/>
    <w:multiLevelType w:val="hybridMultilevel"/>
    <w:lvl w:ilvl="0">
      <w:lvlJc w:val="left"/>
      <w:lvlText w:val="%1."/>
      <w:numFmt w:val="decimal"/>
      <w:start w:val="14"/>
    </w:lvl>
  </w:abstractNum>
  <w:abstractNum w:abstractNumId="50">
    <w:nsid w:val="39386575"/>
    <w:multiLevelType w:val="hybridMultilevel"/>
    <w:lvl w:ilvl="0">
      <w:lvlJc w:val="left"/>
      <w:lvlText w:val="%1."/>
      <w:numFmt w:val="decimal"/>
      <w:start w:val="15"/>
    </w:lvl>
  </w:abstractNum>
  <w:abstractNum w:abstractNumId="51">
    <w:nsid w:val="1CF10FD8"/>
    <w:multiLevelType w:val="hybridMultilevel"/>
    <w:lvl w:ilvl="0">
      <w:lvlJc w:val="left"/>
      <w:lvlText w:val="%1."/>
      <w:numFmt w:val="decimal"/>
      <w:start w:val="16"/>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lvl w:ilvl="1">
      <w:lvlJc w:val="left"/>
      <w:lvlText w:val="-"/>
      <w:numFmt w:val="bullet"/>
      <w:start w:val="1"/>
    </w:lvl>
  </w:abstractNum>
  <w:abstractNum w:abstractNumId="54">
    <w:nsid w:val="47398C89"/>
    <w:multiLevelType w:val="hybridMultilevel"/>
    <w:lvl w:ilvl="0">
      <w:lvlJc w:val="left"/>
      <w:lvlText w:val="(%1)"/>
      <w:numFmt w:val="decimal"/>
      <w:start w:val="9"/>
    </w:lvl>
  </w:abstractNum>
  <w:abstractNum w:abstractNumId="55">
    <w:nsid w:val="354FE9F9"/>
    <w:multiLevelType w:val="hybridMultilevel"/>
    <w:lvl w:ilvl="0">
      <w:lvlJc w:val="left"/>
      <w:lvlText w:val="%1."/>
      <w:numFmt w:val="decimal"/>
      <w:start w:val="3"/>
    </w:lvl>
  </w:abstractNum>
  <w:abstractNum w:abstractNumId="56">
    <w:nsid w:val="15B5AF5C"/>
    <w:multiLevelType w:val="hybridMultilevel"/>
    <w:lvl w:ilvl="0">
      <w:lvlJc w:val="left"/>
      <w:lvlText w:val="%1."/>
      <w:numFmt w:val="decimal"/>
      <w:start w:val="5"/>
    </w:lvl>
    <w:lvl w:ilvl="1">
      <w:lvlJc w:val="left"/>
      <w:lvlText w:val="-"/>
      <w:numFmt w:val="bullet"/>
      <w:start w:val="1"/>
    </w:lvl>
  </w:abstractNum>
  <w:abstractNum w:abstractNumId="57">
    <w:nsid w:val="741226BB"/>
    <w:multiLevelType w:val="hybridMultilevel"/>
    <w:lvl w:ilvl="0">
      <w:lvlJc w:val="left"/>
      <w:lvlText w:val="%1."/>
      <w:numFmt w:val="decimal"/>
      <w:start w:val="6"/>
    </w:lvl>
  </w:abstractNum>
  <w:abstractNum w:abstractNumId="58">
    <w:nsid w:val="D34B6A8"/>
    <w:multiLevelType w:val="hybridMultilevel"/>
    <w:lvl w:ilvl="0">
      <w:lvlJc w:val="left"/>
      <w:lvlText w:val="%1."/>
      <w:numFmt w:val="decimal"/>
      <w:start w:val="7"/>
    </w:lvl>
  </w:abstractNum>
  <w:abstractNum w:abstractNumId="59">
    <w:nsid w:val="10233C99"/>
    <w:multiLevelType w:val="hybridMultilevel"/>
    <w:lvl w:ilvl="0">
      <w:lvlJc w:val="left"/>
      <w:lvlText w:val="%1."/>
      <w:numFmt w:val="decimal"/>
      <w:start w:val="11"/>
    </w:lvl>
  </w:abstractNum>
  <w:abstractNum w:abstractNumId="60">
    <w:nsid w:val="3F6AB60F"/>
    <w:multiLevelType w:val="hybridMultilevel"/>
    <w:lvl w:ilvl="0">
      <w:lvlJc w:val="left"/>
      <w:lvlText w:val="%1."/>
      <w:numFmt w:val="decimal"/>
      <w:start w:val="14"/>
    </w:lvl>
    <w:lvl w:ilvl="1">
      <w:lvlJc w:val="left"/>
      <w:lvlText w:val="-"/>
      <w:numFmt w:val="bullet"/>
      <w:start w:val="1"/>
    </w:lvl>
  </w:abstractNum>
  <w:abstractNum w:abstractNumId="61">
    <w:nsid w:val="61574095"/>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2019-11-30T21:19:02Z</dcterms:created>
  <dcterms:modified xsi:type="dcterms:W3CDTF">2019-11-30T21:19:02Z</dcterms:modified>
</cp:coreProperties>
</file>