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April 1,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pStyle w:val="TextBody"/>
        <w:bidi w:val="0"/>
        <w:spacing w:before="20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April 1,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notified The Nasdaq Stock Market LLC (“</w:t>
      </w:r>
      <w:r>
        <w:rPr>
          <w:rFonts w:ascii="Times New Roman;serif" w:hAnsi="Times New Roman;serif"/>
          <w:b w:val="false"/>
          <w:i/>
          <w:color w:val="000000"/>
          <w:sz w:val="20"/>
        </w:rPr>
        <w:t>Nasdaq</w:t>
      </w:r>
      <w:r>
        <w:rPr>
          <w:color w:val="000000"/>
        </w:rPr>
        <w:t>”</w:t>
      </w:r>
      <w:r>
        <w:rPr>
          <w:rFonts w:ascii="Times New Roman;serif" w:hAnsi="Times New Roman;serif"/>
          <w:b w:val="false"/>
          <w:color w:val="000000"/>
          <w:sz w:val="20"/>
        </w:rPr>
        <w:t>) of its current non-compliance with Nasdaq Listing Rule 5605(c)(2), which requires the Audit Committee of a Nasdaq-listed company to have at least three members from its Board of Directors, each meeting independence and certain other criteria. As disclosed in the Company’s Current Report on Form 8-K filed with the Securities and Exchange Commission on March 18, 2026, Ms. Mary Rotunno resigned from the Company’s Board of Directors (the “</w:t>
      </w:r>
      <w:r>
        <w:rPr>
          <w:rFonts w:ascii="Times New Roman;serif" w:hAnsi="Times New Roman;serif"/>
          <w:b w:val="false"/>
          <w:i/>
          <w:color w:val="000000"/>
          <w:sz w:val="20"/>
        </w:rPr>
        <w:t>Board</w:t>
      </w:r>
      <w:r>
        <w:rPr>
          <w:color w:val="000000"/>
        </w:rPr>
        <w:t>”</w:t>
      </w:r>
      <w:r>
        <w:rPr>
          <w:rFonts w:ascii="Times New Roman;serif" w:hAnsi="Times New Roman;serif"/>
          <w:b w:val="false"/>
          <w:color w:val="000000"/>
          <w:sz w:val="20"/>
        </w:rPr>
        <w:t>), effective April 1, 2026 (the “</w:t>
      </w:r>
      <w:r>
        <w:rPr>
          <w:rFonts w:ascii="Times New Roman;serif" w:hAnsi="Times New Roman;serif"/>
          <w:b w:val="false"/>
          <w:i/>
          <w:color w:val="000000"/>
          <w:sz w:val="20"/>
        </w:rPr>
        <w:t>Resignation Date</w:t>
      </w:r>
      <w:r>
        <w:rPr>
          <w:color w:val="000000"/>
        </w:rPr>
        <w:t>”</w:t>
      </w:r>
      <w:r>
        <w:rPr>
          <w:rFonts w:ascii="Times New Roman;serif" w:hAnsi="Times New Roman;serif"/>
          <w:b w:val="false"/>
          <w:color w:val="000000"/>
          <w:sz w:val="20"/>
        </w:rPr>
        <w:t>), reducing the number of directors currently serving on the Company’s Audit Committee from three to two.</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listing of the Company's common stock on The Nasdaq Capital Market is not affected by its current non-compliance with Nasdaq Listing Rule 5605(c)(2).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Pursuant to Nasdaq Listing Rule 5605(c)(4)(B), the Company is entitled to a cure period to regain compliance with Nasdaq Listing Rule 5605(c)(2), which cure period will expire upon the earlier of the Company’s next annual meeting of stockholders or one year from the Resignation Date;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if the Company's annual meeting of stockholders occurs no later than 180 days following the Resignation Date, the Company shall instead have 180 days from the Resignation Date to regain compliance.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notified Nasdaq that the Board plans to regain compliance with Nasdaq Listing Rule 5605(c)(2) prior to the expiration of the cure period.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87" w:type="dxa"/>
        <w:jc w:val="left"/>
        <w:tblInd w:w="0" w:type="dxa"/>
        <w:tblLayout w:type="fixed"/>
        <w:tblCellMar>
          <w:top w:w="28" w:type="dxa"/>
          <w:left w:w="28" w:type="dxa"/>
          <w:bottom w:w="28" w:type="dxa"/>
          <w:right w:w="28" w:type="dxa"/>
        </w:tblCellMar>
      </w:tblPr>
      <w:tblGrid>
        <w:gridCol w:w="607"/>
        <w:gridCol w:w="535"/>
        <w:gridCol w:w="538"/>
        <w:gridCol w:w="366"/>
        <w:gridCol w:w="366"/>
        <w:gridCol w:w="366"/>
        <w:gridCol w:w="937"/>
        <w:gridCol w:w="937"/>
        <w:gridCol w:w="133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3310</Characters>
  <CharactersWithSpaces>3879</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